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研究計畫書</w:t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AI生成教學講義結合EPA評估於PGY醫師訓練成效之研究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計畫名稱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AI生成教學講義結合可信賴專業活動(EPA)評估於四大科PGY醫師訓練成效之前瞻性研究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計畫類別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C級院內計畫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highlight w:val="yellow"/>
                <w:rtl w:val="0"/>
              </w:rPr>
              <w:t xml:space="preserve">朱秀宸 or 廖佳怡 or 侯采辰/謝慕揚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執行單位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台大醫院新竹分院 教學部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計畫期程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2025年1月 至 2025年12月 (共12個月)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預計收案數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10-20位 PGY醫師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一、研究背景與動機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能力導向醫學教育(Competency-Based Medical Education, CBME)已成為全球醫學教育的主流典範，強調以學習者為中心、結果導向的教學模式。可信賴專業活動(Entrustable Professional Activities, EPAs)作為CBME的核心評量框架，透過定義明確的臨床專業活動，評估學員是否能在不同程度的監督下獨立執行醫療任務。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隨著人工智慧技術的快速發展，生成式AI在醫學教育中的應用日益受到關注。研究顯示，AI生成的教學材料可提供個人化學習體驗、即時回饋，並能有效整合複雜的醫學知識。然而，關於AI生成教學內容與EPA評估系統整合運用於臨床醫師訓練的實證研究仍然有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本研究旨在評估AI生成教學講義結合EPA評估系統對PGY (Post-Graduate Year) 醫師訓練成效的影響，為醫學教育創新提供實證基礎。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二、研究目的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主要目的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評估AI生成教學講義對PGY醫師EPA達成率的影響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分析不同科別(內科、外科、婦科、兒科)PGY醫師使用AI教學講義後的學習成效差異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建立AI輔助醫學教育與EPA評估整合的實施模式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次要目的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評估PGY醫師對AI生成教學講義的接受度與滿意度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分析AI教學介入對EPA委託等級進步幅度的影響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探討影響AI教學成效的相關因素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建立REDCap資料庫以系統化收集與分析EPA評估資料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三、文獻回顧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CBME與EPA發展現況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Ten Cate於2005年首次提出EPA概念，將複雜的能力轉化為可觀察、可評量的臨床工作單元。(1) 研究顯示，EPA框架能有效整合多項核心能力(CanMEDS或ACGME competencies)，提供更貼近臨床實務的評量方式。(2)(3)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BMC Medical Education的系統性回顧指出，EPA在醫學教育中的應用已涵蓋課程發展(47%)、實施策略(50%)及評量方法(53%)等面向。(4)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AI在醫學教育的應用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近期研究顯示，生成式AI(如ChatGPT)在醫學教育中具有多元應用潛力，包括：個人化學習內容生成、模擬病患互動、自動化評量與回饋等。Nature Digital Medicine發表的研究指出，使用RAG(Retrieval-Augmented Generation)技術的AI教學助理能有效支援醫學生自主學習，特別是在考試準備期間。(5)(6)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Meta分析研究(BMC Medical Education, 2025)比較AI教學與傳統教學方法，發現AI在實務課程中展現較佳成效。(5)(7)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研究缺口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儘管AI在醫學教育的應用日益普及，但將AI生成教學內容與EPA評估系統整合的研究仍屬有限。現有研究多聚焦於知識測驗成績，較少探討對臨床能力發展的影響。本研究嘗試填補此研究缺口，提供AI輔助CBME教學的實證基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四、研究方法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研究設計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本研究採用前瞻性觀察研究設計，於台大醫院新竹分院進行，收案期間為2025年1月至2025年12月。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研究對象</w:t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納入條件：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本院PGY醫師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輪訓於內科、外科、婦產科或兒科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同意參與研究並簽署知情同意書</w:t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排除條件：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輪訓期間中途退出者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資料收集不完整者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介入措施</w:t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AI生成教學講義：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使用大型語言模型(Claude/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)生成各科別EPA相關教學講義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內容涵蓋：核心能力描述、里程碑定義、臨床情境案例、自我評估工具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經專科主治醫師審核後提供予PGY醫師使用</w:t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EPA評估系統：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採用本院已建立之EPA評估表單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委託等級採用5級制(Level 1-5)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透過REDCap系統進行資料收集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評估指標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評估指標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測量方法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主要結果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EPA達成率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各EPA項目達到Level 3以上之比例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委託等級進步幅度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訓練前後EPA等級差異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次要結果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學習滿意度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自編問卷(Likert 5分量表)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AI教材使用率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系統使用紀錄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評估者評語品質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QuAL Score評分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資料收集與管理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使用REDCap電子資料收集系統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資料結構包含：學員基本資料、科別輪訓資訊、EPA評估紀錄、滿意度調查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採用重複工具設計，允許多次評估紀錄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統計分析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描述性統計：平均數、標準差、百分比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組間比較：獨立樣本t檢定、卡方檢定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前後比較：配對樣本t檢定、Wilcoxon符號等級檢定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多變項分析：迴歸分析探討影響因素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統計顯著水準設為α=0.05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五、研究時程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工作項目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2026年1-2月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完成IRB審查、建置REDCap資料庫、教師培訓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2026年3-4月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開始收案、前測評估、發放AI教學講義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2026年5-10月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持續收案、定期EPA評估、資料收集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2026年11月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完成收案、後測評估、滿意度調查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2026年12月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資料分析、撰寫研究報告、投稿準備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spacing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六、倫理考量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本研究將提送院內人體試驗委員會(IRB)審查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參與者均須簽署知情同意書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所有資料去識別化處理，確保個人隱私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參與為自願性質，不影響訓練成績評定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資料存取權限管控，僅研究團隊可存取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七、預期成果與效益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學術貢獻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建立AI輔助CBME教學成效的實證資料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發展本土化EPA評估資料庫與分析模式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預計投稿國際醫學教育期刊(如Academic Medicine in Emergency Radiology或Medical Teacher)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教學效益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優化PGY醫師訓練品質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提供可複製的AI教學整合模式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建立標準化EPA評估流程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八、參考文獻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1.</w:t>
        <w:tab/>
        <w:t xml:space="preserve">Ten Cate O. Entrustability of professional activities and competency‐based training. Medical Education. 2005 Nov 25;39(12):1176–7.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2.</w:t>
        <w:tab/>
        <w:t xml:space="preserve">Ryan MS, Iobst W, Holmboe ES, Santen SA. Competency-based medical education across the continuum: How well aligned are medical school EPAs to residency milestones? Medical Teacher. 2021 Nov 22;44(5):510–8.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3.</w:t>
        <w:tab/>
        <w:t xml:space="preserve">Pinilla S, Lenouvel E, Cantisani A, Klöppel S, Strik W, Huwendiek S, et al. Working with entrustable professional activities in clinical education in undergraduate medical education: a scoping review. BMC Medical Education. 2021 Mar 19;21(1).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4.</w:t>
        <w:tab/>
        <w:t xml:space="preserve">Hsiao CT, Chou FC, Hsieh CC, Chang LC, Hsu CM. Developing a Competency-Based Learning and Assessment System for Residency Training: Analysis Study of User Requirements and Acceptance. Journal of Medical Internet Research. 2020 Apr 14;22(4):e15655.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5.</w:t>
        <w:tab/>
        <w:t xml:space="preserve">Li J, Yin K, Wang Y, Jiang X, Chen D. Effectiveness of generative artificial intelligence-based teaching versus traditional teaching methods in medical education: a meta-analysis of randomized controlled trials. BMC Medical Education. 2025 Aug 19;25(1).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6.</w:t>
        <w:tab/>
        <w:t xml:space="preserve">Thesen T, Park SH. A generative AI teaching assistant for personalized learning in medical education. npj Digital Medicine. 2025 Nov 4;8(1).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66.9291338582675" w:right="0" w:hanging="566.9291338582675"/>
        <w:jc w:val="left"/>
        <w:rPr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7.</w:t>
        <w:tab/>
        <w:t xml:space="preserve">Dagnone JD, McEwen L, Taylor D, Acker A, Bouchard M, DeJong P, et al. Seven ways to get a grip on implementing Competency-Based Medical Education at the program level. Canadian Medical Education Journal. 2020 Apr 20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sz w:val="20"/>
        <w:szCs w:val="20"/>
        <w:rtl w:val="0"/>
      </w:rPr>
      <w:t xml:space="preserve">第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Unicode MS" w:cs="Arial Unicode MS" w:eastAsia="Arial Unicode MS" w:hAnsi="Arial Unicode MS"/>
        <w:sz w:val="20"/>
        <w:szCs w:val="20"/>
        <w:rtl w:val="0"/>
      </w:rPr>
      <w:t xml:space="preserve"> 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color w:val="808080"/>
        <w:sz w:val="20"/>
        <w:szCs w:val="20"/>
        <w:rtl w:val="0"/>
      </w:rPr>
      <w:t xml:space="preserve">台大醫院新竹分院 教學部 C級計畫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