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37F" w:rsidRPr="00D77F80" w:rsidRDefault="00EA537F" w:rsidP="00EA537F">
      <w:pPr>
        <w:pStyle w:val="ConsPlusTitle"/>
        <w:jc w:val="center"/>
      </w:pPr>
      <w:r w:rsidRPr="00D77F80">
        <w:t>МИНИСТЕРСТВО ТРУДА И СОЦИАЛЬНОЙ ЗАЩИТЫ РОССИЙСКОЙ ФЕДЕРАЦИИ</w:t>
      </w:r>
    </w:p>
    <w:p w:rsidR="00EA537F" w:rsidRPr="00D77F80" w:rsidRDefault="00EA537F" w:rsidP="00EA537F">
      <w:pPr>
        <w:pStyle w:val="ConsPlusTitle"/>
        <w:jc w:val="center"/>
      </w:pPr>
    </w:p>
    <w:p w:rsidR="00EA537F" w:rsidRPr="00D77F80" w:rsidRDefault="00EA537F" w:rsidP="00EA537F">
      <w:pPr>
        <w:pStyle w:val="ConsPlusTitle"/>
        <w:jc w:val="center"/>
      </w:pPr>
      <w:r w:rsidRPr="00D77F80">
        <w:t>ПРИКАЗ</w:t>
      </w:r>
    </w:p>
    <w:p w:rsidR="00EA537F" w:rsidRPr="00D77F80" w:rsidRDefault="00EA537F" w:rsidP="00EA537F">
      <w:pPr>
        <w:pStyle w:val="ConsPlusTitle"/>
        <w:jc w:val="center"/>
      </w:pPr>
      <w:r w:rsidRPr="00D77F80">
        <w:t>от 26 апреля 2013 г. N 167н</w:t>
      </w:r>
    </w:p>
    <w:p w:rsidR="00EA537F" w:rsidRPr="00D77F80" w:rsidRDefault="00EA537F" w:rsidP="00EA537F">
      <w:pPr>
        <w:pStyle w:val="ConsPlusTitle"/>
        <w:jc w:val="center"/>
      </w:pPr>
    </w:p>
    <w:p w:rsidR="00EA537F" w:rsidRPr="00D77F80" w:rsidRDefault="00EA537F" w:rsidP="00EA537F">
      <w:pPr>
        <w:pStyle w:val="ConsPlusTitle"/>
        <w:jc w:val="center"/>
      </w:pPr>
      <w:r w:rsidRPr="00D77F80">
        <w:t>ОБ УТВЕРЖДЕНИИ РЕКОМЕНДАЦИЙ</w:t>
      </w:r>
    </w:p>
    <w:p w:rsidR="00EA537F" w:rsidRPr="00D77F80" w:rsidRDefault="00EA537F" w:rsidP="00EA537F">
      <w:pPr>
        <w:pStyle w:val="ConsPlusTitle"/>
        <w:jc w:val="center"/>
      </w:pPr>
      <w:r w:rsidRPr="00D77F80">
        <w:t>ПО ОФОРМЛЕНИЮ ТРУДОВЫХ ОТНОШЕНИЙ С РАБОТНИКОМ</w:t>
      </w:r>
    </w:p>
    <w:p w:rsidR="00EA537F" w:rsidRPr="00D77F80" w:rsidRDefault="00EA537F" w:rsidP="00EA537F">
      <w:pPr>
        <w:pStyle w:val="ConsPlusTitle"/>
        <w:jc w:val="center"/>
      </w:pPr>
      <w:r w:rsidRPr="00D77F80">
        <w:t>ГОСУДАРСТВЕННОГО (МУНИЦИПАЛЬНОГО) УЧРЕЖДЕНИЯ</w:t>
      </w:r>
      <w:bookmarkStart w:id="0" w:name="_GoBack"/>
      <w:bookmarkEnd w:id="0"/>
    </w:p>
    <w:p w:rsidR="00EA537F" w:rsidRPr="00D77F80" w:rsidRDefault="00EA537F" w:rsidP="00EA537F">
      <w:pPr>
        <w:pStyle w:val="ConsPlusTitle"/>
        <w:jc w:val="center"/>
      </w:pPr>
      <w:r w:rsidRPr="00D77F80">
        <w:t>ПРИ ВВЕДЕНИИ ЭФФЕКТИВНОГО КОНТРАКТА</w:t>
      </w:r>
    </w:p>
    <w:p w:rsidR="00EA537F" w:rsidRPr="00D77F80" w:rsidRDefault="00EA537F" w:rsidP="00EA537F">
      <w:pPr>
        <w:pStyle w:val="ConsPlusNormal"/>
        <w:jc w:val="center"/>
      </w:pPr>
      <w:r w:rsidRPr="00D77F80">
        <w:t>Список изменяющих документов</w:t>
      </w:r>
    </w:p>
    <w:p w:rsidR="00EA537F" w:rsidRPr="00D77F80" w:rsidRDefault="00EA537F" w:rsidP="00EA537F">
      <w:pPr>
        <w:pStyle w:val="ConsPlusNormal"/>
        <w:jc w:val="center"/>
      </w:pPr>
      <w:r w:rsidRPr="00D77F80">
        <w:t xml:space="preserve">(в ред. </w:t>
      </w:r>
      <w:hyperlink r:id="rId5" w:history="1">
        <w:r w:rsidRPr="00D77F80">
          <w:t>Приказа</w:t>
        </w:r>
      </w:hyperlink>
      <w:r w:rsidRPr="00D77F80">
        <w:t xml:space="preserve"> Минтруда России от 20.02.2014 N 103н)</w:t>
      </w:r>
    </w:p>
    <w:p w:rsidR="00EA537F" w:rsidRPr="00D77F80" w:rsidRDefault="00EA537F" w:rsidP="00EA537F">
      <w:pPr>
        <w:pStyle w:val="ConsPlusNormal"/>
        <w:jc w:val="center"/>
      </w:pP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В соответствии с </w:t>
      </w:r>
      <w:hyperlink r:id="rId6" w:history="1">
        <w:r w:rsidRPr="00D77F80">
          <w:t>пунктом 15</w:t>
        </w:r>
      </w:hyperlink>
      <w:r w:rsidRPr="00D77F80">
        <w:t xml:space="preserve"> приложения N 2 к Программе поэтапного совершенствования системы оплаты труда в государственных (муниципальных) учреждениях на 2012 - 2018 годы, утвержденной распоряжением Правительства Российской Федерации от 26 ноября 2012 г. N 2190-р (Собрание законодательства Российской Федерации, 2012, N 49, ст. 6909), приказываю: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Утвердить прилагаемые </w:t>
      </w:r>
      <w:hyperlink w:anchor="P29" w:history="1">
        <w:r w:rsidRPr="00D77F80">
          <w:t>рекомендации</w:t>
        </w:r>
      </w:hyperlink>
      <w:r w:rsidRPr="00D77F80">
        <w:t xml:space="preserve"> по оформлению трудовых отношений с работником государственного (муниципального) учреждения при введении эффективного контракта.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jc w:val="right"/>
      </w:pPr>
      <w:r w:rsidRPr="00D77F80">
        <w:t>Министр</w:t>
      </w:r>
    </w:p>
    <w:p w:rsidR="00EA537F" w:rsidRPr="00D77F80" w:rsidRDefault="00EA537F" w:rsidP="00EA537F">
      <w:pPr>
        <w:pStyle w:val="ConsPlusNormal"/>
        <w:jc w:val="right"/>
      </w:pPr>
      <w:r w:rsidRPr="00D77F80">
        <w:t>М.А.ТОПИЛИН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Не нуждается в государственной регистрации. Письмо Минюста России от 5 июля 2013 г. N 01/60140-ЮЛ.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jc w:val="right"/>
      </w:pPr>
      <w:r w:rsidRPr="00D77F80">
        <w:t>Утверждены</w:t>
      </w:r>
    </w:p>
    <w:p w:rsidR="00EA537F" w:rsidRPr="00D77F80" w:rsidRDefault="00EA537F" w:rsidP="00EA537F">
      <w:pPr>
        <w:pStyle w:val="ConsPlusNormal"/>
        <w:jc w:val="right"/>
      </w:pPr>
      <w:r w:rsidRPr="00D77F80">
        <w:t>приказом Минтруда России</w:t>
      </w:r>
    </w:p>
    <w:p w:rsidR="00EA537F" w:rsidRPr="00D77F80" w:rsidRDefault="00EA537F" w:rsidP="00EA537F">
      <w:pPr>
        <w:pStyle w:val="ConsPlusNormal"/>
        <w:jc w:val="right"/>
      </w:pPr>
      <w:r w:rsidRPr="00D77F80">
        <w:t>от 26 апреля 2013 г. N 167н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Title"/>
        <w:jc w:val="center"/>
      </w:pPr>
      <w:bookmarkStart w:id="1" w:name="P29"/>
      <w:bookmarkEnd w:id="1"/>
      <w:r w:rsidRPr="00D77F80">
        <w:t>РЕКОМЕНДАЦИИ</w:t>
      </w:r>
    </w:p>
    <w:p w:rsidR="00EA537F" w:rsidRPr="00D77F80" w:rsidRDefault="00EA537F" w:rsidP="00EA537F">
      <w:pPr>
        <w:pStyle w:val="ConsPlusTitle"/>
        <w:jc w:val="center"/>
      </w:pPr>
      <w:r w:rsidRPr="00D77F80">
        <w:t>ПО ОФОРМЛЕНИЮ ТРУДОВЫХ ОТНОШЕНИЙ С РАБОТНИКОМ</w:t>
      </w:r>
    </w:p>
    <w:p w:rsidR="00EA537F" w:rsidRPr="00D77F80" w:rsidRDefault="00EA537F" w:rsidP="00EA537F">
      <w:pPr>
        <w:pStyle w:val="ConsPlusTitle"/>
        <w:jc w:val="center"/>
      </w:pPr>
      <w:r w:rsidRPr="00D77F80">
        <w:t>ГОСУДАРСТВЕННОГО (МУНИЦИПАЛЬНОГО) УЧРЕЖДЕНИЯ</w:t>
      </w:r>
    </w:p>
    <w:p w:rsidR="00EA537F" w:rsidRPr="00D77F80" w:rsidRDefault="00EA537F" w:rsidP="00EA537F">
      <w:pPr>
        <w:pStyle w:val="ConsPlusTitle"/>
        <w:jc w:val="center"/>
      </w:pPr>
      <w:r w:rsidRPr="00D77F80">
        <w:t>ПРИ ВВЕДЕНИИ ЭФФЕКТИВНОГО КОНТРАКТА</w:t>
      </w:r>
    </w:p>
    <w:p w:rsidR="00EA537F" w:rsidRPr="00D77F80" w:rsidRDefault="00EA537F" w:rsidP="00EA537F">
      <w:pPr>
        <w:pStyle w:val="ConsPlusNormal"/>
        <w:jc w:val="center"/>
      </w:pPr>
      <w:r w:rsidRPr="00D77F80">
        <w:t>Список изменяющих документов</w:t>
      </w:r>
    </w:p>
    <w:p w:rsidR="00EA537F" w:rsidRPr="00D77F80" w:rsidRDefault="00EA537F" w:rsidP="00EA537F">
      <w:pPr>
        <w:pStyle w:val="ConsPlusNormal"/>
        <w:jc w:val="center"/>
      </w:pPr>
      <w:r w:rsidRPr="00D77F80">
        <w:t xml:space="preserve">(в ред. </w:t>
      </w:r>
      <w:hyperlink r:id="rId7" w:history="1">
        <w:r w:rsidRPr="00D77F80">
          <w:t>Приказа</w:t>
        </w:r>
      </w:hyperlink>
      <w:r w:rsidRPr="00D77F80">
        <w:t xml:space="preserve"> Минтруда России от 20.02.2014 N 103н)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1. </w:t>
      </w:r>
      <w:proofErr w:type="gramStart"/>
      <w:r w:rsidRPr="00D77F80">
        <w:t xml:space="preserve">Рекомендации по оформлению трудовых отношений с работником государственного (муниципального) учреждения при введении эффективного контракта (далее - Рекомендации) разработаны в целях оказания методической помощи государственным (муниципальным) учреждениям (далее - учреждение) в связи с введением эффективного контракта, предусмотренного </w:t>
      </w:r>
      <w:hyperlink r:id="rId8" w:history="1">
        <w:r w:rsidRPr="00D77F80">
          <w:t>Программой</w:t>
        </w:r>
      </w:hyperlink>
      <w:r w:rsidRPr="00D77F80">
        <w:t xml:space="preserve"> поэтапного совершенствования системы оплаты труда в государственных (муниципальных) учреждениях на 2012 - 2018 годы, утвержденной распоряжением Правительства Российской Федерации от 26 ноября 2012 г. N 2190-р</w:t>
      </w:r>
      <w:proofErr w:type="gramEnd"/>
      <w:r w:rsidRPr="00D77F80">
        <w:t xml:space="preserve"> (далее - Программа).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Рекомендации могут применяться при оформлении трудовых отношений со всеми работниками учреждений.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2. В соответствии с </w:t>
      </w:r>
      <w:hyperlink r:id="rId9" w:history="1">
        <w:r w:rsidRPr="00D77F80">
          <w:t>разделом IV</w:t>
        </w:r>
      </w:hyperlink>
      <w:r w:rsidRPr="00D77F80">
        <w:t xml:space="preserve"> Программы, эффективный контракт - это трудовой договор с работником, в котором конкретизированы его должностные обязанности, условия оплаты труда, показатели и критерии оценки эффективности деятельности для назначения стимулирующих выплат в зависимости от результатов труда и качества оказываемых государственных </w:t>
      </w:r>
      <w:r w:rsidRPr="00D77F80">
        <w:lastRenderedPageBreak/>
        <w:t>(муниципальных) услуг, а также меры социальной поддержки.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Изменение порядка оплаты труда является изменением условий, определенных сторонами трудового договора, и осуществляется в соответствии с законодательством Российской Федерации.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В отношении каждого работника должны быть уточнены и конкретизированы его трудовая функция, показатели и критерии оценки эффективности деятельности, установлен размер вознаграждения, а также размер поощрения за достижение коллективных результатов труда. Условия получения вознаграждения должны быть понятны работодателю и работнику и не допускать двойного толкования. &lt;1&gt;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--------------------------------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&lt;1&gt; </w:t>
      </w:r>
      <w:hyperlink r:id="rId10" w:history="1">
        <w:r w:rsidRPr="00D77F80">
          <w:t>Раздел IV</w:t>
        </w:r>
      </w:hyperlink>
      <w:r w:rsidRPr="00D77F80">
        <w:t xml:space="preserve"> Программы.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3. При оформлении трудовых отношений с работником учреждения рекомендуется учитывать нормы, предусмотренные локальными нормативными актами, коллективными договорами и соглашениями, определяющими: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систему оплаты труда работников (включая размеры окладов (должностных окладов), ставок заработной платы, доплат, надбавок);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систему нормирования труда;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условия труда работников по итогам проведения специальной оценки условий труда;</w:t>
      </w:r>
    </w:p>
    <w:p w:rsidR="00EA537F" w:rsidRPr="00D77F80" w:rsidRDefault="00EA537F" w:rsidP="00EA537F">
      <w:pPr>
        <w:pStyle w:val="ConsPlusNormal"/>
        <w:jc w:val="both"/>
      </w:pPr>
      <w:r w:rsidRPr="00D77F80">
        <w:t xml:space="preserve">(в ред. </w:t>
      </w:r>
      <w:hyperlink r:id="rId11" w:history="1">
        <w:r w:rsidRPr="00D77F80">
          <w:t>Приказа</w:t>
        </w:r>
      </w:hyperlink>
      <w:r w:rsidRPr="00D77F80">
        <w:t xml:space="preserve"> Минтруда России от 20.02.2014 N 103н)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режим рабочего времени и времени отдыха;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штатное расписание учреждения;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условия, определяющие в необходимых случаях характер работы (подвижной, разъездной, в пути, другой характер работы).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4. При поступлении на работу работник учреждения и работодатель заключают трудовой договор в соответствии с Трудовым </w:t>
      </w:r>
      <w:hyperlink r:id="rId12" w:history="1">
        <w:r w:rsidRPr="00D77F80">
          <w:t>кодексом</w:t>
        </w:r>
      </w:hyperlink>
      <w:r w:rsidRPr="00D77F80">
        <w:t xml:space="preserve"> Российской Федерации (Собрание законодательства Российской Федерации, 2002, N 1 (ч. I), ст. 3; 2004, N 35, ст. 3607; 2006, N 27, ст. 2878) (далее - Трудовой кодекс Российской Федерации). При этом используется примерная форма трудового договора с работником учреждения, приведенная в </w:t>
      </w:r>
      <w:hyperlink r:id="rId13" w:history="1">
        <w:r w:rsidRPr="00D77F80">
          <w:t>приложении N 3</w:t>
        </w:r>
      </w:hyperlink>
      <w:r w:rsidRPr="00D77F80">
        <w:t xml:space="preserve"> к Программе (далее - примерная форма трудового договора).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5. С работником учреждения, состоящим в трудовых отношениях с работодателем, рекомендуется оформлять соглашение об изменении определенных сторонами условий трудового договора (далее также - дополнительное соглашение к трудовому договору).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В соответствии с </w:t>
      </w:r>
      <w:hyperlink r:id="rId14" w:history="1">
        <w:r w:rsidRPr="00D77F80">
          <w:t>частью второй статьи 74</w:t>
        </w:r>
      </w:hyperlink>
      <w:r w:rsidRPr="00D77F80">
        <w:t xml:space="preserve"> Трудового кодекса Российской Федерации о предстоящих изменениях определенных сторонами условий трудового договора, а также о причинах, вызвавших необходимость таких изменений, работодатель обязан уведомить работника в письменной форме не </w:t>
      </w:r>
      <w:proofErr w:type="gramStart"/>
      <w:r w:rsidRPr="00D77F80">
        <w:t>позднее</w:t>
      </w:r>
      <w:proofErr w:type="gramEnd"/>
      <w:r w:rsidRPr="00D77F80">
        <w:t xml:space="preserve"> чем за два месяца, если иное не предусмотрено Трудовым кодексом Российской Федерации.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Дополнительное соглашение к трудовому договору рекомендуется заключать по мере разработки показателей и критериев </w:t>
      </w:r>
      <w:proofErr w:type="gramStart"/>
      <w:r w:rsidRPr="00D77F80">
        <w:t>оценки эффективности труда работников учреждения</w:t>
      </w:r>
      <w:proofErr w:type="gramEnd"/>
      <w:r w:rsidRPr="00D77F80">
        <w:t xml:space="preserve"> для определения размеров и условий осуществления стимулирующих выплат.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6. В соответствии со </w:t>
      </w:r>
      <w:hyperlink r:id="rId15" w:history="1">
        <w:r w:rsidRPr="00D77F80">
          <w:t>статьей 72</w:t>
        </w:r>
      </w:hyperlink>
      <w:r w:rsidRPr="00D77F80">
        <w:t xml:space="preserve"> Трудового кодекса Российской Федерации соглашение об изменении определенных сторонами условий трудового договора заключается в письменной форме.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Рекомендуется составлять дополнительное соглашение к трудовому договору в двух экземплярах. Один экземпляр дополнительного соглашения к трудовому договору передается работнику учреждения, второй - хранится в кадровой службе работодателя. При этом получение работником учреждения экземпляра дополнительного соглашения к трудовому договору рекомендуется подтверждать подписью работника на экземпляре трудового договора или дополнительного соглашения к трудовому договору, </w:t>
      </w:r>
      <w:proofErr w:type="gramStart"/>
      <w:r w:rsidRPr="00D77F80">
        <w:t>хранящихся</w:t>
      </w:r>
      <w:proofErr w:type="gramEnd"/>
      <w:r w:rsidRPr="00D77F80">
        <w:t xml:space="preserve"> у работодателя.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7. В случае отсутствия в ранее заключенном трудовом договоре информации о работодателе и работнике учреждения, предусмотренной примерной </w:t>
      </w:r>
      <w:hyperlink r:id="rId16" w:history="1">
        <w:r w:rsidRPr="00D77F80">
          <w:t>формой</w:t>
        </w:r>
      </w:hyperlink>
      <w:r w:rsidRPr="00D77F80">
        <w:t xml:space="preserve"> трудового договора, рекомендуется указывать эту информацию в дополнительном соглашении к трудовому договору.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8. В дополнительное соглашение к трудовому договору рекомендуется включать условия, </w:t>
      </w:r>
      <w:r w:rsidRPr="00D77F80">
        <w:lastRenderedPageBreak/>
        <w:t xml:space="preserve">предусмотренные </w:t>
      </w:r>
      <w:hyperlink r:id="rId17" w:history="1">
        <w:r w:rsidRPr="00D77F80">
          <w:t>статьей 57</w:t>
        </w:r>
      </w:hyperlink>
      <w:r w:rsidRPr="00D77F80">
        <w:t xml:space="preserve"> Трудового кодекса Российской Федерации (в случае отсутствия этих условий в ранее заключенном трудовом договоре), в частности: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место работы, а в случае, когда работник принимается для работы в конкретном филиале, представительстве или ином обособленном структурном подразделении учреждения, расположенном в другой местности, - место работы с указанием обособленного структурного подразделения и его местонахождения;</w:t>
      </w:r>
    </w:p>
    <w:p w:rsidR="00EA537F" w:rsidRPr="00D77F80" w:rsidRDefault="00EA537F" w:rsidP="00EA537F">
      <w:pPr>
        <w:pStyle w:val="ConsPlusNormal"/>
        <w:ind w:firstLine="540"/>
        <w:jc w:val="both"/>
      </w:pPr>
      <w:proofErr w:type="gramStart"/>
      <w:r w:rsidRPr="00D77F80">
        <w:t>трудовая функция (работа по должности в соответствии со штатным расписанием, профессии, специальности с указанием квалификации; конкретный вид поручаемой работнику учреждения работы.</w:t>
      </w:r>
      <w:proofErr w:type="gramEnd"/>
      <w:r w:rsidRPr="00D77F80">
        <w:t xml:space="preserve"> </w:t>
      </w:r>
      <w:proofErr w:type="gramStart"/>
      <w:r w:rsidRPr="00D77F80">
        <w:t xml:space="preserve">Если в соответствии с Трудовым </w:t>
      </w:r>
      <w:hyperlink r:id="rId18" w:history="1">
        <w:r w:rsidRPr="00D77F80">
          <w:t>кодексом</w:t>
        </w:r>
      </w:hyperlink>
      <w:r w:rsidRPr="00D77F80">
        <w:t xml:space="preserve"> Российской Федерации, иными федеральными законами с выполнением работ по определенным должностям, профессиям, специальностям связано предоставление компенсаций и льгот либо наличие ограничений, то наименования этих должностей, профессий или специальностей и квалификационные требования к ним должны соответствовать наименованиям и требованиям, указанным в квалификационных справочниках, утверждаемых в </w:t>
      </w:r>
      <w:hyperlink r:id="rId19" w:history="1">
        <w:r w:rsidRPr="00D77F80">
          <w:t>порядке</w:t>
        </w:r>
      </w:hyperlink>
      <w:r w:rsidRPr="00D77F80">
        <w:t xml:space="preserve">, устанавливаемом Правительством Российской Федерации, или соответствующим положениям </w:t>
      </w:r>
      <w:hyperlink r:id="rId20" w:history="1">
        <w:r w:rsidRPr="00D77F80">
          <w:t>профессиональных стандартов</w:t>
        </w:r>
      </w:hyperlink>
      <w:r w:rsidRPr="00D77F80">
        <w:t>;</w:t>
      </w:r>
      <w:proofErr w:type="gramEnd"/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в случае, когда был заключен срочный трудовой договор, также срок его действия и обстоятельства (причины), послужившие основанием для заключения срочного трудового договора в соответствии с Трудовым </w:t>
      </w:r>
      <w:hyperlink r:id="rId21" w:history="1">
        <w:r w:rsidRPr="00D77F80">
          <w:t>кодексом</w:t>
        </w:r>
      </w:hyperlink>
      <w:r w:rsidRPr="00D77F80">
        <w:t xml:space="preserve"> Российской Федерации или иным федеральным законом;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условия оплаты труда (в том числе размер тарифной ставки или оклада (должностного оклада) работника учреждения, доплаты, надбавки и поощрительные выплаты). </w:t>
      </w:r>
      <w:proofErr w:type="gramStart"/>
      <w:r w:rsidRPr="00D77F80">
        <w:t>При этом рекомендуется конкретизировать условия осуществления выплат: компенсационного характера (наименование выплаты, размер выплаты, а также факторы, обусловливающие получение выплаты); стимулирующего характера (наименование выплаты, условия получения выплаты, показатели и критерии оценки эффективности деятельности, периодичность, размер выплаты);</w:t>
      </w:r>
      <w:proofErr w:type="gramEnd"/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режим рабочего времени и времени отдыха (если для данного работника учреждения он отличается от общих правил, действующих в учреждении);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компенсации за тяжелую работу и работу с вредными и (или) опасными условиями труда, если работник учреждения принимается на работу в соответствующих условиях, с указанием характеристик условий труда на рабочем месте;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условия, определяющие в необходимых случаях характер работы (подвижной, разъездной, в пути, другой характер работы);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условие об обязательном социальном страховании работника учреждения в соответствии с Трудовым </w:t>
      </w:r>
      <w:hyperlink r:id="rId22" w:history="1">
        <w:r w:rsidRPr="00D77F80">
          <w:t>кодексом</w:t>
        </w:r>
      </w:hyperlink>
      <w:r w:rsidRPr="00D77F80">
        <w:t xml:space="preserve"> Российской Федерации и иными федеральными законами;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другие условия в случаях, предусмотренных трудовым законодательством и иными нормативными правовыми актами, содержащими нормы трудового права.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Также в дополнительное соглашение к трудовому договору рекомендуется включать следующие условия: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продолжительность ежегодного основного (ежегодного основного удлиненного) оплачиваемого отпуска работника учреждения. При предоставлении работнику учреждения ежегодного дополнительного отпуска в связи с особыми условиями труда, профессиональной спецификой в трудовом договоре указывается продолжительность ежегодного основного (ежегодного основного удлиненного) оплачиваемого отпуска и продолжительность дополнительных отпусков с указанием оснований для их предоставления;</w:t>
      </w:r>
    </w:p>
    <w:p w:rsidR="00EA537F" w:rsidRPr="00D77F80" w:rsidRDefault="00EA537F" w:rsidP="00EA537F">
      <w:pPr>
        <w:pStyle w:val="ConsPlusNormal"/>
        <w:ind w:firstLine="540"/>
        <w:jc w:val="both"/>
      </w:pPr>
      <w:proofErr w:type="gramStart"/>
      <w:r w:rsidRPr="00D77F80">
        <w:t>меры социальной поддержки и другие условия в случаях, предусмотренных трудовым законодательством и иными нормативными правовыми актами, содержащими нормы трудового права (например, особенности установления учебной нагрузки преподавателей образовательных учреждений высшего и дополнительного профессионального образования, исчисления заработной платы учителей, других педагогических работников с учетом установленного объема учебной нагрузки и другие особенности).</w:t>
      </w:r>
      <w:proofErr w:type="gramEnd"/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9. Рекомендуется отражать должностные обязанности работника учреждения непосредственно в тексте трудового договора. </w:t>
      </w:r>
      <w:proofErr w:type="gramStart"/>
      <w:r w:rsidRPr="00D77F80">
        <w:t xml:space="preserve">В случае поручения работнику учреждения с его письменного согласия выполнения дополнительной работы, связанной с совмещением профессий (должностей), расширением зон обслуживания, увеличением объема работы или </w:t>
      </w:r>
      <w:r w:rsidRPr="00D77F80">
        <w:lastRenderedPageBreak/>
        <w:t>исполнением обязанностей временно отсутствующего работника без освобождения от работы, определенной трудовым договором, конкретный вид и объем поручаемой работнику работы рекомендуется отражать в дополнительном соглашении к трудовому договору.</w:t>
      </w:r>
      <w:proofErr w:type="gramEnd"/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10. </w:t>
      </w:r>
      <w:proofErr w:type="gramStart"/>
      <w:r w:rsidRPr="00D77F80">
        <w:t xml:space="preserve">Если трудовые обязанности работников учреждения полностью или частично совпадают с должностными обязанностями, предусмотренными квалификационными характеристиками Единого квалификационного </w:t>
      </w:r>
      <w:hyperlink r:id="rId23" w:history="1">
        <w:r w:rsidRPr="00D77F80">
          <w:t>справочника</w:t>
        </w:r>
      </w:hyperlink>
      <w:r w:rsidRPr="00D77F80">
        <w:t xml:space="preserve"> должностей руководителей, специалистов и служащих (далее - ЕКС), характеристиками работ Единого тарифно-квалификационного </w:t>
      </w:r>
      <w:hyperlink r:id="rId24" w:history="1">
        <w:r w:rsidRPr="00D77F80">
          <w:t>справочника</w:t>
        </w:r>
      </w:hyperlink>
      <w:r w:rsidRPr="00D77F80">
        <w:t xml:space="preserve"> работ и профессий рабочих (далее - ЕТКС) или соответствующими положениями профессиональных стандартов, то при оформлении трудовых отношений рекомендуется применять наименования должностей служащих (профессий рабочих), предусмотренные соответствующими квалификационными характеристиками </w:t>
      </w:r>
      <w:hyperlink r:id="rId25" w:history="1">
        <w:r w:rsidRPr="00D77F80">
          <w:t>ЕКС</w:t>
        </w:r>
      </w:hyperlink>
      <w:r w:rsidRPr="00D77F80">
        <w:t>, тарифно-квалификационными характеристиками</w:t>
      </w:r>
      <w:proofErr w:type="gramEnd"/>
      <w:r w:rsidRPr="00D77F80">
        <w:t xml:space="preserve"> </w:t>
      </w:r>
      <w:hyperlink r:id="rId26" w:history="1">
        <w:r w:rsidRPr="00D77F80">
          <w:t>ЕТКС</w:t>
        </w:r>
      </w:hyperlink>
      <w:r w:rsidRPr="00D77F80">
        <w:t xml:space="preserve"> и </w:t>
      </w:r>
      <w:hyperlink r:id="rId27" w:history="1">
        <w:r w:rsidRPr="00D77F80">
          <w:t>профессиональными стандартами</w:t>
        </w:r>
      </w:hyperlink>
      <w:r w:rsidRPr="00D77F80">
        <w:t>.</w:t>
      </w:r>
    </w:p>
    <w:p w:rsidR="00EA537F" w:rsidRPr="00D77F80" w:rsidRDefault="00EA537F" w:rsidP="00EA537F">
      <w:pPr>
        <w:pStyle w:val="ConsPlusNormal"/>
        <w:ind w:firstLine="540"/>
        <w:jc w:val="both"/>
      </w:pPr>
      <w:bookmarkStart w:id="2" w:name="P74"/>
      <w:bookmarkEnd w:id="2"/>
      <w:r w:rsidRPr="00D77F80">
        <w:t>11. В системах оплаты труда, трудовых договорах и дополнительных соглашениях к трудовым договорам с работниками учреждений рекомендуется использовать следующие выплаты стимулирующего и компенсационного характера: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а) выплаты за интенсивность и высокие результаты работы: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надбавка за интенсивность труда;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премия за высокие результаты работы;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премия за выполнение особо важных и ответственных работ;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б) выплаты за качество выполняемых работ: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надбавка за наличие квалификационной категории;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премия за образцовое выполнение государственного (муниципального) задания;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в) выплаты за стаж непрерывной работы, выслугу лет: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надбавка за выслугу лет;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надбавка за стаж непрерывной работы;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г) премиальные выплаты по итогам работы: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премия по итогам работы за месяц;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премия по итогам работы за квартал;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премия по итогам работы за год;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д) выплаты работникам, занятым на тяжелых работах, работах с вредными и (или) опасными и иными особыми условиями труда;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е) выплаты за работу в местностях с особыми климатическими условиями:</w:t>
      </w:r>
    </w:p>
    <w:p w:rsidR="00EA537F" w:rsidRPr="00D77F80" w:rsidRDefault="00EA537F" w:rsidP="00EA537F">
      <w:pPr>
        <w:pStyle w:val="ConsPlusNormal"/>
        <w:ind w:firstLine="540"/>
        <w:jc w:val="both"/>
      </w:pPr>
      <w:hyperlink r:id="rId28" w:history="1">
        <w:r w:rsidRPr="00D77F80">
          <w:t>районный коэффициент</w:t>
        </w:r>
      </w:hyperlink>
      <w:r w:rsidRPr="00D77F80">
        <w:t>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коэффициент за работу в пустынных и безводных местностях;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коэффициент за работу в высокогорных районах;</w:t>
      </w:r>
    </w:p>
    <w:p w:rsidR="00EA537F" w:rsidRPr="00D77F80" w:rsidRDefault="00EA537F" w:rsidP="00EA537F">
      <w:pPr>
        <w:pStyle w:val="ConsPlusNormal"/>
        <w:ind w:firstLine="540"/>
        <w:jc w:val="both"/>
      </w:pPr>
      <w:hyperlink r:id="rId29" w:history="1">
        <w:r w:rsidRPr="00D77F80">
          <w:t>надбавка</w:t>
        </w:r>
      </w:hyperlink>
      <w:r w:rsidRPr="00D77F80">
        <w:t xml:space="preserve"> за стаж работы в районах Крайнего Севера и приравненных к ним местностях;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ж) выплаты за работу в условиях, отклоняющихся от нормальных (при выполнении работ различной квалификации, совмещении профессий (должностей), расширении зон обслуживания, увеличении объема выполняемых работ, сверхурочной работе, работе в ночное время и при выполнении работ в других условиях, отклоняющихся от нормальных):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доплата за совмещение профессий (должностей);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доплата за расширение зон обслуживания;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доплата за увеличение объема работы;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доплата за исполнение обязанностей временно отсутствующего работника без освобождения от работы, определенной трудовым договором;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доплата за выполнение работ различной квалификации;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доплата за работу в ночное время;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з) надбавка за работу со </w:t>
      </w:r>
      <w:hyperlink r:id="rId30" w:history="1">
        <w:r w:rsidRPr="00D77F80">
          <w:t>сведениями</w:t>
        </w:r>
      </w:hyperlink>
      <w:r w:rsidRPr="00D77F80">
        <w:t>, составляющими государственную тайну, их засекречиванием и рассекречиванием, а также за работу с шифрами.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В системах оплаты труда, трудовых договорах и дополнительных соглашениях к трудовым договорам с работниками учреждений могут быть предусмотрены другие выплаты компенсационного и стимулирующего характера в соответствии с трудовым законодательством, иными нормативными правовыми актами, содержащими нормы трудового права, а также коллективными договорами и соглашениями.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lastRenderedPageBreak/>
        <w:t xml:space="preserve">12. В трудовом договоре или дополнительном соглашении к трудовому договору условия осуществления выплат, предусмотренных </w:t>
      </w:r>
      <w:hyperlink w:anchor="P74" w:history="1">
        <w:r w:rsidRPr="00D77F80">
          <w:t>пунктом 11</w:t>
        </w:r>
      </w:hyperlink>
      <w:r w:rsidRPr="00D77F80">
        <w:t xml:space="preserve"> Рекомендаций, рекомендуется конкретизировать применительно к данному работнику учреждения.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13. Условия осуществления выплат стимулирующего и компенсационного характера, а также предоставления мер социальной поддержки рекомендуется излагать в трудовом договоре или дополнительном соглашении к трудовому договору в форме, понятной работнику учреждения и работодателю, и исключающей неоднозначное толкование этих условий. При этом не рекомендуется ограничиваться только ссылками на положения локальных нормативных актов, содержащих нормы, регулирующие вопросы осуществления выплат стимулирующего и компенсационного и характера.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В случае если какие-либо выплаты устанавливаются в абсолютном размере (в рублях), рекомендуется указывать этот размер в трудовом договоре или дополнительном соглашении к трудовому договору. Размер выплат, устанавливаемых в процентах, баллах и других единицах измерения, рекомендуется указывать в этих единицах с указанием условий, при достижении которых они осуществляются.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14. </w:t>
      </w:r>
      <w:proofErr w:type="gramStart"/>
      <w:r w:rsidRPr="00D77F80">
        <w:t>Если работнику учреждения поручается с его письменного согласия дополнительная работа по другой профессии (должности), в трудовом договоре или дополнительном соглашении к трудовому договору рекомендуется указывать размер доплаты за совмещение профессий (должностей), определяемый по соглашению сторон трудовых отношений исходя из сложности выполняемой работы, ее объема, занятости работника по основной и совмещаемой работе и других факторов.</w:t>
      </w:r>
      <w:proofErr w:type="gramEnd"/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15. </w:t>
      </w:r>
      <w:proofErr w:type="gramStart"/>
      <w:r w:rsidRPr="00D77F80">
        <w:t>В трудовом договоре или дополнительном соглашении к трудовому договору могут предусматриваться дополнительные условия, конкретизирующие права и обязанности сторон трудового договора, не ухудшающие положение работника учреждения по сравнению с условиями, установленными законодательством Российской Федерации и иными нормативными правовыми актами, коллективным договором, соглашениями, локальными нормативными актами, в частности:</w:t>
      </w:r>
      <w:proofErr w:type="gramEnd"/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об уточнении места работы (с указанием структурного подразделения и его местонахождения) и (или) о рабочем месте;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об испытании;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о неразглашении охраняемой законом </w:t>
      </w:r>
      <w:hyperlink r:id="rId31" w:history="1">
        <w:r w:rsidRPr="00D77F80">
          <w:t>тайны</w:t>
        </w:r>
      </w:hyperlink>
      <w:r w:rsidRPr="00D77F80">
        <w:t xml:space="preserve"> (государственной, служебной, коммерческой и иной), персональных данных работников учреждения;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об обязанности работника учреждения отработать после обучения не менее установленного договором срока, если обучение проводилось за счет средств работодателя;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о видах и об условиях дополнительного страхования работника учреждения;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об улучшении социально-бытовых условий работника учреждения и членов его семьи;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об уточнении применительно к условиям работы данного работника учреждения прав и обязанностей работника и работодателя, установленных трудовым законодательством и иными нормативными правовыми актами, содержащими нормы трудового права.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В трудовом договоре или дополнительном соглашении к трудовому договору могут предусматриваться также случаи, связанные с возложением на работников учреждения с их согласия дополнительных обязанностей с указанием размеров доплат (например, за выполнение функций классного руководителя).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16. </w:t>
      </w:r>
      <w:proofErr w:type="gramStart"/>
      <w:r w:rsidRPr="00D77F80">
        <w:t xml:space="preserve">В соответствии с </w:t>
      </w:r>
      <w:hyperlink r:id="rId32" w:history="1">
        <w:r w:rsidRPr="00D77F80">
          <w:t>частью первой статьи 100</w:t>
        </w:r>
      </w:hyperlink>
      <w:r w:rsidRPr="00D77F80">
        <w:t xml:space="preserve"> Трудового кодекса Российской Федерации режим рабочего времени должен предусматривать продолжительность рабочей недели (пятидневная с двумя выходными днями, шестидневная с одним выходным днем, рабочая неделя с предоставлением выходных дней по скользящему графику, неполная рабочая неделя), работу с ненормированным рабочим днем для отдельных категорий работников, продолжительность ежедневной работы (смены), в том числе неполного рабочего дня</w:t>
      </w:r>
      <w:proofErr w:type="gramEnd"/>
      <w:r w:rsidRPr="00D77F80">
        <w:t xml:space="preserve"> (</w:t>
      </w:r>
      <w:proofErr w:type="gramStart"/>
      <w:r w:rsidRPr="00D77F80">
        <w:t xml:space="preserve">смены), время начала и окончания работы, время перерывов в работе, число смен в сутки, чередование рабочих и нерабочих дней, которые устанавливаются правилами внутреннего трудового распорядка в соответствии с трудовым законодательством и иными нормативными правовыми актами, содержащими нормы трудового права, коллективным договором, соглашениями, а для работников, режим рабочего времени которых отличается от общих правил, установленных у </w:t>
      </w:r>
      <w:r w:rsidRPr="00D77F80">
        <w:lastRenderedPageBreak/>
        <w:t>данного работодателя, - трудовым договором.</w:t>
      </w:r>
      <w:proofErr w:type="gramEnd"/>
    </w:p>
    <w:p w:rsidR="00EA537F" w:rsidRPr="00D77F80" w:rsidRDefault="00EA537F" w:rsidP="00EA537F">
      <w:pPr>
        <w:pStyle w:val="ConsPlusNormal"/>
        <w:ind w:firstLine="540"/>
        <w:jc w:val="both"/>
      </w:pPr>
      <w:proofErr w:type="gramStart"/>
      <w:r w:rsidRPr="00D77F80">
        <w:t>Если в отдельных случаях возникает необходимость конкретизировать режим рабочего времени, прийти к соглашению о неполном рабочем времени, гибком графике работы, определить особенности режима рабочего времени в отдельные периоды деятельности учреждения (например, каникулярный период, не совпадающий с отпуском работника), данные особенности режима рабочего времени рекомендуется указывать в трудовом договоре или дополнительном соглашении к трудовому договору.</w:t>
      </w:r>
      <w:proofErr w:type="gramEnd"/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rPr>
          <w:sz w:val="20"/>
        </w:rPr>
        <w:t>Форма подготовлена с использованием правовых актов по состоянию на 25.02.2014.</w:t>
      </w:r>
    </w:p>
    <w:p w:rsidR="00EA537F" w:rsidRPr="00D77F80" w:rsidRDefault="00EA537F" w:rsidP="00EA537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                  ____________________________________________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                                            (Ф.И.О. работника)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                  адрес: _____________________________________</w:t>
      </w:r>
    </w:p>
    <w:p w:rsidR="00EA537F" w:rsidRPr="00D77F80" w:rsidRDefault="00EA537F" w:rsidP="00EA537F">
      <w:pPr>
        <w:pStyle w:val="ConsPlusNonformat"/>
        <w:jc w:val="both"/>
      </w:pP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                  от _________________________________________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                                </w:t>
      </w:r>
      <w:proofErr w:type="gramStart"/>
      <w:r w:rsidRPr="00D77F80">
        <w:t>(наименование государственного</w:t>
      </w:r>
      <w:proofErr w:type="gramEnd"/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                                   </w:t>
      </w:r>
      <w:proofErr w:type="gramStart"/>
      <w:r w:rsidRPr="00D77F80">
        <w:t>муниципального) учреждения)</w:t>
      </w:r>
      <w:proofErr w:type="gramEnd"/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                  адрес: ____________________________________,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                  телефон: _____________, факс: _____________,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                  адрес электронной почты: ___________________</w:t>
      </w:r>
    </w:p>
    <w:p w:rsidR="00EA537F" w:rsidRPr="00D77F80" w:rsidRDefault="00EA537F" w:rsidP="00EA537F">
      <w:pPr>
        <w:pStyle w:val="ConsPlusNonformat"/>
        <w:jc w:val="both"/>
      </w:pP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                   Уведомление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       о переходе на эффективный контракт</w:t>
      </w:r>
    </w:p>
    <w:p w:rsidR="00EA537F" w:rsidRPr="00D77F80" w:rsidRDefault="00EA537F" w:rsidP="00EA537F">
      <w:pPr>
        <w:pStyle w:val="ConsPlusNonformat"/>
        <w:jc w:val="both"/>
      </w:pP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_________________________________________ в соответствии с требованиями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</w:t>
      </w:r>
      <w:proofErr w:type="gramStart"/>
      <w:r w:rsidRPr="00D77F80">
        <w:t>(наименование государственного</w:t>
      </w:r>
      <w:proofErr w:type="gramEnd"/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(муниципального) учреждения)</w:t>
      </w:r>
    </w:p>
    <w:p w:rsidR="00EA537F" w:rsidRPr="00D77F80" w:rsidRDefault="00EA537F" w:rsidP="00EA537F">
      <w:pPr>
        <w:pStyle w:val="ConsPlusNonformat"/>
        <w:jc w:val="both"/>
      </w:pPr>
      <w:hyperlink r:id="rId33" w:history="1">
        <w:r w:rsidRPr="00D77F80">
          <w:t>ч. 2  ст. 74</w:t>
        </w:r>
      </w:hyperlink>
      <w:r w:rsidRPr="00D77F80">
        <w:t xml:space="preserve">  Трудового кодекса  Российской  Федерации и  </w:t>
      </w:r>
      <w:hyperlink r:id="rId34" w:history="1">
        <w:r w:rsidRPr="00D77F80">
          <w:t>Приказом</w:t>
        </w:r>
      </w:hyperlink>
      <w:r w:rsidRPr="00D77F80">
        <w:t xml:space="preserve"> Минтруда</w:t>
      </w:r>
    </w:p>
    <w:p w:rsidR="00EA537F" w:rsidRPr="00D77F80" w:rsidRDefault="00EA537F" w:rsidP="00EA537F">
      <w:pPr>
        <w:pStyle w:val="ConsPlusNonformat"/>
        <w:jc w:val="both"/>
      </w:pPr>
      <w:r w:rsidRPr="00D77F80">
        <w:t>России от 26.04.2013 N 167н настоящим уведомляет __________________________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                                        (Ф.И.О. работника)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о том, что в связи </w:t>
      </w:r>
      <w:proofErr w:type="gramStart"/>
      <w:r w:rsidRPr="00D77F80">
        <w:t>с</w:t>
      </w:r>
      <w:proofErr w:type="gramEnd"/>
      <w:r w:rsidRPr="00D77F80">
        <w:t xml:space="preserve"> _____________________________________________________,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а также  в связи  с  реализацией  </w:t>
      </w:r>
      <w:hyperlink r:id="rId35" w:history="1">
        <w:r w:rsidRPr="00D77F80">
          <w:t>Программы</w:t>
        </w:r>
      </w:hyperlink>
      <w:r w:rsidRPr="00D77F80">
        <w:t xml:space="preserve">  поэтапного   совершенствования</w:t>
      </w:r>
    </w:p>
    <w:p w:rsidR="00EA537F" w:rsidRPr="00D77F80" w:rsidRDefault="00EA537F" w:rsidP="00EA537F">
      <w:pPr>
        <w:pStyle w:val="ConsPlusNonformat"/>
        <w:jc w:val="both"/>
      </w:pPr>
      <w:r w:rsidRPr="00D77F80">
        <w:t>системы  оплаты  труда   в   государственных  (муниципальных)   учреждениях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на 2012 - 2018 годы,  </w:t>
      </w:r>
      <w:proofErr w:type="gramStart"/>
      <w:r w:rsidRPr="00D77F80">
        <w:t>утвержденной</w:t>
      </w:r>
      <w:proofErr w:type="gramEnd"/>
      <w:r w:rsidRPr="00D77F80">
        <w:t xml:space="preserve">  распоряжением  Правительства Российской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Федерации от 26.11.2012 N 2190-р,  </w:t>
      </w:r>
      <w:proofErr w:type="gramStart"/>
      <w:r w:rsidRPr="00D77F80">
        <w:t>в</w:t>
      </w:r>
      <w:proofErr w:type="gramEnd"/>
      <w:r w:rsidRPr="00D77F80">
        <w:t xml:space="preserve"> ______________________________________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                            </w:t>
      </w:r>
      <w:proofErr w:type="gramStart"/>
      <w:r w:rsidRPr="00D77F80">
        <w:t>(наименование государственного</w:t>
      </w:r>
      <w:proofErr w:type="gramEnd"/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                              (муниципального) учреждения)</w:t>
      </w:r>
    </w:p>
    <w:p w:rsidR="00EA537F" w:rsidRPr="00D77F80" w:rsidRDefault="00EA537F" w:rsidP="00EA537F">
      <w:pPr>
        <w:pStyle w:val="ConsPlusNonformat"/>
        <w:jc w:val="both"/>
      </w:pPr>
      <w:r w:rsidRPr="00D77F80">
        <w:t>вводится эффективный контракт.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В  связи   с  введением   эффективного  контракта в  Трудовой   договор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от "___"________ ____ г. N ___, заключенный </w:t>
      </w:r>
      <w:proofErr w:type="gramStart"/>
      <w:r w:rsidRPr="00D77F80">
        <w:t>между</w:t>
      </w:r>
      <w:proofErr w:type="gramEnd"/>
      <w:r w:rsidRPr="00D77F80">
        <w:t xml:space="preserve"> _______________________ и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                                </w:t>
      </w:r>
      <w:proofErr w:type="gramStart"/>
      <w:r w:rsidRPr="00D77F80">
        <w:t>(наименование государственного</w:t>
      </w:r>
      <w:proofErr w:type="gramEnd"/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                                  (муниципального) учреждения)</w:t>
      </w:r>
    </w:p>
    <w:p w:rsidR="00EA537F" w:rsidRPr="00D77F80" w:rsidRDefault="00EA537F" w:rsidP="00EA537F">
      <w:pPr>
        <w:pStyle w:val="ConsPlusNonformat"/>
        <w:jc w:val="both"/>
      </w:pPr>
      <w:r w:rsidRPr="00D77F80">
        <w:t>_______________________, необходимо внести следующие изменения, касающиеся,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(Ф.И.О. работника)</w:t>
      </w:r>
    </w:p>
    <w:p w:rsidR="00EA537F" w:rsidRPr="00D77F80" w:rsidRDefault="00EA537F" w:rsidP="00EA537F">
      <w:pPr>
        <w:pStyle w:val="ConsPlusNonformat"/>
        <w:jc w:val="both"/>
      </w:pPr>
      <w:r w:rsidRPr="00D77F80">
        <w:t>в том числе, порядка оплаты труда: _______________________________________.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rPr>
          <w:sz w:val="20"/>
        </w:rPr>
        <w:t xml:space="preserve">Согласно </w:t>
      </w:r>
      <w:hyperlink r:id="rId36" w:history="1">
        <w:r w:rsidRPr="00D77F80">
          <w:rPr>
            <w:sz w:val="20"/>
          </w:rPr>
          <w:t>ч. 2 ст. 74</w:t>
        </w:r>
      </w:hyperlink>
      <w:r w:rsidRPr="00D77F80">
        <w:rPr>
          <w:sz w:val="20"/>
        </w:rPr>
        <w:t xml:space="preserve"> Трудового кодекса Российской Федерации о предстоящих изменениях, определенных сторонами условий трудового договора, а также о причинах, вызвавших необходимость таких изменений, работодатель обязан уведомить работника в письменной форме не </w:t>
      </w:r>
      <w:proofErr w:type="gramStart"/>
      <w:r w:rsidRPr="00D77F80">
        <w:rPr>
          <w:sz w:val="20"/>
        </w:rPr>
        <w:t>позднее</w:t>
      </w:r>
      <w:proofErr w:type="gramEnd"/>
      <w:r w:rsidRPr="00D77F80">
        <w:rPr>
          <w:sz w:val="20"/>
        </w:rPr>
        <w:t xml:space="preserve"> чем за два месяца, если иное не предусмотрено Трудовым </w:t>
      </w:r>
      <w:hyperlink r:id="rId37" w:history="1">
        <w:r w:rsidRPr="00D77F80">
          <w:rPr>
            <w:sz w:val="20"/>
          </w:rPr>
          <w:t>кодексом</w:t>
        </w:r>
      </w:hyperlink>
      <w:r w:rsidRPr="00D77F80">
        <w:rPr>
          <w:sz w:val="20"/>
        </w:rPr>
        <w:t xml:space="preserve"> Российской Федерации.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rPr>
          <w:sz w:val="20"/>
        </w:rPr>
        <w:t>В случае согласия с внесением данных изменений в Трудовой договор от "___"________ ____ г. N ___ необходимо в течение 2 (двух) месяцев со дня получения данного уведомления подписать соответствующее дополнительное соглашение.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rPr>
          <w:sz w:val="20"/>
        </w:rPr>
        <w:t xml:space="preserve">Согласно </w:t>
      </w:r>
      <w:hyperlink r:id="rId38" w:history="1">
        <w:r w:rsidRPr="00D77F80">
          <w:rPr>
            <w:sz w:val="20"/>
          </w:rPr>
          <w:t>ч. 4 ст. 74</w:t>
        </w:r>
      </w:hyperlink>
      <w:r w:rsidRPr="00D77F80">
        <w:rPr>
          <w:sz w:val="20"/>
        </w:rPr>
        <w:t xml:space="preserve"> Трудового кодекса Российской Федерации при отказе работника от предложенной работы трудовой договор прекращается в соответствии с </w:t>
      </w:r>
      <w:hyperlink r:id="rId39" w:history="1">
        <w:r w:rsidRPr="00D77F80">
          <w:rPr>
            <w:sz w:val="20"/>
          </w:rPr>
          <w:t>п. 7 ч. 1 ст. 77</w:t>
        </w:r>
      </w:hyperlink>
      <w:r w:rsidRPr="00D77F80">
        <w:rPr>
          <w:sz w:val="20"/>
        </w:rPr>
        <w:t xml:space="preserve"> Трудового кодекса Российской Федерации.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В случае  если в течение 2 (двух) месяцев со дня  получения  настоящего</w:t>
      </w:r>
    </w:p>
    <w:p w:rsidR="00EA537F" w:rsidRPr="00D77F80" w:rsidRDefault="00EA537F" w:rsidP="00EA537F">
      <w:pPr>
        <w:pStyle w:val="ConsPlusNonformat"/>
        <w:jc w:val="both"/>
      </w:pPr>
      <w:r w:rsidRPr="00D77F80">
        <w:t>уведомления ____________________ не будет дан ответ либо __________________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     (Ф.И.О. работника)                          (Ф.И.О. работника)</w:t>
      </w:r>
    </w:p>
    <w:p w:rsidR="00EA537F" w:rsidRPr="00D77F80" w:rsidRDefault="00EA537F" w:rsidP="00EA537F">
      <w:pPr>
        <w:pStyle w:val="ConsPlusNonformat"/>
        <w:jc w:val="both"/>
      </w:pPr>
      <w:r w:rsidRPr="00D77F80">
        <w:t>откажется от внесения указанных изменений в трудовой договор,  то  Трудовой</w:t>
      </w:r>
    </w:p>
    <w:p w:rsidR="00EA537F" w:rsidRPr="00D77F80" w:rsidRDefault="00EA537F" w:rsidP="00EA537F">
      <w:pPr>
        <w:pStyle w:val="ConsPlusNonformat"/>
        <w:jc w:val="both"/>
      </w:pPr>
      <w:r w:rsidRPr="00D77F80">
        <w:t>договор  от   "___"________ ____ г.  N ___  прекращается   в   соответствии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с </w:t>
      </w:r>
      <w:hyperlink r:id="rId40" w:history="1">
        <w:r w:rsidRPr="00D77F80">
          <w:t>п. 7 ч. 1 ст. 77</w:t>
        </w:r>
      </w:hyperlink>
      <w:r w:rsidRPr="00D77F80">
        <w:t xml:space="preserve"> Трудового кодекса Российской Федерации.</w:t>
      </w:r>
    </w:p>
    <w:p w:rsidR="00EA537F" w:rsidRPr="00D77F80" w:rsidRDefault="00EA537F" w:rsidP="00EA537F">
      <w:pPr>
        <w:pStyle w:val="ConsPlusNonformat"/>
        <w:jc w:val="both"/>
      </w:pP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"___"________ ____ </w:t>
      </w:r>
      <w:proofErr w:type="gramStart"/>
      <w:r w:rsidRPr="00D77F80">
        <w:t>г</w:t>
      </w:r>
      <w:proofErr w:type="gramEnd"/>
      <w:r w:rsidRPr="00D77F80">
        <w:t>.</w:t>
      </w:r>
    </w:p>
    <w:p w:rsidR="00EA537F" w:rsidRPr="00D77F80" w:rsidRDefault="00EA537F" w:rsidP="00EA537F">
      <w:pPr>
        <w:pStyle w:val="ConsPlusNonformat"/>
        <w:jc w:val="both"/>
      </w:pP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___________________</w:t>
      </w:r>
    </w:p>
    <w:p w:rsidR="00EA537F" w:rsidRPr="00D77F80" w:rsidRDefault="00EA537F" w:rsidP="00EA537F">
      <w:pPr>
        <w:pStyle w:val="ConsPlusNonformat"/>
        <w:jc w:val="both"/>
      </w:pPr>
      <w:r w:rsidRPr="00D77F80">
        <w:t xml:space="preserve">        (подпись)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A537F" w:rsidRPr="00D77F80" w:rsidRDefault="00EA537F" w:rsidP="00EA537F">
      <w:pPr>
        <w:pStyle w:val="ConsPlusTitlePage"/>
      </w:pPr>
    </w:p>
    <w:p w:rsidR="00EA537F" w:rsidRPr="00D77F80" w:rsidRDefault="00EA537F" w:rsidP="00EA537F">
      <w:pPr>
        <w:pStyle w:val="ConsPlusTitle"/>
        <w:jc w:val="center"/>
      </w:pPr>
      <w:r w:rsidRPr="00D77F80">
        <w:lastRenderedPageBreak/>
        <w:t>МИНИСТЕРСТВО ОБРАЗОВАНИЯ И НАУКИ РОССИЙСКОЙ ФЕДЕРАЦИИ</w:t>
      </w:r>
    </w:p>
    <w:p w:rsidR="00EA537F" w:rsidRPr="00D77F80" w:rsidRDefault="00EA537F" w:rsidP="00EA537F">
      <w:pPr>
        <w:pStyle w:val="ConsPlusTitle"/>
        <w:jc w:val="center"/>
      </w:pPr>
    </w:p>
    <w:p w:rsidR="00EA537F" w:rsidRPr="00D77F80" w:rsidRDefault="00EA537F" w:rsidP="00EA537F">
      <w:pPr>
        <w:pStyle w:val="ConsPlusTitle"/>
        <w:jc w:val="center"/>
      </w:pPr>
      <w:r w:rsidRPr="00D77F80">
        <w:t>ПИСЬМО</w:t>
      </w:r>
    </w:p>
    <w:p w:rsidR="00EA537F" w:rsidRPr="00D77F80" w:rsidRDefault="00EA537F" w:rsidP="00EA537F">
      <w:pPr>
        <w:pStyle w:val="ConsPlusTitle"/>
        <w:jc w:val="center"/>
      </w:pPr>
      <w:r w:rsidRPr="00D77F80">
        <w:t>от 20 июня 2013 г. N АП-1073/02</w:t>
      </w:r>
    </w:p>
    <w:p w:rsidR="00EA537F" w:rsidRPr="00D77F80" w:rsidRDefault="00EA537F" w:rsidP="00EA537F">
      <w:pPr>
        <w:pStyle w:val="ConsPlusTitle"/>
        <w:jc w:val="center"/>
      </w:pPr>
    </w:p>
    <w:p w:rsidR="00EA537F" w:rsidRPr="00D77F80" w:rsidRDefault="00EA537F" w:rsidP="00EA537F">
      <w:pPr>
        <w:pStyle w:val="ConsPlusTitle"/>
        <w:jc w:val="center"/>
      </w:pPr>
      <w:r w:rsidRPr="00D77F80">
        <w:t>О РАЗРАБОТКЕ ПОКАЗАТЕЛЕЙ ЭФФЕКТИВНОСТИ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  <w:proofErr w:type="gramStart"/>
      <w:r w:rsidRPr="00D77F80">
        <w:t xml:space="preserve">В рамках реализации </w:t>
      </w:r>
      <w:hyperlink r:id="rId41" w:history="1">
        <w:r w:rsidRPr="00D77F80">
          <w:t>Программы</w:t>
        </w:r>
      </w:hyperlink>
      <w:r w:rsidRPr="00D77F80">
        <w:t xml:space="preserve"> поэтапного совершенствования системы оплаты труда в государственных (муниципальных) учреждениях на 2013 - 2018 годы, в соответствии с приказом Минтруда России от 13 мая 2013 г. N 202 "О проведении пилотного внедрения мероприятий по обеспечению взаимодействия федеральных органов исполнительной власти и органов государственной власти субъектов Российской Федерации при координации мероприятий по повышению оплаты труда отдельных категорий работников государственных</w:t>
      </w:r>
      <w:proofErr w:type="gramEnd"/>
      <w:r w:rsidRPr="00D77F80">
        <w:t xml:space="preserve"> (муниципальных) учреждений" </w:t>
      </w:r>
      <w:proofErr w:type="spellStart"/>
      <w:r w:rsidRPr="00D77F80">
        <w:t>Минобрнауки</w:t>
      </w:r>
      <w:proofErr w:type="spellEnd"/>
      <w:r w:rsidRPr="00D77F80">
        <w:t xml:space="preserve"> России подготовлены Методические </w:t>
      </w:r>
      <w:hyperlink w:anchor="P27" w:history="1">
        <w:r w:rsidRPr="00D77F80">
          <w:t>рекомендации</w:t>
        </w:r>
      </w:hyperlink>
      <w:r w:rsidRPr="00D77F80">
        <w:t xml:space="preserve"> по разработке органами государственной власти субъектов Российской Федерации и органами местного самоуправления показателей эффективности деятельности государственных (муниципальных) учреждений в сфере образования, их руководителей и работников (далее - Методические рекомендации, показатели эффективности соответственно).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На основе Методических </w:t>
      </w:r>
      <w:hyperlink w:anchor="P27" w:history="1">
        <w:r w:rsidRPr="00D77F80">
          <w:t>рекомендаций</w:t>
        </w:r>
      </w:hyperlink>
      <w:r w:rsidRPr="00D77F80">
        <w:t xml:space="preserve"> органам государственной власти субъектов Российской Федерации и органам местного самоуправления (при участии организаций, осуществляющих функции государственно-общественного управления, профсоюзных организаций и трудовых коллективов) необходимо разработать и утвердить локальными нормативными актами соответствующие показатели эффективности в срок до 26 июня 2013 года.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Утвержденные нормативными актами показатели эффективности должны быть размещены в свободном доступе на официальных сайтах органов государственной власти субъектов Российской Федерации, органов местного самоуправления, государственных (муниципальных) учреждений в сфере образования.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jc w:val="right"/>
      </w:pPr>
      <w:r w:rsidRPr="00D77F80">
        <w:t>А.Б.ПОВАЛКО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jc w:val="right"/>
      </w:pPr>
      <w:r w:rsidRPr="00D77F80">
        <w:t>Приложение</w:t>
      </w:r>
    </w:p>
    <w:p w:rsidR="00EA537F" w:rsidRPr="00D77F80" w:rsidRDefault="00EA537F" w:rsidP="00EA537F">
      <w:pPr>
        <w:pStyle w:val="ConsPlusNormal"/>
        <w:jc w:val="right"/>
      </w:pPr>
    </w:p>
    <w:p w:rsidR="00EA537F" w:rsidRPr="00D77F80" w:rsidRDefault="00EA537F" w:rsidP="00EA537F">
      <w:pPr>
        <w:pStyle w:val="ConsPlusNormal"/>
        <w:jc w:val="right"/>
      </w:pPr>
      <w:r w:rsidRPr="00D77F80">
        <w:t>Утверждаю</w:t>
      </w:r>
    </w:p>
    <w:p w:rsidR="00EA537F" w:rsidRPr="00D77F80" w:rsidRDefault="00EA537F" w:rsidP="00EA537F">
      <w:pPr>
        <w:pStyle w:val="ConsPlusNormal"/>
        <w:jc w:val="right"/>
      </w:pPr>
      <w:r w:rsidRPr="00D77F80">
        <w:t>Заместитель Министра</w:t>
      </w:r>
    </w:p>
    <w:p w:rsidR="00EA537F" w:rsidRPr="00D77F80" w:rsidRDefault="00EA537F" w:rsidP="00EA537F">
      <w:pPr>
        <w:pStyle w:val="ConsPlusNormal"/>
        <w:jc w:val="right"/>
      </w:pPr>
      <w:r w:rsidRPr="00D77F80">
        <w:t>образования и науки</w:t>
      </w:r>
    </w:p>
    <w:p w:rsidR="00EA537F" w:rsidRPr="00D77F80" w:rsidRDefault="00EA537F" w:rsidP="00EA537F">
      <w:pPr>
        <w:pStyle w:val="ConsPlusNormal"/>
        <w:jc w:val="right"/>
      </w:pPr>
      <w:r w:rsidRPr="00D77F80">
        <w:t>Российской Федерации</w:t>
      </w:r>
    </w:p>
    <w:p w:rsidR="00EA537F" w:rsidRPr="00D77F80" w:rsidRDefault="00EA537F" w:rsidP="00EA537F">
      <w:pPr>
        <w:pStyle w:val="ConsPlusNormal"/>
        <w:jc w:val="right"/>
      </w:pPr>
      <w:r w:rsidRPr="00D77F80">
        <w:t>А.Б.ПОВАЛКО</w:t>
      </w:r>
    </w:p>
    <w:p w:rsidR="00EA537F" w:rsidRPr="00D77F80" w:rsidRDefault="00EA537F" w:rsidP="00EA537F">
      <w:pPr>
        <w:pStyle w:val="ConsPlusNormal"/>
        <w:jc w:val="right"/>
      </w:pPr>
      <w:r w:rsidRPr="00D77F80">
        <w:t>18 июня 2013 г.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Title"/>
        <w:jc w:val="center"/>
      </w:pPr>
      <w:bookmarkStart w:id="3" w:name="P27"/>
      <w:bookmarkEnd w:id="3"/>
      <w:r w:rsidRPr="00D77F80">
        <w:t>МЕТОДИЧЕСКИЕ РЕКОМЕНДАЦИИ</w:t>
      </w:r>
    </w:p>
    <w:p w:rsidR="00EA537F" w:rsidRPr="00D77F80" w:rsidRDefault="00EA537F" w:rsidP="00EA537F">
      <w:pPr>
        <w:pStyle w:val="ConsPlusTitle"/>
        <w:jc w:val="center"/>
      </w:pPr>
      <w:r w:rsidRPr="00D77F80">
        <w:t>МИНОБРНАУКИ РОССИИ ПО РАЗРАБОТКЕ ОРГАНАМИ ГОСУДАРСТВЕННОЙ</w:t>
      </w:r>
    </w:p>
    <w:p w:rsidR="00EA537F" w:rsidRPr="00D77F80" w:rsidRDefault="00EA537F" w:rsidP="00EA537F">
      <w:pPr>
        <w:pStyle w:val="ConsPlusTitle"/>
        <w:jc w:val="center"/>
      </w:pPr>
      <w:r w:rsidRPr="00D77F80">
        <w:t>ВЛАСТИ СУБЪЕКТОВ РОССИЙСКОЙ ФЕДЕРАЦИИ И ОРГАНАМИ МЕСТНОГО</w:t>
      </w:r>
    </w:p>
    <w:p w:rsidR="00EA537F" w:rsidRPr="00D77F80" w:rsidRDefault="00EA537F" w:rsidP="00EA537F">
      <w:pPr>
        <w:pStyle w:val="ConsPlusTitle"/>
        <w:jc w:val="center"/>
      </w:pPr>
      <w:r w:rsidRPr="00D77F80">
        <w:t>САМОУПРАВЛЕНИЯ ПОКАЗАТЕЛЕЙ ЭФФЕКТИВНОСТИ ДЕЯТЕЛЬНОСТИ</w:t>
      </w:r>
    </w:p>
    <w:p w:rsidR="00EA537F" w:rsidRPr="00D77F80" w:rsidRDefault="00EA537F" w:rsidP="00EA537F">
      <w:pPr>
        <w:pStyle w:val="ConsPlusTitle"/>
        <w:jc w:val="center"/>
      </w:pPr>
      <w:r w:rsidRPr="00D77F80">
        <w:t>ГОСУДАРСТВЕННЫХ (МУНИЦИПАЛЬНЫХ) УЧРЕЖДЕНИЙ В СФЕРЕ</w:t>
      </w:r>
    </w:p>
    <w:p w:rsidR="00EA537F" w:rsidRPr="00D77F80" w:rsidRDefault="00EA537F" w:rsidP="00EA537F">
      <w:pPr>
        <w:pStyle w:val="ConsPlusTitle"/>
        <w:jc w:val="center"/>
      </w:pPr>
      <w:r w:rsidRPr="00D77F80">
        <w:t>ОБРАЗОВАНИЯ, ИХ РУКОВОДИТЕЛЕЙ И ОТДЕЛЬНЫХ</w:t>
      </w:r>
    </w:p>
    <w:p w:rsidR="00EA537F" w:rsidRPr="00D77F80" w:rsidRDefault="00EA537F" w:rsidP="00EA537F">
      <w:pPr>
        <w:pStyle w:val="ConsPlusTitle"/>
        <w:jc w:val="center"/>
      </w:pPr>
      <w:r w:rsidRPr="00D77F80">
        <w:t>КАТЕГОРИЙ РАБОТНИКОВ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  <w:proofErr w:type="gramStart"/>
      <w:r w:rsidRPr="00D77F80">
        <w:t xml:space="preserve">В соответствии с </w:t>
      </w:r>
      <w:hyperlink r:id="rId42" w:history="1">
        <w:r w:rsidRPr="00D77F80">
          <w:t>пунктом 23</w:t>
        </w:r>
      </w:hyperlink>
      <w:r w:rsidRPr="00D77F80">
        <w:t xml:space="preserve"> приложения N 2 к Программе поэтапного совершенствования оплаты труда в государственных (муниципальных) учреждениях на 2013-2018 годы, утвержденной распоряжением Правительства Российской Федерации от 26 ноября 2012 г. N 2190-р, а также на </w:t>
      </w:r>
      <w:r w:rsidRPr="00D77F80">
        <w:lastRenderedPageBreak/>
        <w:t>основании приказа Минтруда России от 13 мая 2013 г. N 202 "О проведении пилотного внедрения мероприятий по обеспечению взаимодействия федеральных органов исполнительной власти и</w:t>
      </w:r>
      <w:proofErr w:type="gramEnd"/>
      <w:r w:rsidRPr="00D77F80">
        <w:t xml:space="preserve"> </w:t>
      </w:r>
      <w:proofErr w:type="gramStart"/>
      <w:r w:rsidRPr="00D77F80">
        <w:t xml:space="preserve">органов государственной власти субъектов Российской Федерации при координации мероприятий по повышению оплаты труда отдельных категорий работников государственных (муниципальных) учреждений" </w:t>
      </w:r>
      <w:proofErr w:type="spellStart"/>
      <w:r w:rsidRPr="00D77F80">
        <w:t>Минобрнауки</w:t>
      </w:r>
      <w:proofErr w:type="spellEnd"/>
      <w:r w:rsidRPr="00D77F80">
        <w:t xml:space="preserve"> России подготовлены Методические рекомендации по разработке органами государственной власти субъектов Российской Федерации и органами местного самоуправления показателей эффективности деятельности государственных (муниципальных) учреждений в сфере образования, их руководителей и работников (далее - Методические рекомендации).</w:t>
      </w:r>
      <w:proofErr w:type="gramEnd"/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Методические рекомендации разработаны с учетом предложений, представленных пилотными регионами (письмо Минтруда России от 13 июня 2013 г. N 14-1/10/2-3236) в рамках подготовки примерных направлений для разработки показателей эффективности деятельности руководителей и педагогических работников организаций, осуществляющих реализацию программ дошкольного, общего, начального профессионального и среднего профессионального образования (далее - Примерные направления).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При разработке органами государственной власти субъектов Российской Федерации и органами местного самоуправления на основании Методических рекомендаций показателей эффективности деятельности необходимо обеспечить коллегиальность и привлечь организации, осуществляющие государственно-общественное управление в сфере образования, трудовые коллективы, профсоюзные организации.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Информация о результатах деятельности руководителей образовательных организаций и педагогических работников в соответствии с утвержденным перечнем показателей эффективности должна быть размещена в открытом доступе на сайтах образовательных организаций в сети Интернет.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Механизм и процедура распределения стимулирующего фонда для руководителя и педагогических работников на основании утвержденного перечня показателей эффективности определяется локальными актами муниципалитета (учредителя) и образовательной организации соответственно. При этом выработка и принятие решений по распределению стимулирующего фонда оплаты труда с учетом утвержденных показателей эффективности деятельности руководителей и педагогических работников также должна осуществляться с обязательным привлечением представителей организаций, осуществляющих государственно-общественное управление в сфере образования, трудовых коллективов и профсоюзных организаций.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jc w:val="center"/>
      </w:pPr>
      <w:r w:rsidRPr="00D77F80">
        <w:t>1. Показатели эффективности для руководителя</w:t>
      </w:r>
    </w:p>
    <w:p w:rsidR="00EA537F" w:rsidRPr="00D77F80" w:rsidRDefault="00EA537F" w:rsidP="00EA537F">
      <w:pPr>
        <w:pStyle w:val="ConsPlusNormal"/>
        <w:jc w:val="center"/>
      </w:pPr>
      <w:r w:rsidRPr="00D77F80">
        <w:t>образовательной организации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На основании Примерных направлений и с учетом </w:t>
      </w:r>
      <w:hyperlink r:id="rId43" w:history="1">
        <w:r w:rsidRPr="00D77F80">
          <w:t>постановления</w:t>
        </w:r>
      </w:hyperlink>
      <w:r w:rsidRPr="00D77F80">
        <w:t xml:space="preserve"> Правительства Российской Федерации от 12 апреля 2013 г. N 329 "О типовой форме трудового договора с руководителем государственного (муниципального) учреждения" муниципалитетом разрабатываются соответствующие показатели эффективности деятельности руководителя образовательной организации и их индикаторы, на основании которых будет осуществляться учет результатов деятельности.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 xml:space="preserve">На основании данного </w:t>
      </w:r>
      <w:hyperlink r:id="rId44" w:history="1">
        <w:r w:rsidRPr="00D77F80">
          <w:t>постановления</w:t>
        </w:r>
      </w:hyperlink>
      <w:r w:rsidRPr="00D77F80">
        <w:t xml:space="preserve"> Правительства Российской Федерации руководителю образовательного учреждения устанавливаются выплаты стимулирующего характера в соответствии с </w:t>
      </w:r>
      <w:hyperlink r:id="rId45" w:history="1">
        <w:r w:rsidRPr="00D77F80">
          <w:t>законодательством</w:t>
        </w:r>
      </w:hyperlink>
      <w:r w:rsidRPr="00D77F80">
        <w:t xml:space="preserve"> Российской Федерации и с учетом целевых показателей эффективности руководителя, установленного работодателем.</w:t>
      </w:r>
    </w:p>
    <w:p w:rsidR="00EA537F" w:rsidRPr="00D77F80" w:rsidRDefault="00EA537F" w:rsidP="00EA537F">
      <w:pPr>
        <w:sectPr w:rsidR="00EA537F" w:rsidRPr="00D77F80" w:rsidSect="00977D1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jc w:val="center"/>
      </w:pPr>
      <w:r w:rsidRPr="00D77F80">
        <w:t>Примерные направления для разработки</w:t>
      </w:r>
    </w:p>
    <w:p w:rsidR="00EA537F" w:rsidRPr="00D77F80" w:rsidRDefault="00EA537F" w:rsidP="00EA537F">
      <w:pPr>
        <w:pStyle w:val="ConsPlusNormal"/>
        <w:jc w:val="center"/>
      </w:pPr>
      <w:r w:rsidRPr="00D77F80">
        <w:t>показателей эффективности деятельности руководителей</w:t>
      </w:r>
    </w:p>
    <w:p w:rsidR="00EA537F" w:rsidRPr="00D77F80" w:rsidRDefault="00EA537F" w:rsidP="00EA537F">
      <w:pPr>
        <w:pStyle w:val="ConsPlusNormal"/>
        <w:jc w:val="center"/>
      </w:pPr>
      <w:r w:rsidRPr="00D77F80">
        <w:t>образовательных учреждений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86"/>
        <w:gridCol w:w="4394"/>
        <w:gridCol w:w="1276"/>
        <w:gridCol w:w="1275"/>
        <w:gridCol w:w="2268"/>
      </w:tblGrid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 xml:space="preserve">N </w:t>
            </w:r>
            <w:proofErr w:type="gramStart"/>
            <w:r w:rsidRPr="00D77F80">
              <w:t>п</w:t>
            </w:r>
            <w:proofErr w:type="gramEnd"/>
            <w:r w:rsidRPr="00D77F80">
              <w:t>/п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Направления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Дошкольное образование</w:t>
            </w: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Общее образование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Начальное и среднее профессиональное образование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1. Для образовательного учреждения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1.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Соответствие деятельности ОУ требованиям законодательства в сфере образования (отсутствие предписаний надзорных органов, объективных жалоб)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2.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Функционирование системы государственно-общественного управления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3.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Удовлетворенность населения качеством предоставляемых образовательных услуг дополнительного образования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4.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Информационная открытость (сайт ОУ, размещение протоколов комиссии по распределению стимулирующего фонда на сайте, участие в процедурах независимой оценки качества образования)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5.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Реализация мероприятий по профилактике правонарушений у несовершеннолетних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6.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Реализация социокультурных проектов (школьный музей, театр, социальные проекты, научное общество учащихся, др.)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7.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Реализация мероприятий по привлечению молодых педагогов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8.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Реализация программ, направленных на работу с одаренными детьми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9.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Реализация программ по сохранению и укреплению здоровья детей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10.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Организация физкультурно-оздоровительной и спортивной работы (спортивные секции, соревнования)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11.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 xml:space="preserve">Создание условий для реализации </w:t>
            </w:r>
            <w:proofErr w:type="gramStart"/>
            <w:r w:rsidRPr="00D77F80">
              <w:t>обучающимися</w:t>
            </w:r>
            <w:proofErr w:type="gramEnd"/>
            <w:r w:rsidRPr="00D77F80">
              <w:t xml:space="preserve"> индивидуальных учебных планов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12.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 xml:space="preserve">Реализация программ дополнительного образования на базе образовательного </w:t>
            </w:r>
            <w:r w:rsidRPr="00D77F80">
              <w:lastRenderedPageBreak/>
              <w:t>учреждения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lastRenderedPageBreak/>
              <w:t>X</w:t>
            </w: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lastRenderedPageBreak/>
              <w:t>13.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 xml:space="preserve">Реализация профильного обучения, </w:t>
            </w:r>
            <w:proofErr w:type="spellStart"/>
            <w:r w:rsidRPr="00D77F80">
              <w:t>предпрофильной</w:t>
            </w:r>
            <w:proofErr w:type="spellEnd"/>
            <w:r w:rsidRPr="00D77F80">
              <w:t xml:space="preserve"> подготовки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14.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Динамика индивидуальных образовательных результатов обучающихся (по материалам контрольных мероприятий)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15.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Сохранность контингента в пределах одной ступени обучения (коэффициент выбытия из образовательного учреждения)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16.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Отношение среднего балла единого государственного экзамена (в расчете на 1 предмет) у 10 процентов выпускников с лучшими результатами единого государственного экзамена к среднему баллу единого государственного экзамена (в расчете на 1 предмет) у 10 процентов выпускников с худшими результатами единого государственного экзамена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17.</w:t>
            </w:r>
          </w:p>
        </w:tc>
        <w:tc>
          <w:tcPr>
            <w:tcW w:w="4394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Результаты итоговой аттестации</w:t>
            </w:r>
          </w:p>
        </w:tc>
        <w:tc>
          <w:tcPr>
            <w:tcW w:w="1276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  <w:tc>
          <w:tcPr>
            <w:tcW w:w="127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6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</w:tbl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jc w:val="center"/>
      </w:pPr>
      <w:r w:rsidRPr="00D77F80">
        <w:t>2. Показатели эффективности для педагогических работников</w:t>
      </w:r>
    </w:p>
    <w:p w:rsidR="00EA537F" w:rsidRPr="00D77F80" w:rsidRDefault="00EA537F" w:rsidP="00EA537F">
      <w:pPr>
        <w:pStyle w:val="ConsPlusNormal"/>
        <w:jc w:val="center"/>
      </w:pPr>
      <w:r w:rsidRPr="00D77F80">
        <w:t>образовательной организации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На основании Примерных направлений образовательной организацией разрабатываются соответствующие показатели эффективности деятельности педагогических работников и индикаторы, на основании которых будет осуществляться учет результатов деятельности.</w:t>
      </w:r>
    </w:p>
    <w:p w:rsidR="00EA537F" w:rsidRPr="00D77F80" w:rsidRDefault="00EA537F" w:rsidP="00EA537F">
      <w:pPr>
        <w:pStyle w:val="ConsPlusNormal"/>
        <w:ind w:firstLine="540"/>
        <w:jc w:val="both"/>
      </w:pPr>
      <w:r w:rsidRPr="00D77F80">
        <w:t>Механизм и принципы распределения стимулирующей части ФОТ педагогических работников образовательных организаций утверждается на уровне образовательной организации, при этом должна быть обеспечена зависимость размера стимулирующей части ФОТ от результатов деятельности педагогического работника в рамках основной образовательной программы.</w:t>
      </w: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jc w:val="center"/>
      </w:pPr>
      <w:r w:rsidRPr="00D77F80">
        <w:t>Примерные направления для разработки показателей</w:t>
      </w:r>
    </w:p>
    <w:p w:rsidR="00EA537F" w:rsidRPr="00D77F80" w:rsidRDefault="00EA537F" w:rsidP="00EA537F">
      <w:pPr>
        <w:pStyle w:val="ConsPlusNormal"/>
        <w:jc w:val="center"/>
      </w:pPr>
      <w:r w:rsidRPr="00D77F80">
        <w:t>эффективности деятельности педагогических работников</w:t>
      </w:r>
    </w:p>
    <w:p w:rsidR="00EA537F" w:rsidRPr="00D77F80" w:rsidRDefault="00EA537F" w:rsidP="00EA537F">
      <w:pPr>
        <w:pStyle w:val="ConsPlusNormal"/>
        <w:jc w:val="center"/>
      </w:pPr>
      <w:r w:rsidRPr="00D77F80">
        <w:t>образовательных учреждений</w:t>
      </w:r>
    </w:p>
    <w:p w:rsidR="00EA537F" w:rsidRPr="00D77F80" w:rsidRDefault="00EA537F" w:rsidP="00EA537F">
      <w:pPr>
        <w:pStyle w:val="ConsPlusNormal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86"/>
        <w:gridCol w:w="4348"/>
        <w:gridCol w:w="1315"/>
        <w:gridCol w:w="1274"/>
        <w:gridCol w:w="2276"/>
      </w:tblGrid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 xml:space="preserve">N </w:t>
            </w:r>
            <w:proofErr w:type="gramStart"/>
            <w:r w:rsidRPr="00D77F80">
              <w:t>п</w:t>
            </w:r>
            <w:proofErr w:type="gramEnd"/>
            <w:r w:rsidRPr="00D77F80">
              <w:t>/п</w:t>
            </w:r>
          </w:p>
        </w:tc>
        <w:tc>
          <w:tcPr>
            <w:tcW w:w="434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Направления</w:t>
            </w:r>
          </w:p>
        </w:tc>
        <w:tc>
          <w:tcPr>
            <w:tcW w:w="131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Дошкольное образование</w:t>
            </w:r>
          </w:p>
        </w:tc>
        <w:tc>
          <w:tcPr>
            <w:tcW w:w="1274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Общее образование</w:t>
            </w:r>
          </w:p>
        </w:tc>
        <w:tc>
          <w:tcPr>
            <w:tcW w:w="2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Начальное и среднее профессиональное образование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</w:p>
        </w:tc>
        <w:tc>
          <w:tcPr>
            <w:tcW w:w="4348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2. Для педагогических работников</w:t>
            </w:r>
          </w:p>
        </w:tc>
        <w:tc>
          <w:tcPr>
            <w:tcW w:w="1315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  <w:tc>
          <w:tcPr>
            <w:tcW w:w="1274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  <w:tc>
          <w:tcPr>
            <w:tcW w:w="2276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1.</w:t>
            </w:r>
          </w:p>
        </w:tc>
        <w:tc>
          <w:tcPr>
            <w:tcW w:w="4348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Реализация дополнительных проектов (экскурсионные и экспедиционные программы, групповые и индивидуальные учебные проекты обучающихся, социальные проекты, др.)</w:t>
            </w:r>
          </w:p>
        </w:tc>
        <w:tc>
          <w:tcPr>
            <w:tcW w:w="131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1274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lastRenderedPageBreak/>
              <w:t>2.</w:t>
            </w:r>
          </w:p>
        </w:tc>
        <w:tc>
          <w:tcPr>
            <w:tcW w:w="4348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Организация (участие) системных исследований, мониторинга индивидуальных достижений обучающихся</w:t>
            </w:r>
          </w:p>
        </w:tc>
        <w:tc>
          <w:tcPr>
            <w:tcW w:w="131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1274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3.</w:t>
            </w:r>
          </w:p>
        </w:tc>
        <w:tc>
          <w:tcPr>
            <w:tcW w:w="4348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Динамика индивидуальных образовательных результатов (по результатам контрольных мероприятий, промежуточной и итоговой аттестации)</w:t>
            </w:r>
          </w:p>
        </w:tc>
        <w:tc>
          <w:tcPr>
            <w:tcW w:w="1315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  <w:tc>
          <w:tcPr>
            <w:tcW w:w="1274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4.</w:t>
            </w:r>
          </w:p>
        </w:tc>
        <w:tc>
          <w:tcPr>
            <w:tcW w:w="4348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Реализация мероприятий, обеспечивающих взаимодействие с родителями обучающихся</w:t>
            </w:r>
          </w:p>
        </w:tc>
        <w:tc>
          <w:tcPr>
            <w:tcW w:w="131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1274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5.</w:t>
            </w:r>
          </w:p>
        </w:tc>
        <w:tc>
          <w:tcPr>
            <w:tcW w:w="4348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Участие и результаты участия учеников на олимпиадах, конкурсах, соревнованиях и др.</w:t>
            </w:r>
          </w:p>
        </w:tc>
        <w:tc>
          <w:tcPr>
            <w:tcW w:w="1315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  <w:tc>
          <w:tcPr>
            <w:tcW w:w="1274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76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6.</w:t>
            </w:r>
          </w:p>
        </w:tc>
        <w:tc>
          <w:tcPr>
            <w:tcW w:w="4348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Участие в коллективных педагогических проектах ("команда вокруг класса", интегрированные курсы, "виртуальный класс", др.)</w:t>
            </w:r>
          </w:p>
        </w:tc>
        <w:tc>
          <w:tcPr>
            <w:tcW w:w="1315" w:type="dxa"/>
          </w:tcPr>
          <w:p w:rsidR="00EA537F" w:rsidRPr="00D77F80" w:rsidRDefault="00EA537F" w:rsidP="00B95C5D">
            <w:pPr>
              <w:pStyle w:val="ConsPlusNormal"/>
              <w:jc w:val="center"/>
            </w:pPr>
          </w:p>
        </w:tc>
        <w:tc>
          <w:tcPr>
            <w:tcW w:w="1274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7.</w:t>
            </w:r>
          </w:p>
        </w:tc>
        <w:tc>
          <w:tcPr>
            <w:tcW w:w="4348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Участие педагога в разработке и реализации основной образовательной программы</w:t>
            </w:r>
          </w:p>
        </w:tc>
        <w:tc>
          <w:tcPr>
            <w:tcW w:w="131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1274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8.</w:t>
            </w:r>
          </w:p>
        </w:tc>
        <w:tc>
          <w:tcPr>
            <w:tcW w:w="4348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Организация физкультурно-оздоровительной и спортивной работы</w:t>
            </w:r>
          </w:p>
        </w:tc>
        <w:tc>
          <w:tcPr>
            <w:tcW w:w="131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1274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9.</w:t>
            </w:r>
          </w:p>
        </w:tc>
        <w:tc>
          <w:tcPr>
            <w:tcW w:w="4348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Работа с детьми из социально неблагополучных семей</w:t>
            </w:r>
          </w:p>
        </w:tc>
        <w:tc>
          <w:tcPr>
            <w:tcW w:w="131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1274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  <w:tr w:rsidR="00D77F80" w:rsidRPr="00D77F80" w:rsidTr="00B95C5D">
        <w:tc>
          <w:tcPr>
            <w:tcW w:w="486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10.</w:t>
            </w:r>
          </w:p>
        </w:tc>
        <w:tc>
          <w:tcPr>
            <w:tcW w:w="4348" w:type="dxa"/>
          </w:tcPr>
          <w:p w:rsidR="00EA537F" w:rsidRPr="00D77F80" w:rsidRDefault="00EA537F" w:rsidP="00B95C5D">
            <w:pPr>
              <w:pStyle w:val="ConsPlusNormal"/>
            </w:pPr>
            <w:r w:rsidRPr="00D77F80">
              <w:t>Создание элементов образовательной инфраструктуры (оформление кабинета, музея и пр.)</w:t>
            </w:r>
          </w:p>
        </w:tc>
        <w:tc>
          <w:tcPr>
            <w:tcW w:w="1315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1274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  <w:tc>
          <w:tcPr>
            <w:tcW w:w="2276" w:type="dxa"/>
          </w:tcPr>
          <w:p w:rsidR="00EA537F" w:rsidRPr="00D77F80" w:rsidRDefault="00EA537F" w:rsidP="00B95C5D">
            <w:pPr>
              <w:pStyle w:val="ConsPlusNormal"/>
              <w:jc w:val="center"/>
            </w:pPr>
            <w:r w:rsidRPr="00D77F80">
              <w:t>X</w:t>
            </w:r>
          </w:p>
        </w:tc>
      </w:tr>
    </w:tbl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ind w:firstLine="540"/>
        <w:jc w:val="both"/>
      </w:pPr>
    </w:p>
    <w:p w:rsidR="00EA537F" w:rsidRPr="00D77F80" w:rsidRDefault="00EA537F" w:rsidP="00EA537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EA537F" w:rsidRPr="00D77F80" w:rsidRDefault="00EA537F" w:rsidP="00EA537F"/>
    <w:p w:rsidR="00FC3392" w:rsidRPr="00D77F80" w:rsidRDefault="00FC3392"/>
    <w:p w:rsidR="00D77F80" w:rsidRPr="00D77F80" w:rsidRDefault="00D77F80"/>
    <w:p w:rsidR="00D77F80" w:rsidRPr="00D77F80" w:rsidRDefault="00D77F80"/>
    <w:p w:rsidR="00D77F80" w:rsidRPr="00D77F80" w:rsidRDefault="00D77F80"/>
    <w:p w:rsidR="00D77F80" w:rsidRPr="00D77F80" w:rsidRDefault="00D77F80"/>
    <w:p w:rsidR="00D77F80" w:rsidRPr="00D77F80" w:rsidRDefault="00D77F80"/>
    <w:p w:rsidR="00D77F80" w:rsidRPr="00D77F80" w:rsidRDefault="00D77F80"/>
    <w:p w:rsidR="00D77F80" w:rsidRPr="00D77F80" w:rsidRDefault="00D77F80"/>
    <w:p w:rsidR="00D77F80" w:rsidRPr="00D77F80" w:rsidRDefault="00D77F80"/>
    <w:p w:rsidR="00D77F80" w:rsidRPr="00D77F80" w:rsidRDefault="00D77F80" w:rsidP="00D77F80">
      <w:pPr>
        <w:pStyle w:val="ConsPlusTitle"/>
        <w:jc w:val="center"/>
      </w:pPr>
      <w:r w:rsidRPr="00D77F80">
        <w:lastRenderedPageBreak/>
        <w:t>ПРАВИТЕЛЬСТВО РОССИЙСКОЙ ФЕДЕРАЦИИ</w:t>
      </w:r>
    </w:p>
    <w:p w:rsidR="00D77F80" w:rsidRPr="00D77F80" w:rsidRDefault="00D77F80" w:rsidP="00D77F80">
      <w:pPr>
        <w:pStyle w:val="ConsPlusTitle"/>
        <w:jc w:val="center"/>
      </w:pPr>
    </w:p>
    <w:p w:rsidR="00D77F80" w:rsidRPr="00D77F80" w:rsidRDefault="00D77F80" w:rsidP="00D77F80">
      <w:pPr>
        <w:pStyle w:val="ConsPlusTitle"/>
        <w:jc w:val="center"/>
      </w:pPr>
      <w:r w:rsidRPr="00D77F80">
        <w:t>РАСПОРЯЖЕНИЕ</w:t>
      </w:r>
    </w:p>
    <w:p w:rsidR="00D77F80" w:rsidRPr="00D77F80" w:rsidRDefault="00D77F80" w:rsidP="00D77F80">
      <w:pPr>
        <w:pStyle w:val="ConsPlusTitle"/>
        <w:jc w:val="center"/>
      </w:pPr>
      <w:r w:rsidRPr="00D77F80">
        <w:t>от 30 апреля 2014 г. N 722-р</w:t>
      </w:r>
    </w:p>
    <w:p w:rsidR="00D77F80" w:rsidRPr="00D77F80" w:rsidRDefault="00D77F80" w:rsidP="00D77F80">
      <w:pPr>
        <w:pStyle w:val="ConsPlusNormal"/>
        <w:ind w:firstLine="540"/>
        <w:jc w:val="both"/>
      </w:pP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 xml:space="preserve">1. Утвердить прилагаемый </w:t>
      </w:r>
      <w:hyperlink w:anchor="P24" w:history="1">
        <w:r w:rsidRPr="00D77F80">
          <w:t>план</w:t>
        </w:r>
      </w:hyperlink>
      <w:r w:rsidRPr="00D77F80">
        <w:t xml:space="preserve"> мероприятий ("дорожную карту") "Изменения в отраслях социальной сферы, направленные на повышение эффективности образования и науки" (далее - план).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 xml:space="preserve">2. </w:t>
      </w:r>
      <w:proofErr w:type="spellStart"/>
      <w:r w:rsidRPr="00D77F80">
        <w:t>Минобрнауки</w:t>
      </w:r>
      <w:proofErr w:type="spellEnd"/>
      <w:r w:rsidRPr="00D77F80">
        <w:t xml:space="preserve"> России совместно с органами исполнительной власти субъектов Российской Федерации обеспечить проведение мониторинга реализации </w:t>
      </w:r>
      <w:hyperlink w:anchor="P24" w:history="1">
        <w:r w:rsidRPr="00D77F80">
          <w:t>плана</w:t>
        </w:r>
      </w:hyperlink>
      <w:r w:rsidRPr="00D77F80">
        <w:t>.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3. Рекомендовать органам исполнительной власти субъектов Российской Федерации обеспечить корректировку региональных планов мероприятий ("дорожных карт") "Изменения в отраслях социальной сферы, направленные на повышение эффективности образования и науки".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 xml:space="preserve">4. Признать утратившим силу </w:t>
      </w:r>
      <w:hyperlink r:id="rId46" w:history="1">
        <w:r w:rsidRPr="00D77F80">
          <w:t>распоряжение</w:t>
        </w:r>
      </w:hyperlink>
      <w:r w:rsidRPr="00D77F80">
        <w:t xml:space="preserve"> Правительства Российской Федерации от 30 декабря 2012 г. N 2620-р о плане мероприятий ("дорожной карте") "Изменения в отраслях социальной сферы, направленные на повышение эффективности образования и науки" (Собрание законодательства Российской Федерации, 2013, N 2, ст. 149).</w:t>
      </w:r>
    </w:p>
    <w:p w:rsidR="00D77F80" w:rsidRPr="00D77F80" w:rsidRDefault="00D77F80" w:rsidP="00D77F80">
      <w:pPr>
        <w:pStyle w:val="ConsPlusNormal"/>
        <w:ind w:firstLine="540"/>
        <w:jc w:val="both"/>
      </w:pPr>
    </w:p>
    <w:p w:rsidR="00D77F80" w:rsidRPr="00D77F80" w:rsidRDefault="00D77F80" w:rsidP="00D77F80">
      <w:pPr>
        <w:pStyle w:val="ConsPlusNormal"/>
        <w:jc w:val="right"/>
      </w:pPr>
      <w:r w:rsidRPr="00D77F80">
        <w:t>Председатель Правительства</w:t>
      </w:r>
    </w:p>
    <w:p w:rsidR="00D77F80" w:rsidRPr="00D77F80" w:rsidRDefault="00D77F80" w:rsidP="00D77F80">
      <w:pPr>
        <w:pStyle w:val="ConsPlusNormal"/>
        <w:jc w:val="right"/>
      </w:pPr>
      <w:r w:rsidRPr="00D77F80">
        <w:t>Российской Федерации</w:t>
      </w:r>
    </w:p>
    <w:p w:rsidR="00D77F80" w:rsidRPr="00D77F80" w:rsidRDefault="00D77F80" w:rsidP="00D77F80">
      <w:pPr>
        <w:pStyle w:val="ConsPlusNormal"/>
        <w:jc w:val="right"/>
      </w:pPr>
      <w:r w:rsidRPr="00D77F80">
        <w:t>Д.МЕДВЕДЕВ</w:t>
      </w:r>
    </w:p>
    <w:p w:rsidR="00D77F80" w:rsidRPr="00D77F80" w:rsidRDefault="00D77F80" w:rsidP="00D77F80">
      <w:pPr>
        <w:pStyle w:val="ConsPlusNormal"/>
        <w:ind w:firstLine="540"/>
        <w:jc w:val="both"/>
      </w:pPr>
    </w:p>
    <w:p w:rsidR="00D77F80" w:rsidRPr="00D77F80" w:rsidRDefault="00D77F80" w:rsidP="00D77F80">
      <w:pPr>
        <w:pStyle w:val="ConsPlusNormal"/>
        <w:ind w:firstLine="540"/>
        <w:jc w:val="both"/>
      </w:pPr>
    </w:p>
    <w:p w:rsidR="00D77F80" w:rsidRPr="00D77F80" w:rsidRDefault="00D77F80" w:rsidP="00D77F80">
      <w:pPr>
        <w:pStyle w:val="ConsPlusNormal"/>
        <w:ind w:firstLine="540"/>
        <w:jc w:val="both"/>
      </w:pPr>
    </w:p>
    <w:p w:rsidR="00D77F80" w:rsidRPr="00D77F80" w:rsidRDefault="00D77F80" w:rsidP="00D77F80">
      <w:pPr>
        <w:pStyle w:val="ConsPlusNormal"/>
        <w:ind w:firstLine="540"/>
        <w:jc w:val="both"/>
      </w:pPr>
    </w:p>
    <w:p w:rsidR="00D77F80" w:rsidRPr="00D77F80" w:rsidRDefault="00D77F80" w:rsidP="00D77F80">
      <w:pPr>
        <w:pStyle w:val="ConsPlusNormal"/>
        <w:ind w:firstLine="540"/>
        <w:jc w:val="both"/>
      </w:pPr>
    </w:p>
    <w:p w:rsidR="00D77F80" w:rsidRPr="00D77F80" w:rsidRDefault="00D77F80" w:rsidP="00D77F80">
      <w:pPr>
        <w:pStyle w:val="ConsPlusNormal"/>
        <w:jc w:val="right"/>
      </w:pPr>
      <w:r w:rsidRPr="00D77F80">
        <w:t>Утвержден</w:t>
      </w:r>
    </w:p>
    <w:p w:rsidR="00D77F80" w:rsidRPr="00D77F80" w:rsidRDefault="00D77F80" w:rsidP="00D77F80">
      <w:pPr>
        <w:pStyle w:val="ConsPlusNormal"/>
        <w:jc w:val="right"/>
      </w:pPr>
      <w:r w:rsidRPr="00D77F80">
        <w:t>распоряжением Правительства</w:t>
      </w:r>
    </w:p>
    <w:p w:rsidR="00D77F80" w:rsidRPr="00D77F80" w:rsidRDefault="00D77F80" w:rsidP="00D77F80">
      <w:pPr>
        <w:pStyle w:val="ConsPlusNormal"/>
        <w:jc w:val="right"/>
      </w:pPr>
      <w:r w:rsidRPr="00D77F80">
        <w:t>Российской Федерации</w:t>
      </w:r>
    </w:p>
    <w:p w:rsidR="00D77F80" w:rsidRPr="00D77F80" w:rsidRDefault="00D77F80" w:rsidP="00D77F80">
      <w:pPr>
        <w:pStyle w:val="ConsPlusNormal"/>
        <w:jc w:val="right"/>
      </w:pPr>
      <w:r w:rsidRPr="00D77F80">
        <w:t>от 30 апреля 2014 г. N 722-р</w:t>
      </w:r>
    </w:p>
    <w:p w:rsidR="00D77F80" w:rsidRPr="00D77F80" w:rsidRDefault="00D77F80" w:rsidP="00D77F80">
      <w:pPr>
        <w:pStyle w:val="ConsPlusNormal"/>
        <w:jc w:val="center"/>
      </w:pPr>
    </w:p>
    <w:p w:rsidR="00D77F80" w:rsidRPr="00D77F80" w:rsidRDefault="00D77F80" w:rsidP="00D77F80">
      <w:pPr>
        <w:pStyle w:val="ConsPlusTitle"/>
        <w:jc w:val="center"/>
      </w:pPr>
      <w:bookmarkStart w:id="4" w:name="P24"/>
      <w:bookmarkEnd w:id="4"/>
      <w:r w:rsidRPr="00D77F80">
        <w:t>ПЛАН</w:t>
      </w:r>
    </w:p>
    <w:p w:rsidR="00D77F80" w:rsidRPr="00D77F80" w:rsidRDefault="00D77F80" w:rsidP="00D77F80">
      <w:pPr>
        <w:pStyle w:val="ConsPlusTitle"/>
        <w:jc w:val="center"/>
      </w:pPr>
      <w:r w:rsidRPr="00D77F80">
        <w:t>МЕРОПРИЯТИЙ ("ДОРОЖНАЯ КАРТА") "ИЗМЕНЕНИЯ В ОТРАСЛЯХ</w:t>
      </w:r>
    </w:p>
    <w:p w:rsidR="00D77F80" w:rsidRPr="00D77F80" w:rsidRDefault="00D77F80" w:rsidP="00D77F80">
      <w:pPr>
        <w:pStyle w:val="ConsPlusTitle"/>
        <w:jc w:val="center"/>
      </w:pPr>
      <w:r w:rsidRPr="00D77F80">
        <w:t>СОЦИАЛЬНОЙ СФЕРЫ, НАПРАВЛЕННЫЕ НА ПОВЫШЕНИЕ ЭФФЕКТИВНОСТИ</w:t>
      </w:r>
    </w:p>
    <w:p w:rsidR="00D77F80" w:rsidRPr="00D77F80" w:rsidRDefault="00D77F80" w:rsidP="00D77F80">
      <w:pPr>
        <w:pStyle w:val="ConsPlusTitle"/>
        <w:jc w:val="center"/>
      </w:pPr>
      <w:r w:rsidRPr="00D77F80">
        <w:t>ОБРАЗОВАНИЯ И НАУКИ"</w:t>
      </w:r>
    </w:p>
    <w:p w:rsidR="00D77F80" w:rsidRPr="00D77F80" w:rsidRDefault="00D77F80" w:rsidP="00D77F80">
      <w:pPr>
        <w:pStyle w:val="ConsPlusNormal"/>
        <w:jc w:val="center"/>
      </w:pPr>
    </w:p>
    <w:p w:rsidR="00D77F80" w:rsidRPr="00D77F80" w:rsidRDefault="00D77F80" w:rsidP="00D77F80">
      <w:pPr>
        <w:pStyle w:val="ConsPlusNormal"/>
        <w:ind w:firstLine="540"/>
        <w:jc w:val="both"/>
      </w:pPr>
    </w:p>
    <w:p w:rsidR="00D77F80" w:rsidRPr="00D77F80" w:rsidRDefault="00D77F80" w:rsidP="00D77F80">
      <w:pPr>
        <w:pStyle w:val="ConsPlusNormal"/>
        <w:jc w:val="center"/>
      </w:pPr>
      <w:r w:rsidRPr="00D77F80">
        <w:t>V. Изменения в сфере высшего образования,</w:t>
      </w:r>
    </w:p>
    <w:p w:rsidR="00D77F80" w:rsidRPr="00D77F80" w:rsidRDefault="00D77F80" w:rsidP="00D77F80">
      <w:pPr>
        <w:pStyle w:val="ConsPlusNormal"/>
        <w:jc w:val="center"/>
      </w:pPr>
      <w:r w:rsidRPr="00D77F80">
        <w:t>направленные на повышение эффективности и качества услуг</w:t>
      </w:r>
    </w:p>
    <w:p w:rsidR="00D77F80" w:rsidRPr="00D77F80" w:rsidRDefault="00D77F80" w:rsidP="00D77F80">
      <w:pPr>
        <w:pStyle w:val="ConsPlusNormal"/>
        <w:jc w:val="center"/>
      </w:pPr>
      <w:r w:rsidRPr="00D77F80">
        <w:t>в сфере образования, соотнесенные с этапами перехода</w:t>
      </w:r>
    </w:p>
    <w:p w:rsidR="00D77F80" w:rsidRPr="00D77F80" w:rsidRDefault="00D77F80" w:rsidP="00D77F80">
      <w:pPr>
        <w:pStyle w:val="ConsPlusNormal"/>
        <w:jc w:val="center"/>
      </w:pPr>
      <w:r w:rsidRPr="00D77F80">
        <w:t>к эффективному контракту</w:t>
      </w:r>
    </w:p>
    <w:p w:rsidR="00D77F80" w:rsidRPr="00D77F80" w:rsidRDefault="00D77F80" w:rsidP="00D77F80">
      <w:pPr>
        <w:pStyle w:val="ConsPlusNormal"/>
        <w:jc w:val="center"/>
      </w:pPr>
    </w:p>
    <w:p w:rsidR="00D77F80" w:rsidRPr="00D77F80" w:rsidRDefault="00D77F80" w:rsidP="00D77F80">
      <w:pPr>
        <w:pStyle w:val="ConsPlusNormal"/>
        <w:jc w:val="center"/>
      </w:pPr>
      <w:r w:rsidRPr="00D77F80">
        <w:t>1. Основные направления</w:t>
      </w:r>
    </w:p>
    <w:p w:rsidR="00D77F80" w:rsidRPr="00D77F80" w:rsidRDefault="00D77F80" w:rsidP="00D77F80">
      <w:pPr>
        <w:pStyle w:val="ConsPlusNormal"/>
        <w:jc w:val="center"/>
      </w:pP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Совершенствование структуры и сети государственных образовательных организаций высшего образования включает в себя: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проведение ежегодного мониторинга эффективности образовательных организаций высшего образования;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реализацию программы совершенствования сети государственных образовательных организаций высшего образования, в том числе путем реорганизации и присоединения организаций и их филиалов.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Совершенствование структуры образовательных программ включает в себя: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 xml:space="preserve">введение </w:t>
      </w:r>
      <w:proofErr w:type="gramStart"/>
      <w:r w:rsidRPr="00D77F80">
        <w:t>прикладного</w:t>
      </w:r>
      <w:proofErr w:type="gramEnd"/>
      <w:r w:rsidRPr="00D77F80">
        <w:t xml:space="preserve"> </w:t>
      </w:r>
      <w:proofErr w:type="spellStart"/>
      <w:r w:rsidRPr="00D77F80">
        <w:t>бакалавриата</w:t>
      </w:r>
      <w:proofErr w:type="spellEnd"/>
      <w:r w:rsidRPr="00D77F80">
        <w:t xml:space="preserve"> в высшем образовании;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 xml:space="preserve">мониторинг перехода на федеральные государственные образовательные стандарты </w:t>
      </w:r>
      <w:r w:rsidRPr="00D77F80">
        <w:lastRenderedPageBreak/>
        <w:t>подготовки кадров высшей квалификации и их актуализацию.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Повышение результативности деятельности образовательных организаций высшего образования с учетом их специализации включает в себя: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обновление программ развития федеральных университетов;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поддержку программ развития сети национальных исследовательских университетов;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реализацию программ развития ведущих университетов, получающих государственную поддержку в целях повышения их конкурентоспособности среди ведущих мировых научно-образовательных центров, и их мониторинг в соответствии с утвержденным планом мероприятий;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реализацию программ стратегического развития образовательных организаций высшего образования.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Инструменты оценки качества и образовательной политики в сфере высшего образования включают в себя: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 xml:space="preserve">создание </w:t>
      </w:r>
      <w:proofErr w:type="gramStart"/>
      <w:r w:rsidRPr="00D77F80">
        <w:t>системы оценки качества подготовки кадров</w:t>
      </w:r>
      <w:proofErr w:type="gramEnd"/>
      <w:r w:rsidRPr="00D77F80">
        <w:t>;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переход на новые принципы распределения контрольных цифр приема граждан, обучающихся за счет средств федерального бюджета;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 xml:space="preserve">введение нормативного </w:t>
      </w:r>
      <w:proofErr w:type="spellStart"/>
      <w:r w:rsidRPr="00D77F80">
        <w:t>подушевого</w:t>
      </w:r>
      <w:proofErr w:type="spellEnd"/>
      <w:r w:rsidRPr="00D77F80">
        <w:t xml:space="preserve"> финансирования образовательных организаций высшего образования.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Развитие кадрового потенциала высшего образования включает в себя: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разработку и внедрение механизмов эффективного контракта с научно-педагогическими работниками образовательных организаций высшего образования;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проведение мероприятий по аттестации научно-педагогических работников образовательных организаций высшего образования;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 xml:space="preserve">разработку и внедрение механизмов эффективного контракта с руководителями образовательных организаций высшего образования в части установления взаимосвязи между показателями качества предоставляемых государственных (муниципальных) услуг организацией и эффективностью </w:t>
      </w:r>
      <w:proofErr w:type="gramStart"/>
      <w:r w:rsidRPr="00D77F80">
        <w:t>деятельности руководителя образовательной организации системы высшего образования</w:t>
      </w:r>
      <w:proofErr w:type="gramEnd"/>
      <w:r w:rsidRPr="00D77F80">
        <w:t>;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информационное и мониторинговое сопровождение введения эффективного контракта.</w:t>
      </w:r>
    </w:p>
    <w:p w:rsidR="00D77F80" w:rsidRPr="00D77F80" w:rsidRDefault="00D77F80" w:rsidP="00D77F80">
      <w:pPr>
        <w:pStyle w:val="ConsPlusNormal"/>
        <w:ind w:firstLine="540"/>
        <w:jc w:val="both"/>
      </w:pPr>
    </w:p>
    <w:p w:rsidR="00D77F80" w:rsidRPr="00D77F80" w:rsidRDefault="00D77F80" w:rsidP="00D77F80">
      <w:pPr>
        <w:pStyle w:val="ConsPlusNormal"/>
        <w:jc w:val="center"/>
      </w:pPr>
      <w:r w:rsidRPr="00D77F80">
        <w:t>2. Ожидаемые результаты</w:t>
      </w:r>
    </w:p>
    <w:p w:rsidR="00D77F80" w:rsidRPr="00D77F80" w:rsidRDefault="00D77F80" w:rsidP="00D77F80">
      <w:pPr>
        <w:pStyle w:val="ConsPlusNormal"/>
        <w:ind w:firstLine="540"/>
        <w:jc w:val="both"/>
      </w:pP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Сбалансированная сеть образовательных организаций высшего образования, ориентированная на удовлетворение потребности работодателей в высококвалифицированных кадрах и развитие научно-технологического потенциала российских регионов, будет сформирована.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Предусматривается осуществление структурных преобразований сети российских образовательных организаций высшего образования, создание условий для вхождения к 2020 году 5 вузов-лидеров в первую сотню ведущих мировых университетов согласно мировому рейтингу университетов.</w:t>
      </w:r>
    </w:p>
    <w:p w:rsidR="00D77F80" w:rsidRPr="00D77F80" w:rsidRDefault="00D77F80" w:rsidP="00D77F80">
      <w:pPr>
        <w:pStyle w:val="ConsPlusNormal"/>
        <w:ind w:firstLine="540"/>
        <w:jc w:val="both"/>
      </w:pPr>
      <w:r w:rsidRPr="00D77F80">
        <w:t>Повысится уровень мотивации научных и научно-педагогических кадров в рамках перехода к эффективному контракту. Будут реализованы новые финансово-</w:t>
      </w:r>
      <w:proofErr w:type="gramStart"/>
      <w:r w:rsidRPr="00D77F80">
        <w:t>экономические механизмы</w:t>
      </w:r>
      <w:proofErr w:type="gramEnd"/>
      <w:r w:rsidRPr="00D77F80">
        <w:t>, обеспечивающие конкуренцию и повышение качества высшего образования.</w:t>
      </w:r>
    </w:p>
    <w:p w:rsidR="00D77F80" w:rsidRPr="00D77F80" w:rsidRDefault="00D77F80" w:rsidP="00D77F80">
      <w:pPr>
        <w:sectPr w:rsidR="00D77F80" w:rsidRPr="00D77F80">
          <w:pgSz w:w="11905" w:h="16838"/>
          <w:pgMar w:top="1134" w:right="850" w:bottom="1134" w:left="1701" w:header="0" w:footer="0" w:gutter="0"/>
          <w:cols w:space="720"/>
        </w:sectPr>
      </w:pPr>
    </w:p>
    <w:p w:rsidR="00D77F80" w:rsidRPr="00D77F80" w:rsidRDefault="00D77F80" w:rsidP="00D77F80">
      <w:pPr>
        <w:pStyle w:val="ConsPlusNormal"/>
        <w:ind w:firstLine="540"/>
        <w:jc w:val="both"/>
      </w:pPr>
    </w:p>
    <w:p w:rsidR="00D77F80" w:rsidRPr="00D77F80" w:rsidRDefault="00D77F80" w:rsidP="00D77F80">
      <w:pPr>
        <w:pStyle w:val="ConsPlusNormal"/>
        <w:jc w:val="center"/>
      </w:pPr>
      <w:r w:rsidRPr="00D77F80">
        <w:t>3. Основные количественные характеристики системы</w:t>
      </w:r>
    </w:p>
    <w:p w:rsidR="00D77F80" w:rsidRPr="00D77F80" w:rsidRDefault="00D77F80" w:rsidP="00D77F80">
      <w:pPr>
        <w:pStyle w:val="ConsPlusNormal"/>
        <w:jc w:val="center"/>
      </w:pPr>
      <w:r w:rsidRPr="00D77F80">
        <w:t>высшего образования</w:t>
      </w:r>
    </w:p>
    <w:p w:rsidR="00D77F80" w:rsidRPr="00D77F80" w:rsidRDefault="00D77F80" w:rsidP="00D77F80">
      <w:pPr>
        <w:pStyle w:val="ConsPlusNormal"/>
        <w:ind w:firstLine="540"/>
        <w:jc w:val="both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540"/>
        <w:gridCol w:w="1459"/>
        <w:gridCol w:w="969"/>
        <w:gridCol w:w="1036"/>
        <w:gridCol w:w="1162"/>
        <w:gridCol w:w="1078"/>
        <w:gridCol w:w="1232"/>
        <w:gridCol w:w="1413"/>
      </w:tblGrid>
      <w:tr w:rsidR="00D77F80" w:rsidRPr="00D77F80" w:rsidTr="00B95C5D"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  <w:tc>
          <w:tcPr>
            <w:tcW w:w="1459" w:type="dxa"/>
            <w:tcBorders>
              <w:top w:val="single" w:sz="4" w:space="0" w:color="auto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Единица измерения</w:t>
            </w:r>
          </w:p>
        </w:tc>
        <w:tc>
          <w:tcPr>
            <w:tcW w:w="969" w:type="dxa"/>
            <w:tcBorders>
              <w:top w:val="single" w:sz="4" w:space="0" w:color="auto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2013 год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год</w:t>
            </w:r>
          </w:p>
        </w:tc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2015 год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2016 год</w:t>
            </w:r>
          </w:p>
        </w:tc>
        <w:tc>
          <w:tcPr>
            <w:tcW w:w="1232" w:type="dxa"/>
            <w:tcBorders>
              <w:top w:val="single" w:sz="4" w:space="0" w:color="auto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2017 год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2018 год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Численность молодежи в возрасте 17 - 25 лет (не включая 25 лет)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тыс. человек</w:t>
            </w:r>
          </w:p>
        </w:tc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15341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14285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13261</w:t>
            </w:r>
          </w:p>
        </w:tc>
        <w:tc>
          <w:tcPr>
            <w:tcW w:w="10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12333</w:t>
            </w:r>
          </w:p>
        </w:tc>
        <w:tc>
          <w:tcPr>
            <w:tcW w:w="12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11642</w:t>
            </w:r>
          </w:p>
        </w:tc>
        <w:tc>
          <w:tcPr>
            <w:tcW w:w="14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11228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 xml:space="preserve">Численность </w:t>
            </w:r>
            <w:proofErr w:type="gramStart"/>
            <w:r w:rsidRPr="00D77F80">
              <w:t>обучающихся</w:t>
            </w:r>
            <w:proofErr w:type="gramEnd"/>
            <w:r w:rsidRPr="00D77F80">
              <w:t xml:space="preserve"> по программам высшего образования, в том числе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-"-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5646,7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5258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4881,3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4539,4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4285,2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4132,7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 xml:space="preserve">численность студентов, обучающихся по образовательным программам высшего образования - программам </w:t>
            </w:r>
            <w:proofErr w:type="spellStart"/>
            <w:r w:rsidRPr="00D77F80">
              <w:t>бакалавриата</w:t>
            </w:r>
            <w:proofErr w:type="spellEnd"/>
            <w:r w:rsidRPr="00D77F80">
              <w:t xml:space="preserve">, программам </w:t>
            </w:r>
            <w:proofErr w:type="spellStart"/>
            <w:r w:rsidRPr="00D77F80">
              <w:t>специалитета</w:t>
            </w:r>
            <w:proofErr w:type="spellEnd"/>
            <w:r w:rsidRPr="00D77F80">
              <w:t>, программам магистратуры, в расчете на одного работника профессорско-преподавательского состава</w:t>
            </w:r>
          </w:p>
        </w:tc>
        <w:tc>
          <w:tcPr>
            <w:tcW w:w="1459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человек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10,2</w:t>
            </w:r>
          </w:p>
        </w:tc>
        <w:tc>
          <w:tcPr>
            <w:tcW w:w="1036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10,5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10,7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11,1</w:t>
            </w:r>
          </w:p>
        </w:tc>
        <w:tc>
          <w:tcPr>
            <w:tcW w:w="1232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11,6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12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Доля работников административно-управленческого и вспомогательного персонала в общей численности работников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проценты</w:t>
            </w: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39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38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38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38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37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37</w:t>
            </w:r>
          </w:p>
        </w:tc>
      </w:tr>
    </w:tbl>
    <w:p w:rsidR="00D77F80" w:rsidRPr="00D77F80" w:rsidRDefault="00D77F80" w:rsidP="00D77F80">
      <w:pPr>
        <w:pStyle w:val="ConsPlusNormal"/>
        <w:ind w:firstLine="540"/>
        <w:jc w:val="both"/>
      </w:pPr>
    </w:p>
    <w:p w:rsidR="00D77F80" w:rsidRPr="00D77F80" w:rsidRDefault="00D77F80" w:rsidP="00D77F80">
      <w:pPr>
        <w:pStyle w:val="ConsPlusNormal"/>
        <w:jc w:val="center"/>
      </w:pPr>
      <w:r w:rsidRPr="00D77F80">
        <w:t>4. Мероприятия по повышению эффективности и качества</w:t>
      </w:r>
    </w:p>
    <w:p w:rsidR="00D77F80" w:rsidRPr="00D77F80" w:rsidRDefault="00D77F80" w:rsidP="00D77F80">
      <w:pPr>
        <w:pStyle w:val="ConsPlusNormal"/>
        <w:jc w:val="center"/>
      </w:pPr>
      <w:proofErr w:type="gramStart"/>
      <w:r w:rsidRPr="00D77F80">
        <w:t>услуг в сфере высшего образования, соотнесенные с этапами</w:t>
      </w:r>
      <w:proofErr w:type="gramEnd"/>
    </w:p>
    <w:p w:rsidR="00D77F80" w:rsidRPr="00D77F80" w:rsidRDefault="00D77F80" w:rsidP="00D77F80">
      <w:pPr>
        <w:pStyle w:val="ConsPlusNormal"/>
        <w:jc w:val="center"/>
      </w:pPr>
      <w:r w:rsidRPr="00D77F80">
        <w:t>перехода к эффективному контракту</w:t>
      </w:r>
    </w:p>
    <w:p w:rsidR="00D77F80" w:rsidRPr="00D77F80" w:rsidRDefault="00D77F80" w:rsidP="00D77F80">
      <w:pPr>
        <w:pStyle w:val="ConsPlusNormal"/>
        <w:jc w:val="center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825"/>
        <w:gridCol w:w="3960"/>
        <w:gridCol w:w="2970"/>
        <w:gridCol w:w="1815"/>
        <w:gridCol w:w="3795"/>
      </w:tblGrid>
      <w:tr w:rsidR="00D77F80" w:rsidRPr="00D77F80" w:rsidTr="00B95C5D">
        <w:tc>
          <w:tcPr>
            <w:tcW w:w="47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  <w:tc>
          <w:tcPr>
            <w:tcW w:w="2970" w:type="dxa"/>
            <w:tcBorders>
              <w:top w:val="single" w:sz="4" w:space="0" w:color="auto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Ответственные исполнители</w:t>
            </w:r>
          </w:p>
        </w:tc>
        <w:tc>
          <w:tcPr>
            <w:tcW w:w="1815" w:type="dxa"/>
            <w:tcBorders>
              <w:top w:val="single" w:sz="4" w:space="0" w:color="auto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 xml:space="preserve">Сроки </w:t>
            </w:r>
            <w:r w:rsidRPr="00D77F80">
              <w:lastRenderedPageBreak/>
              <w:t>реализации</w:t>
            </w:r>
          </w:p>
        </w:tc>
        <w:tc>
          <w:tcPr>
            <w:tcW w:w="3795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lastRenderedPageBreak/>
              <w:t>Показатели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36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lastRenderedPageBreak/>
              <w:t>Совершенствование структуры и сети высшего профессионального образования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Проведение ежегодного мониторинга эффективности образовательных организаций высшего образования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2014 - 2018 годы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число неэффективных образовательных организаций и их филиалов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Реализация программы совершенствования сети государственных образовательных организаций высшего образования, в том числе путем реорганизации и присоединения организаций и их филиалов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России, заинтересованные федеральные органы исполнительной власти с участием руководителей образовательных организаций высшего образования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2014 - 2017 годы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Совершенствование структуры образовательных программ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3.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 xml:space="preserve">Введение </w:t>
            </w:r>
            <w:proofErr w:type="gramStart"/>
            <w:r w:rsidRPr="00D77F80">
              <w:t>прикладного</w:t>
            </w:r>
            <w:proofErr w:type="gramEnd"/>
            <w:r w:rsidRPr="00D77F80">
              <w:t xml:space="preserve"> </w:t>
            </w:r>
            <w:proofErr w:type="spellStart"/>
            <w:r w:rsidRPr="00D77F80">
              <w:t>бакалавриата</w:t>
            </w:r>
            <w:proofErr w:type="spellEnd"/>
            <w:r w:rsidRPr="00D77F80">
              <w:t xml:space="preserve"> в высшем образовании: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России, </w:t>
            </w:r>
            <w:proofErr w:type="gramStart"/>
            <w:r w:rsidRPr="00D77F80">
              <w:t>заинтересованные</w:t>
            </w:r>
            <w:proofErr w:type="gramEnd"/>
            <w:r w:rsidRPr="00D77F80">
              <w:t xml:space="preserve"> федеральные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год</w:t>
            </w:r>
          </w:p>
        </w:tc>
        <w:tc>
          <w:tcPr>
            <w:tcW w:w="37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gramStart"/>
            <w:r w:rsidRPr="00D77F80">
              <w:t xml:space="preserve">доля принятых на обучение по программам прикладного </w:t>
            </w:r>
            <w:proofErr w:type="spellStart"/>
            <w:r w:rsidRPr="00D77F80">
              <w:t>бакалавриата</w:t>
            </w:r>
            <w:proofErr w:type="spellEnd"/>
            <w:r w:rsidRPr="00D77F80">
              <w:t xml:space="preserve"> в общем количестве принятых на обучение по программам </w:t>
            </w:r>
            <w:proofErr w:type="spellStart"/>
            <w:r w:rsidRPr="00D77F80">
              <w:t>бакалавриата</w:t>
            </w:r>
            <w:proofErr w:type="spellEnd"/>
            <w:r w:rsidRPr="00D77F80">
              <w:t xml:space="preserve"> (за счет средств федерального бюджета)</w:t>
            </w:r>
            <w:proofErr w:type="gramEnd"/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ind w:left="283"/>
            </w:pPr>
            <w:r w:rsidRPr="00D77F80">
              <w:t xml:space="preserve">пилотная апробация образовательных программ </w:t>
            </w:r>
            <w:proofErr w:type="gramStart"/>
            <w:r w:rsidRPr="00D77F80">
              <w:t>прикладного</w:t>
            </w:r>
            <w:proofErr w:type="gramEnd"/>
            <w:r w:rsidRPr="00D77F80">
              <w:t xml:space="preserve"> </w:t>
            </w:r>
            <w:proofErr w:type="spellStart"/>
            <w:r w:rsidRPr="00D77F80">
              <w:t>бакалавриата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органы исполнительной власти с участием руководителей образовательных организаций высшего образования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7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/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ind w:left="283"/>
            </w:pPr>
            <w:r w:rsidRPr="00D77F80">
              <w:t xml:space="preserve">разработка и утверждение федеральных государственных образовательных стандартов по </w:t>
            </w:r>
            <w:proofErr w:type="gramStart"/>
            <w:r w:rsidRPr="00D77F80">
              <w:t>прикладному</w:t>
            </w:r>
            <w:proofErr w:type="gramEnd"/>
            <w:r w:rsidRPr="00D77F80">
              <w:t xml:space="preserve"> </w:t>
            </w:r>
            <w:proofErr w:type="spellStart"/>
            <w:r w:rsidRPr="00D77F80">
              <w:t>бакалавриату</w:t>
            </w:r>
            <w:proofErr w:type="spellEnd"/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2015 - 2016 годы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ind w:left="283"/>
            </w:pPr>
            <w:r w:rsidRPr="00D77F80">
              <w:t xml:space="preserve">реализация образовательных программ </w:t>
            </w:r>
            <w:proofErr w:type="gramStart"/>
            <w:r w:rsidRPr="00D77F80">
              <w:t>прикладного</w:t>
            </w:r>
            <w:proofErr w:type="gramEnd"/>
            <w:r w:rsidRPr="00D77F80">
              <w:t xml:space="preserve"> </w:t>
            </w:r>
            <w:proofErr w:type="spellStart"/>
            <w:r w:rsidRPr="00D77F80">
              <w:t>бакалавриата</w:t>
            </w:r>
            <w:proofErr w:type="spellEnd"/>
            <w:r w:rsidRPr="00D77F80">
              <w:t xml:space="preserve"> в штатном режиме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руководители образовательных организаций высшего образования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2015 - 2018 годы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4.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Мониторинг перехода на федеральные государственные образовательные стандарты подготовки кадров высшей квалификации и их актуализация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2014 - 2015 годы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Повышение результативности деятельности образовательных организаций высшего образования с учетом их специализации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5.</w:t>
            </w:r>
          </w:p>
          <w:p w:rsidR="00D77F80" w:rsidRPr="00D77F80" w:rsidRDefault="00D77F80" w:rsidP="00B95C5D">
            <w:pPr>
              <w:pStyle w:val="ConsPlusNormal"/>
              <w:jc w:val="center"/>
            </w:pPr>
          </w:p>
          <w:p w:rsidR="00D77F80" w:rsidRPr="00D77F80" w:rsidRDefault="00D77F80" w:rsidP="00B95C5D">
            <w:pPr>
              <w:pStyle w:val="ConsPlusNormal"/>
              <w:jc w:val="center"/>
            </w:pPr>
          </w:p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Обновление программ развития федеральных университетов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 с участием руководителей федеральных университетов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2014 - 2016 годы</w:t>
            </w:r>
          </w:p>
        </w:tc>
        <w:tc>
          <w:tcPr>
            <w:tcW w:w="37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число российских университетов, входящих в первую сотню ведущих мировых университетов согласно мировому рейтингу университетов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6.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both"/>
            </w:pPr>
            <w:r w:rsidRPr="00D77F80">
              <w:t>Поддержка программ развития сети национальных исследовательских университетов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both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 с участием руководителей национальных исследовательских университетов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both"/>
            </w:pPr>
            <w:r w:rsidRPr="00D77F80">
              <w:t>2014 год</w:t>
            </w:r>
          </w:p>
        </w:tc>
        <w:tc>
          <w:tcPr>
            <w:tcW w:w="37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/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ind w:left="283"/>
            </w:pPr>
            <w:r w:rsidRPr="00D77F80">
              <w:t>в том числе мониторинг реализации программ университетов, имеющих соответствующий статус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2014 - 2018 годы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7.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Реализация программ развития ведущих университетов, получающих государственную поддержку в целях повышения их конкурентоспособности среди ведущих мировых научно-образовательных центров, и их мониторинг в соответствии с утвержденным планом мероприятий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 с участием руководителей образовательных организаций высшего образования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2014 - 2018 годы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lastRenderedPageBreak/>
              <w:t>8.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Реализация программ стратегического развития образовательных организаций высшего образования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 с участием руководителей образовательных организаций высшего образования, реализующих программы стратегического развития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Инструменты оценки качества и образовательной политики в сфере высшего образования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9.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 xml:space="preserve">Создание </w:t>
            </w:r>
            <w:proofErr w:type="gramStart"/>
            <w:r w:rsidRPr="00D77F80">
              <w:t>системы оценки качества подготовки кадров</w:t>
            </w:r>
            <w:proofErr w:type="gramEnd"/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России, </w:t>
            </w:r>
            <w:proofErr w:type="gramStart"/>
            <w:r w:rsidRPr="00D77F80">
              <w:t>заинтересованные</w:t>
            </w:r>
            <w:proofErr w:type="gramEnd"/>
            <w:r w:rsidRPr="00D77F80">
              <w:t xml:space="preserve"> федеральные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2014 - 2018 годы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ind w:left="283"/>
            </w:pPr>
            <w:r w:rsidRPr="00D77F80">
              <w:t>в том числе аудит образовательных программ подготовки кадров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органы исполнительной власти с участием руководителей образовательных организаций высшего образования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России, заинтересованные федеральные органы исполнительной власти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10.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 xml:space="preserve">Переход на новые принципы распределения контрольных цифр приема граждан за счет средств федерального бюджета на </w:t>
            </w:r>
            <w:proofErr w:type="gramStart"/>
            <w:r w:rsidRPr="00D77F80">
              <w:t>обучение по</w:t>
            </w:r>
            <w:proofErr w:type="gramEnd"/>
            <w:r w:rsidRPr="00D77F80">
              <w:t xml:space="preserve"> образовательным программам высшего образования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России, заинтересованные федеральные органы исполнительной власти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2014 - 2018 годы</w:t>
            </w:r>
          </w:p>
        </w:tc>
        <w:tc>
          <w:tcPr>
            <w:tcW w:w="37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gramStart"/>
            <w:r w:rsidRPr="00D77F80">
              <w:t xml:space="preserve">доля принятых на обучение по программам прикладного </w:t>
            </w:r>
            <w:proofErr w:type="spellStart"/>
            <w:r w:rsidRPr="00D77F80">
              <w:t>бакалавриата</w:t>
            </w:r>
            <w:proofErr w:type="spellEnd"/>
            <w:r w:rsidRPr="00D77F80">
              <w:t xml:space="preserve"> в общем количестве принятых на обучение по программам </w:t>
            </w:r>
            <w:proofErr w:type="spellStart"/>
            <w:r w:rsidRPr="00D77F80">
              <w:t>бакалавриата</w:t>
            </w:r>
            <w:proofErr w:type="spellEnd"/>
            <w:r w:rsidRPr="00D77F80">
              <w:t xml:space="preserve"> (за счет средств федерального бюджета)</w:t>
            </w:r>
            <w:proofErr w:type="gramEnd"/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ind w:left="283"/>
            </w:pPr>
            <w:proofErr w:type="gramStart"/>
            <w:r w:rsidRPr="00D77F80">
              <w:t xml:space="preserve">в том числе реализация новых принципов распределения </w:t>
            </w:r>
            <w:r w:rsidRPr="00D77F80">
              <w:lastRenderedPageBreak/>
              <w:t>контрольных цифр приема граждан за счет средств федерального бюджета на обучение по образовательным программам высшего образования в штатном режиме</w:t>
            </w:r>
            <w:proofErr w:type="gramEnd"/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7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/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lastRenderedPageBreak/>
              <w:t>11.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 xml:space="preserve">Введение нормативного </w:t>
            </w:r>
            <w:proofErr w:type="spellStart"/>
            <w:r w:rsidRPr="00D77F80">
              <w:t>подушевого</w:t>
            </w:r>
            <w:proofErr w:type="spellEnd"/>
            <w:r w:rsidRPr="00D77F80">
              <w:t xml:space="preserve"> финансирования образовательных программ высшего образования: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России, заинтересованные федеральные органы исполнительной власти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2014 - 2015 годы</w:t>
            </w:r>
          </w:p>
        </w:tc>
        <w:tc>
          <w:tcPr>
            <w:tcW w:w="37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отношение средней заработной платы профессорско-преподавательского состава образовательных организаций высшего образования к средней заработной плате в соответствующем регионе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ind w:left="283"/>
            </w:pPr>
            <w:r w:rsidRPr="00D77F80">
              <w:t>разработка методики определения нормативных затрат на оказание государственных услуг по реализации имеющих государственную аккредитацию образовательных программ высшего образования по специальностям и направлениям подготовки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7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/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ind w:left="283"/>
            </w:pPr>
            <w:proofErr w:type="gramStart"/>
            <w:r w:rsidRPr="00D77F80">
              <w:t xml:space="preserve">определение нормативных затрат для государственных услуг по реализации основных профессиональных образовательных программ высшего образования - программ </w:t>
            </w:r>
            <w:proofErr w:type="spellStart"/>
            <w:r w:rsidRPr="00D77F80">
              <w:t>бакалавриата</w:t>
            </w:r>
            <w:proofErr w:type="spellEnd"/>
            <w:r w:rsidRPr="00D77F80">
              <w:t xml:space="preserve">, программ магистратуры и программ </w:t>
            </w:r>
            <w:proofErr w:type="spellStart"/>
            <w:r w:rsidRPr="00D77F80">
              <w:t>специалитета</w:t>
            </w:r>
            <w:proofErr w:type="spellEnd"/>
            <w:r w:rsidRPr="00D77F80">
              <w:t xml:space="preserve"> в соответствии с федеральными государственными образовательными стандартами, по каждому виду и направленности (профилю) образовательных программ с учетом форм обучения, </w:t>
            </w:r>
            <w:r w:rsidRPr="00D77F80">
              <w:lastRenderedPageBreak/>
              <w:t>федеральных государственных требований (при их наличии), типа образовательной организации, сетевой формы реализации образовательных программ, образовательных технологий, специальных условий получения образования</w:t>
            </w:r>
            <w:proofErr w:type="gramEnd"/>
            <w:r w:rsidRPr="00D77F80">
              <w:t xml:space="preserve"> обучающимися с ограниченными возможностями здоровья, обеспечения дополнительного профессионального образования педагогическим работникам, обеспечения безопасных условий обучения и воспитания, охраны здоровья обучающихся, а также с учетом иных предусмотренных Федеральным </w:t>
            </w:r>
            <w:hyperlink r:id="rId47" w:history="1">
              <w:r w:rsidRPr="00D77F80">
                <w:t>законом</w:t>
              </w:r>
            </w:hyperlink>
            <w:r w:rsidRPr="00D77F80">
              <w:t xml:space="preserve"> "Об образовании в Российской Федерации" особенностей организации и осуществления образовательной деятельности (для различных </w:t>
            </w:r>
            <w:proofErr w:type="gramStart"/>
            <w:r w:rsidRPr="00D77F80">
              <w:t>категорий</w:t>
            </w:r>
            <w:proofErr w:type="gramEnd"/>
            <w:r w:rsidRPr="00D77F80">
              <w:t xml:space="preserve"> обучающихся), за исключением образовательной деятельности, осуществляемой в соответствии с образовательными стандартами, в расчете на одного обучающегося с учетом обеспечения уровня средней заработной платы педагогических работников за выполняемую ими учебную (преподавательскую) работу и другую работу, определяемого в соответствии с решениями </w:t>
            </w:r>
            <w:r w:rsidRPr="00D77F80">
              <w:lastRenderedPageBreak/>
              <w:t>Президента Российской Федерации, Правительства Российской Федерации, органов государственной власти субъектов Российской Федерации, органов местного самоуправления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2015 - 2018 годы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1336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lastRenderedPageBreak/>
              <w:t>Развитие кадрового потенциала высшего профессионального образования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12.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Внедрение механизмов эффективного контракта с научно-педагогическими работниками образовательных организаций высшего образования:</w:t>
            </w:r>
          </w:p>
        </w:tc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России, заинтересованные федеральные органы исполнительной власти с участием руководителей образовательных организаций высшего профессионального образования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7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отношение средней заработной платы профессорско-преподавательского состава образовательных организаций высшего образования к средней заработной плате в соответствующем регионе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ind w:left="283"/>
            </w:pPr>
            <w:r w:rsidRPr="00D77F80">
              <w:t>разработка и апробация моделей эффективного контракта в системе высшего образования</w:t>
            </w:r>
          </w:p>
        </w:tc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/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год</w:t>
            </w:r>
          </w:p>
        </w:tc>
        <w:tc>
          <w:tcPr>
            <w:tcW w:w="37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/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ind w:left="283"/>
            </w:pPr>
            <w:r w:rsidRPr="00D77F80">
              <w:t>внедрение моделей эффективного контракта в системе высшего образования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2015 - 2016 годы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ind w:left="283"/>
            </w:pPr>
            <w:r w:rsidRPr="00D77F80">
              <w:t>проведение аттестации научно-педагогических работников организаций высшего образования с последующим переводом их на эффективный контракт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год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ind w:left="283"/>
            </w:pPr>
            <w:r w:rsidRPr="00D77F80">
              <w:t xml:space="preserve">внесение изменений в бюджетную роспись (планирование) федерального бюджета с учетом повышения оплаты труда </w:t>
            </w:r>
            <w:proofErr w:type="gramStart"/>
            <w:r w:rsidRPr="00D77F80">
              <w:t>профессорско- преподавательского</w:t>
            </w:r>
            <w:proofErr w:type="gramEnd"/>
            <w:r w:rsidRPr="00D77F80">
              <w:t xml:space="preserve"> состава высшего образования в </w:t>
            </w:r>
            <w:r w:rsidRPr="00D77F80">
              <w:lastRenderedPageBreak/>
              <w:t xml:space="preserve">соответствии с </w:t>
            </w:r>
            <w:hyperlink r:id="rId48" w:history="1">
              <w:r w:rsidRPr="00D77F80">
                <w:t>Указом</w:t>
              </w:r>
            </w:hyperlink>
            <w:r w:rsidRPr="00D77F80">
              <w:t xml:space="preserve"> Президента Российской Федерации "О мероприятиях по реализации государственной социальной политики"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2014 - 2018 годы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lastRenderedPageBreak/>
              <w:t>13.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Разработка и внедрение механизмов эффективного контракта с руководителями образовательных организаций высшего образования: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России, заинтересованные федеральные органы исполнительной власти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7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отношение средней заработной платы профессорско-преподавательского состава образовательных организаций высшего образования к средней заработной плате в соответствующем регионе, удельный вес численности преподавателей организаций высшего образования моложе 30 лет в общей численности преподавателей организаций высшего образования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ind w:left="283"/>
            </w:pPr>
            <w:r w:rsidRPr="00D77F80">
              <w:t>разработка методических рекомендаций по стимулированию руководителей образовательных организаций высшего образования, направленных на установление взаимосвязи между показателями качества предоставляемых организацией государственных (муниципальных) услуг и эффективностью деятельности руководителя образовательной организации высшего образования (в том числе по результатам независимой оценки)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год</w:t>
            </w:r>
          </w:p>
        </w:tc>
        <w:tc>
          <w:tcPr>
            <w:tcW w:w="37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/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ind w:left="283"/>
            </w:pPr>
            <w:r w:rsidRPr="00D77F80">
              <w:t>проведение работы по заключению трудовых договоров с руководителями государственных (муниципальных) образовательных организаций высшего образования в соответствии с типовой формой договора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России, заинтересованные федеральные органы исполнительной власти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2014 - 2018 годы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14.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 xml:space="preserve">Информационное и мониторинговое </w:t>
            </w:r>
            <w:r w:rsidRPr="00D77F80">
              <w:lastRenderedPageBreak/>
              <w:t>сопровождение введения эффективного контракта: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ind w:left="283"/>
            </w:pPr>
            <w:r w:rsidRPr="00D77F80">
              <w:t>информационное сопровождение мероприятий по введению эффективного контракта в системе высшего образования (организация проведения разъяснительной работы в трудовых коллективах, публикации в средствах массовой информации, проведение семинаров и другие мероприятия)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России, заинтересованные федеральные органы исполнительной власти с участием руководителей образовательных организаций высшего профессионального образования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2014 - 2018 годы</w:t>
            </w:r>
          </w:p>
        </w:tc>
        <w:tc>
          <w:tcPr>
            <w:tcW w:w="3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ind w:left="283"/>
            </w:pPr>
            <w:r w:rsidRPr="00D77F80">
              <w:t>мониторинг влияния внедрения эффективного контракта на качество образовательных услуг системы высшего образования, в том числе выявление лучших практик внедрения эффективного контракта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proofErr w:type="spellStart"/>
            <w:r w:rsidRPr="00D77F80">
              <w:t>Минобрнауки</w:t>
            </w:r>
            <w:proofErr w:type="spellEnd"/>
            <w:r w:rsidRPr="00D77F80">
              <w:t xml:space="preserve"> России, заинтересованные федеральные органы исполнительной власти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2015 и 2017 годы</w:t>
            </w:r>
          </w:p>
        </w:tc>
        <w:tc>
          <w:tcPr>
            <w:tcW w:w="37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</w:p>
        </w:tc>
      </w:tr>
    </w:tbl>
    <w:p w:rsidR="00D77F80" w:rsidRPr="00D77F80" w:rsidRDefault="00D77F80" w:rsidP="00D77F80">
      <w:pPr>
        <w:pStyle w:val="ConsPlusNormal"/>
        <w:jc w:val="center"/>
      </w:pPr>
    </w:p>
    <w:p w:rsidR="00D77F80" w:rsidRPr="00D77F80" w:rsidRDefault="00D77F80" w:rsidP="00D77F80">
      <w:pPr>
        <w:pStyle w:val="ConsPlusNormal"/>
        <w:jc w:val="center"/>
      </w:pPr>
      <w:r w:rsidRPr="00D77F80">
        <w:t>5. Показатели повышения эффективности и качества</w:t>
      </w:r>
    </w:p>
    <w:p w:rsidR="00D77F80" w:rsidRPr="00D77F80" w:rsidRDefault="00D77F80" w:rsidP="00D77F80">
      <w:pPr>
        <w:pStyle w:val="ConsPlusNormal"/>
        <w:jc w:val="center"/>
      </w:pPr>
      <w:proofErr w:type="gramStart"/>
      <w:r w:rsidRPr="00D77F80">
        <w:t>услуг в сфере высшего образования, соотнесенные с этапами</w:t>
      </w:r>
      <w:proofErr w:type="gramEnd"/>
    </w:p>
    <w:p w:rsidR="00D77F80" w:rsidRPr="00D77F80" w:rsidRDefault="00D77F80" w:rsidP="00D77F80">
      <w:pPr>
        <w:pStyle w:val="ConsPlusNormal"/>
        <w:jc w:val="center"/>
      </w:pPr>
      <w:r w:rsidRPr="00D77F80">
        <w:t>перехода к эффективному контракту</w:t>
      </w:r>
    </w:p>
    <w:p w:rsidR="00D77F80" w:rsidRPr="00D77F80" w:rsidRDefault="00D77F80" w:rsidP="00D77F80">
      <w:pPr>
        <w:pStyle w:val="ConsPlusNormal"/>
        <w:jc w:val="center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5"/>
        <w:gridCol w:w="2415"/>
        <w:gridCol w:w="1465"/>
        <w:gridCol w:w="795"/>
        <w:gridCol w:w="720"/>
        <w:gridCol w:w="720"/>
        <w:gridCol w:w="720"/>
        <w:gridCol w:w="720"/>
        <w:gridCol w:w="720"/>
        <w:gridCol w:w="3212"/>
      </w:tblGrid>
      <w:tr w:rsidR="00D77F80" w:rsidRPr="00D77F80" w:rsidTr="00B95C5D"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</w:p>
        </w:tc>
        <w:tc>
          <w:tcPr>
            <w:tcW w:w="1465" w:type="dxa"/>
            <w:tcBorders>
              <w:top w:val="single" w:sz="4" w:space="0" w:color="auto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Единица измерения</w:t>
            </w:r>
          </w:p>
        </w:tc>
        <w:tc>
          <w:tcPr>
            <w:tcW w:w="795" w:type="dxa"/>
            <w:tcBorders>
              <w:top w:val="single" w:sz="4" w:space="0" w:color="auto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2013 год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2014 год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2015 год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2016 год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2017 год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2018 год</w:t>
            </w:r>
          </w:p>
        </w:tc>
        <w:tc>
          <w:tcPr>
            <w:tcW w:w="321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Результаты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1.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 xml:space="preserve">Число российских университетов, входящих в первую сотню ведущих мировых университетов согласно мировому </w:t>
            </w:r>
            <w:r w:rsidRPr="00D77F80">
              <w:lastRenderedPageBreak/>
              <w:t>рейтингу университетов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lastRenderedPageBreak/>
              <w:t>единиц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</w:t>
            </w:r>
          </w:p>
        </w:tc>
        <w:tc>
          <w:tcPr>
            <w:tcW w:w="32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 xml:space="preserve">повышение конкурентоспособности российских образовательных организаций высшего образования на международном рынке </w:t>
            </w:r>
            <w:r w:rsidRPr="00D77F80">
              <w:lastRenderedPageBreak/>
              <w:t>образования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lastRenderedPageBreak/>
              <w:t>2.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Удельный вес сектора высшего образования во внутренних затратах на исследования и разработки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процентов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11,4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11,4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12,7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13,5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рост востребованности исследований и разработок, проводимых в организациях высшего образования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3.</w:t>
            </w:r>
          </w:p>
        </w:tc>
        <w:tc>
          <w:tcPr>
            <w:tcW w:w="241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 xml:space="preserve">Удельный вес численности лиц, принятых на </w:t>
            </w:r>
            <w:proofErr w:type="gramStart"/>
            <w:r w:rsidRPr="00D77F80">
              <w:t>обучение по программам</w:t>
            </w:r>
            <w:proofErr w:type="gramEnd"/>
            <w:r w:rsidRPr="00D77F80">
              <w:t xml:space="preserve"> прикладного </w:t>
            </w:r>
            <w:proofErr w:type="spellStart"/>
            <w:r w:rsidRPr="00D77F80">
              <w:t>бакалавриата</w:t>
            </w:r>
            <w:proofErr w:type="spellEnd"/>
            <w:r w:rsidRPr="00D77F80">
              <w:t xml:space="preserve"> в общем количестве принятых на обучение по программам </w:t>
            </w:r>
            <w:proofErr w:type="spellStart"/>
            <w:r w:rsidRPr="00D77F80">
              <w:t>бакалавриата</w:t>
            </w:r>
            <w:proofErr w:type="spellEnd"/>
            <w:r w:rsidRPr="00D77F80">
              <w:t xml:space="preserve"> (за счет средств федерального бюджета)</w:t>
            </w: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-"-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7,3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15,1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21,3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26,1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30</w:t>
            </w:r>
          </w:p>
        </w:tc>
        <w:tc>
          <w:tcPr>
            <w:tcW w:w="3212" w:type="dxa"/>
            <w:tcBorders>
              <w:top w:val="nil"/>
              <w:left w:val="nil"/>
              <w:bottom w:val="nil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>обеспечение подготовки специалистов, владеющих наряду с фундаментальными знаниями в определенной предметной области квалификацией для работы со сложными технологиями</w:t>
            </w:r>
          </w:p>
        </w:tc>
      </w:tr>
      <w:tr w:rsidR="00D77F80" w:rsidRPr="00D77F80" w:rsidTr="00B95C5D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5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4.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 xml:space="preserve">Отношение среднемесячной заработной платы профессорско-преподавательского состава государственных и муниципальных образовательных организаций высшего образования к среднемесячной заработной плате в </w:t>
            </w:r>
            <w:r w:rsidRPr="00D77F80">
              <w:lastRenderedPageBreak/>
              <w:t>субъекте Российской Федерации</w:t>
            </w:r>
          </w:p>
        </w:tc>
        <w:tc>
          <w:tcPr>
            <w:tcW w:w="14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lastRenderedPageBreak/>
              <w:t>процентов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134,9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125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133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150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  <w:jc w:val="center"/>
            </w:pPr>
            <w:r w:rsidRPr="00D77F80">
              <w:t>200</w:t>
            </w:r>
          </w:p>
        </w:tc>
        <w:tc>
          <w:tcPr>
            <w:tcW w:w="32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77F80" w:rsidRPr="00D77F80" w:rsidRDefault="00D77F80" w:rsidP="00B95C5D">
            <w:pPr>
              <w:pStyle w:val="ConsPlusNormal"/>
            </w:pPr>
            <w:r w:rsidRPr="00D77F80">
              <w:t xml:space="preserve">средняя заработная плата </w:t>
            </w:r>
            <w:proofErr w:type="gramStart"/>
            <w:r w:rsidRPr="00D77F80">
              <w:t>профессорско- преподавательского</w:t>
            </w:r>
            <w:proofErr w:type="gramEnd"/>
            <w:r w:rsidRPr="00D77F80">
              <w:t xml:space="preserve"> состава образовательных организаций высшего образования будет в 2 раза превышать среднюю заработную плату в соответствующем регионе</w:t>
            </w:r>
          </w:p>
        </w:tc>
      </w:tr>
    </w:tbl>
    <w:p w:rsidR="00D77F80" w:rsidRPr="00D77F80" w:rsidRDefault="00D77F80" w:rsidP="00D77F80">
      <w:pPr>
        <w:sectPr w:rsidR="00D77F80" w:rsidRPr="00D77F80">
          <w:pgSz w:w="16838" w:h="11905"/>
          <w:pgMar w:top="1701" w:right="1134" w:bottom="850" w:left="1134" w:header="0" w:footer="0" w:gutter="0"/>
          <w:cols w:space="720"/>
        </w:sectPr>
      </w:pPr>
    </w:p>
    <w:p w:rsidR="00D77F80" w:rsidRPr="00D77F80" w:rsidRDefault="00D77F80" w:rsidP="00D77F80">
      <w:pPr>
        <w:pStyle w:val="ConsPlusNormal"/>
        <w:ind w:firstLine="540"/>
        <w:jc w:val="both"/>
      </w:pPr>
    </w:p>
    <w:sectPr w:rsidR="00D77F80" w:rsidRPr="00D77F80" w:rsidSect="00D77F80">
      <w:pgSz w:w="11905" w:h="16838"/>
      <w:pgMar w:top="1134" w:right="850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10C"/>
    <w:rsid w:val="00B2010C"/>
    <w:rsid w:val="00D77F80"/>
    <w:rsid w:val="00EA537F"/>
    <w:rsid w:val="00FC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F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A537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A537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A537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Nonformat">
    <w:name w:val="ConsPlusNonformat"/>
    <w:rsid w:val="00EA537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A5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537F"/>
    <w:rPr>
      <w:rFonts w:ascii="Tahoma" w:hAnsi="Tahoma" w:cs="Tahoma"/>
      <w:sz w:val="16"/>
      <w:szCs w:val="16"/>
    </w:rPr>
  </w:style>
  <w:style w:type="paragraph" w:customStyle="1" w:styleId="ConsPlusCell">
    <w:name w:val="ConsPlusCell"/>
    <w:rsid w:val="00D77F8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D77F8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JurTerm">
    <w:name w:val="ConsPlusJurTerm"/>
    <w:rsid w:val="00D77F8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F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A537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EA537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EA537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Nonformat">
    <w:name w:val="ConsPlusNonformat"/>
    <w:rsid w:val="00EA537F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A53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537F"/>
    <w:rPr>
      <w:rFonts w:ascii="Tahoma" w:hAnsi="Tahoma" w:cs="Tahoma"/>
      <w:sz w:val="16"/>
      <w:szCs w:val="16"/>
    </w:rPr>
  </w:style>
  <w:style w:type="paragraph" w:customStyle="1" w:styleId="ConsPlusCell">
    <w:name w:val="ConsPlusCell"/>
    <w:rsid w:val="00D77F8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D77F8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JurTerm">
    <w:name w:val="ConsPlusJurTerm"/>
    <w:rsid w:val="00D77F8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601896D2DB1F0EDD954611A77D8B9B0BADC50ED2AC7974D9B29F67438E2D10A9A1AD5EF56A77138EE3Y3P" TargetMode="External"/><Relationship Id="rId18" Type="http://schemas.openxmlformats.org/officeDocument/2006/relationships/hyperlink" Target="consultantplus://offline/ref=601896D2DB1F0EDD954611A77D8B9B0BADC409D6AA7F74D9B29F67438EE2YDP" TargetMode="External"/><Relationship Id="rId26" Type="http://schemas.openxmlformats.org/officeDocument/2006/relationships/hyperlink" Target="consultantplus://offline/ref=601896D2DB1F0EDD954611A77D8B9B0BA5CF01D0AF7229D3BAC66B41E8Y9P" TargetMode="External"/><Relationship Id="rId39" Type="http://schemas.openxmlformats.org/officeDocument/2006/relationships/hyperlink" Target="consultantplus://offline/ref=10438F48A4118C299864A57C8439BCB8296DDF97049CB47B5EDF0BF02529E118A1615ECC6CnFa9P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601896D2DB1F0EDD954611A77D8B9B0BADC409D6AA7F74D9B29F67438E2D10A9A1AD5EF76CE7YEP" TargetMode="External"/><Relationship Id="rId34" Type="http://schemas.openxmlformats.org/officeDocument/2006/relationships/hyperlink" Target="consultantplus://offline/ref=10438F48A4118C299864A57C8439BCB82962DD920F98B47B5EDF0BF025n2a9P" TargetMode="External"/><Relationship Id="rId42" Type="http://schemas.openxmlformats.org/officeDocument/2006/relationships/hyperlink" Target="consultantplus://offline/ref=4023ED72B915A7EBDC4F73792411A9E218942D8F7F9E5A6E7B538382C88DBDD68907A2A37AC5813FL1ZDP" TargetMode="External"/><Relationship Id="rId47" Type="http://schemas.openxmlformats.org/officeDocument/2006/relationships/hyperlink" Target="consultantplus://offline/ref=352FEB36B1D5ACE1FC1875AD07720279F28F4AF489CA9093F798F0673AbA6BF" TargetMode="External"/><Relationship Id="rId50" Type="http://schemas.openxmlformats.org/officeDocument/2006/relationships/theme" Target="theme/theme1.xml"/><Relationship Id="rId7" Type="http://schemas.openxmlformats.org/officeDocument/2006/relationships/hyperlink" Target="consultantplus://offline/ref=601896D2DB1F0EDD954611A77D8B9B0BADCA01D2A17D74D9B29F67438E2D10A9A1AD5EF56A77138BE3Y1P" TargetMode="External"/><Relationship Id="rId12" Type="http://schemas.openxmlformats.org/officeDocument/2006/relationships/hyperlink" Target="consultantplus://offline/ref=601896D2DB1F0EDD954611A77D8B9B0BADC409D6AA7F74D9B29F67438E2D10A9A1AD5EF56A77158BE3Y7P" TargetMode="External"/><Relationship Id="rId17" Type="http://schemas.openxmlformats.org/officeDocument/2006/relationships/hyperlink" Target="consultantplus://offline/ref=601896D2DB1F0EDD954611A77D8B9B0BADC409D6AA7F74D9B29F67438E2D10A9A1AD5EF769E7YFP" TargetMode="External"/><Relationship Id="rId25" Type="http://schemas.openxmlformats.org/officeDocument/2006/relationships/hyperlink" Target="consultantplus://offline/ref=601896D2DB1F0EDD954611A77D8B9B0BA5CA0BD7A07229D3BAC66B41E8Y9P" TargetMode="External"/><Relationship Id="rId33" Type="http://schemas.openxmlformats.org/officeDocument/2006/relationships/hyperlink" Target="consultantplus://offline/ref=10438F48A4118C299864A57C8439BCB8296DDF97049CB47B5EDF0BF02529E118A1615ECC61nFa3P" TargetMode="External"/><Relationship Id="rId38" Type="http://schemas.openxmlformats.org/officeDocument/2006/relationships/hyperlink" Target="consultantplus://offline/ref=10438F48A4118C299864A57C8439BCB8296DDF97049CB47B5EDF0BF02529E118A1615ECC62nFaBP" TargetMode="External"/><Relationship Id="rId46" Type="http://schemas.openxmlformats.org/officeDocument/2006/relationships/hyperlink" Target="consultantplus://offline/ref=352FEB36B1D5ACE1FC1875AD07720279F2824BF085CE9093F798F0673AbA6B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601896D2DB1F0EDD954611A77D8B9B0BADC50ED2AC7974D9B29F67438E2D10A9A1AD5EF56A77138EE3Y3P" TargetMode="External"/><Relationship Id="rId20" Type="http://schemas.openxmlformats.org/officeDocument/2006/relationships/hyperlink" Target="consultantplus://offline/ref=601896D2DB1F0EDD954611A77D8B9B0BADC80FD4AB7F74D9B29F67438EE2YDP" TargetMode="External"/><Relationship Id="rId29" Type="http://schemas.openxmlformats.org/officeDocument/2006/relationships/hyperlink" Target="consultantplus://offline/ref=601896D2DB1F0EDD954611A77D8B9B0BADCC00D8AE7874D9B29F67438E2D10A9A1AD5EF56A77118CE3YCP" TargetMode="External"/><Relationship Id="rId41" Type="http://schemas.openxmlformats.org/officeDocument/2006/relationships/hyperlink" Target="consultantplus://offline/ref=4023ED72B915A7EBDC4F73792411A9E218942D8F7F9E5A6E7B538382C88DBDD68907A2A37AC5813FL1ZDP" TargetMode="External"/><Relationship Id="rId1" Type="http://schemas.openxmlformats.org/officeDocument/2006/relationships/styles" Target="styles.xml"/><Relationship Id="rId6" Type="http://schemas.openxmlformats.org/officeDocument/2006/relationships/hyperlink" Target="consultantplus://offline/ref=601896D2DB1F0EDD954611A77D8B9B0BADC50ED2AC7974D9B29F67438E2D10A9A1AD5EF56A77138CE3YDP" TargetMode="External"/><Relationship Id="rId11" Type="http://schemas.openxmlformats.org/officeDocument/2006/relationships/hyperlink" Target="consultantplus://offline/ref=601896D2DB1F0EDD954611A77D8B9B0BADCA01D2A17D74D9B29F67438E2D10A9A1AD5EF56A77138BE3Y1P" TargetMode="External"/><Relationship Id="rId24" Type="http://schemas.openxmlformats.org/officeDocument/2006/relationships/hyperlink" Target="consultantplus://offline/ref=601896D2DB1F0EDD954611A77D8B9B0BA5CF01D0AF7229D3BAC66B41E8Y9P" TargetMode="External"/><Relationship Id="rId32" Type="http://schemas.openxmlformats.org/officeDocument/2006/relationships/hyperlink" Target="consultantplus://offline/ref=601896D2DB1F0EDD954611A77D8B9B0BADC409D6AA7F74D9B29F67438E2D10A9A1AD5EF162E7Y6P" TargetMode="External"/><Relationship Id="rId37" Type="http://schemas.openxmlformats.org/officeDocument/2006/relationships/hyperlink" Target="consultantplus://offline/ref=10438F48A4118C299864A57C8439BCB8296DDF97049CB47B5EDF0BF025n2a9P" TargetMode="External"/><Relationship Id="rId40" Type="http://schemas.openxmlformats.org/officeDocument/2006/relationships/hyperlink" Target="consultantplus://offline/ref=10438F48A4118C299864A57C8439BCB8296DDF97049CB47B5EDF0BF02529E118A1615ECC6CnFa9P" TargetMode="External"/><Relationship Id="rId45" Type="http://schemas.openxmlformats.org/officeDocument/2006/relationships/hyperlink" Target="consultantplus://offline/ref=4023ED72B915A7EBDC4F73792411A9E2189C2E85799D5A6E7B538382C88DBDD68907A2LAZ7P" TargetMode="External"/><Relationship Id="rId5" Type="http://schemas.openxmlformats.org/officeDocument/2006/relationships/hyperlink" Target="consultantplus://offline/ref=601896D2DB1F0EDD954611A77D8B9B0BADCA01D2A17D74D9B29F67438E2D10A9A1AD5EF56A77138BE3Y1P" TargetMode="External"/><Relationship Id="rId15" Type="http://schemas.openxmlformats.org/officeDocument/2006/relationships/hyperlink" Target="consultantplus://offline/ref=601896D2DB1F0EDD954611A77D8B9B0BADC409D6AA7F74D9B29F67438E2D10A9A1AD5EF06EE7Y7P" TargetMode="External"/><Relationship Id="rId23" Type="http://schemas.openxmlformats.org/officeDocument/2006/relationships/hyperlink" Target="consultantplus://offline/ref=601896D2DB1F0EDD954611A77D8B9B0BA5CA0BD7A07229D3BAC66B41E8Y9P" TargetMode="External"/><Relationship Id="rId28" Type="http://schemas.openxmlformats.org/officeDocument/2006/relationships/hyperlink" Target="consultantplus://offline/ref=601896D2DB1F0EDD954611A77D8B9B0BADCC00D8AE7874D9B29F67438EE2YDP" TargetMode="External"/><Relationship Id="rId36" Type="http://schemas.openxmlformats.org/officeDocument/2006/relationships/hyperlink" Target="consultantplus://offline/ref=10438F48A4118C299864A57C8439BCB8296DDF97049CB47B5EDF0BF02529E118A1615ECC61nFa3P" TargetMode="External"/><Relationship Id="rId49" Type="http://schemas.openxmlformats.org/officeDocument/2006/relationships/fontTable" Target="fontTable.xml"/><Relationship Id="rId10" Type="http://schemas.openxmlformats.org/officeDocument/2006/relationships/hyperlink" Target="consultantplus://offline/ref=601896D2DB1F0EDD954611A77D8B9B0BADC50ED2AC7974D9B29F67438E2D10A9A1AD5EF56A77108CE3Y4P" TargetMode="External"/><Relationship Id="rId19" Type="http://schemas.openxmlformats.org/officeDocument/2006/relationships/hyperlink" Target="consultantplus://offline/ref=601896D2DB1F0EDD954611A77D8B9B0BA8C80FD4A87229D3BAC66B41E8Y9P" TargetMode="External"/><Relationship Id="rId31" Type="http://schemas.openxmlformats.org/officeDocument/2006/relationships/hyperlink" Target="consultantplus://offline/ref=601896D2DB1F0EDD954611A77D8B9B0BA5CE01D8A87229D3BAC66B41E8Y9P" TargetMode="External"/><Relationship Id="rId44" Type="http://schemas.openxmlformats.org/officeDocument/2006/relationships/hyperlink" Target="consultantplus://offline/ref=4023ED72B915A7EBDC4F73792411A9E218982E8D7C975A6E7B538382C88DBDD68907A2A37AC58334L1Z7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601896D2DB1F0EDD954611A77D8B9B0BADC50ED2AC7974D9B29F67438E2D10A9A1AD5EF56A77108DE3YDP" TargetMode="External"/><Relationship Id="rId14" Type="http://schemas.openxmlformats.org/officeDocument/2006/relationships/hyperlink" Target="consultantplus://offline/ref=601896D2DB1F0EDD954611A77D8B9B0BADC409D6AA7F74D9B29F67438E2D10A9A1AD5EF06FE7YEP" TargetMode="External"/><Relationship Id="rId22" Type="http://schemas.openxmlformats.org/officeDocument/2006/relationships/hyperlink" Target="consultantplus://offline/ref=601896D2DB1F0EDD954611A77D8B9B0BADC409D6AA7F74D9B29F67438EE2YDP" TargetMode="External"/><Relationship Id="rId27" Type="http://schemas.openxmlformats.org/officeDocument/2006/relationships/hyperlink" Target="consultantplus://offline/ref=601896D2DB1F0EDD954611A77D8B9B0BADC80FD4AB7F74D9B29F67438EE2YDP" TargetMode="External"/><Relationship Id="rId30" Type="http://schemas.openxmlformats.org/officeDocument/2006/relationships/hyperlink" Target="consultantplus://offline/ref=601896D2DB1F0EDD954611A77D8B9B0BA5CE01D8A87229D3BAC66B4189224FBEA6E452F46A7711E8YEP" TargetMode="External"/><Relationship Id="rId35" Type="http://schemas.openxmlformats.org/officeDocument/2006/relationships/hyperlink" Target="consultantplus://offline/ref=10438F48A4118C299864A57C8439BCB8296CD893029AB47B5EDF0BF02529E118A1615EC964FA8C83nBaAP" TargetMode="External"/><Relationship Id="rId43" Type="http://schemas.openxmlformats.org/officeDocument/2006/relationships/hyperlink" Target="consultantplus://offline/ref=4023ED72B915A7EBDC4F73792411A9E218982E8D7C975A6E7B538382C8L8ZDP" TargetMode="External"/><Relationship Id="rId48" Type="http://schemas.openxmlformats.org/officeDocument/2006/relationships/hyperlink" Target="consultantplus://offline/ref=352FEB36B1D5ACE1FC1875AD07720279F28442F184CE9093F798F0673AbA6BF" TargetMode="External"/><Relationship Id="rId8" Type="http://schemas.openxmlformats.org/officeDocument/2006/relationships/hyperlink" Target="consultantplus://offline/ref=601896D2DB1F0EDD954611A77D8B9B0BADC50ED2AC7974D9B29F67438E2D10A9A1AD5EF56A771185E3Y1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26</Pages>
  <Words>7997</Words>
  <Characters>45589</Characters>
  <Application>Microsoft Office Word</Application>
  <DocSecurity>0</DocSecurity>
  <Lines>379</Lines>
  <Paragraphs>106</Paragraphs>
  <ScaleCrop>false</ScaleCrop>
  <Company/>
  <LinksUpToDate>false</LinksUpToDate>
  <CharactersWithSpaces>53480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Евгеньевич Гордеев</dc:creator>
  <cp:keywords/>
  <dc:description/>
  <cp:lastModifiedBy>Станислав Евгеньевич Гордеев</cp:lastModifiedBy>
  <cp:revision>3</cp:revision>
  <dcterms:created xsi:type="dcterms:W3CDTF">2016-03-14T09:24:00Z</dcterms:created>
  <dcterms:modified xsi:type="dcterms:W3CDTF">2016-03-14T09:30:00Z</dcterms:modified>
</cp:coreProperties>
</file>