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Software Requirements Specification</w:t>
      </w:r>
    </w:p>
    <w:p>
      <w:pPr>
        <w:jc w:val="center"/>
      </w:pPr>
      <w:r>
        <w:rPr>
          <w:b/>
          <w:color w:val="2F5496"/>
          <w:sz w:val="32"/>
        </w:rPr>
        <w:t>Login-to-Metrics Scope with 10 User Stories</w:t>
      </w:r>
    </w:p>
    <w:p>
      <w:pPr>
        <w:jc w:val="center"/>
      </w:pPr>
      <w:r>
        <w:br/>
        <w:t>Keepme Customer Engagement Platform</w:t>
        <w:br/>
        <w:t>Version 1.0</w:t>
        <w:br/>
        <w:t>17 July 2026</w:t>
      </w:r>
    </w:p>
    <w:p>
      <w:r>
        <w:br w:type="page"/>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1F4E79"/>
            <w:vAlign w:val="center"/>
          </w:tcPr>
          <w:p>
            <w:r>
              <w:rPr>
                <w:b/>
                <w:color w:val="FFFFFF"/>
                <w:sz w:val="17"/>
              </w:rPr>
              <w:t>Document Field</w:t>
            </w:r>
          </w:p>
        </w:tc>
        <w:tc>
          <w:tcPr>
            <w:tcW w:type="dxa" w:w="7344"/>
            <w:shd w:fill="1F4E79"/>
            <w:vAlign w:val="center"/>
          </w:tcPr>
          <w:p>
            <w:r>
              <w:rPr>
                <w:b/>
                <w:color w:val="FFFFFF"/>
                <w:sz w:val="17"/>
              </w:rPr>
              <w:t>Value</w:t>
            </w:r>
          </w:p>
        </w:tc>
      </w:tr>
      <w:tr>
        <w:tc>
          <w:tcPr>
            <w:tcW w:type="dxa" w:w="3168"/>
            <w:vAlign w:val="top"/>
          </w:tcPr>
          <w:p>
            <w:r>
              <w:rPr>
                <w:sz w:val="16"/>
              </w:rPr>
              <w:t>Document Title</w:t>
            </w:r>
          </w:p>
        </w:tc>
        <w:tc>
          <w:tcPr>
            <w:tcW w:type="dxa" w:w="7344"/>
            <w:vAlign w:val="top"/>
          </w:tcPr>
          <w:p>
            <w:r>
              <w:rPr>
                <w:sz w:val="16"/>
              </w:rPr>
              <w:t>Login-to-Metrics: 10 User Stories and Software Requirements Specification</w:t>
            </w:r>
          </w:p>
        </w:tc>
      </w:tr>
      <w:tr>
        <w:tc>
          <w:tcPr>
            <w:tcW w:type="dxa" w:w="3168"/>
            <w:vAlign w:val="top"/>
          </w:tcPr>
          <w:p>
            <w:r>
              <w:rPr>
                <w:sz w:val="16"/>
              </w:rPr>
              <w:t>Source</w:t>
            </w:r>
          </w:p>
        </w:tc>
        <w:tc>
          <w:tcPr>
            <w:tcW w:type="dxa" w:w="7344"/>
            <w:vAlign w:val="top"/>
          </w:tcPr>
          <w:p>
            <w:r>
              <w:rPr>
                <w:sz w:val="16"/>
              </w:rPr>
              <w:t>Keepme Test cases.xlsx - Metrics worksheet</w:t>
            </w:r>
          </w:p>
        </w:tc>
      </w:tr>
      <w:tr>
        <w:tc>
          <w:tcPr>
            <w:tcW w:type="dxa" w:w="3168"/>
            <w:vAlign w:val="top"/>
          </w:tcPr>
          <w:p>
            <w:r>
              <w:rPr>
                <w:sz w:val="16"/>
              </w:rPr>
              <w:t>Scope</w:t>
            </w:r>
          </w:p>
        </w:tc>
        <w:tc>
          <w:tcPr>
            <w:tcW w:type="dxa" w:w="7344"/>
            <w:vAlign w:val="top"/>
          </w:tcPr>
          <w:p>
            <w:r>
              <w:rPr>
                <w:sz w:val="16"/>
              </w:rPr>
              <w:t>Authentication entry flow through Metrics dashboard and email-report behavior</w:t>
            </w:r>
          </w:p>
        </w:tc>
      </w:tr>
      <w:tr>
        <w:tc>
          <w:tcPr>
            <w:tcW w:type="dxa" w:w="3168"/>
            <w:vAlign w:val="top"/>
          </w:tcPr>
          <w:p>
            <w:r>
              <w:rPr>
                <w:sz w:val="16"/>
              </w:rPr>
              <w:t>Status</w:t>
            </w:r>
          </w:p>
        </w:tc>
        <w:tc>
          <w:tcPr>
            <w:tcW w:type="dxa" w:w="7344"/>
            <w:vAlign w:val="top"/>
          </w:tcPr>
          <w:p>
            <w:r>
              <w:rPr>
                <w:sz w:val="16"/>
              </w:rPr>
              <w:t>Draft for review</w:t>
            </w:r>
          </w:p>
        </w:tc>
      </w:tr>
      <w:tr>
        <w:tc>
          <w:tcPr>
            <w:tcW w:type="dxa" w:w="3168"/>
            <w:vAlign w:val="top"/>
          </w:tcPr>
          <w:p>
            <w:r>
              <w:rPr>
                <w:sz w:val="16"/>
              </w:rPr>
              <w:t>Version</w:t>
            </w:r>
          </w:p>
        </w:tc>
        <w:tc>
          <w:tcPr>
            <w:tcW w:type="dxa" w:w="7344"/>
            <w:vAlign w:val="top"/>
          </w:tcPr>
          <w:p>
            <w:r>
              <w:rPr>
                <w:sz w:val="16"/>
              </w:rPr>
              <w:t>1.0</w:t>
            </w:r>
          </w:p>
        </w:tc>
      </w:tr>
      <w:tr>
        <w:tc>
          <w:tcPr>
            <w:tcW w:type="dxa" w:w="3168"/>
            <w:vAlign w:val="top"/>
          </w:tcPr>
          <w:p>
            <w:r>
              <w:rPr>
                <w:sz w:val="16"/>
              </w:rPr>
              <w:t>Prepared Date</w:t>
            </w:r>
          </w:p>
        </w:tc>
        <w:tc>
          <w:tcPr>
            <w:tcW w:type="dxa" w:w="7344"/>
            <w:vAlign w:val="top"/>
          </w:tcPr>
          <w:p>
            <w:r>
              <w:rPr>
                <w:sz w:val="16"/>
              </w:rPr>
              <w:t>17 July 2026</w:t>
            </w:r>
          </w:p>
        </w:tc>
      </w:tr>
    </w:tbl>
    <w:p/>
    <w:p>
      <w:pPr>
        <w:pStyle w:val="Heading1"/>
      </w:pPr>
      <w:r>
        <w:t>1. Introduction</w:t>
      </w:r>
    </w:p>
    <w:p>
      <w:pPr>
        <w:pStyle w:val="Heading2"/>
      </w:pPr>
      <w:r>
        <w:t>1.1 Purpose</w:t>
      </w:r>
    </w:p>
    <w:p>
      <w:r>
        <w:t>This document defines exactly ten user stories and the corresponding software requirements for the user journey beginning with login and ending with the Metrics dashboard and its report-delivery behavior. Metrics requirements are derived from the provided test-case workbook. Login requirements are foundational requirements inferred from the repeated test precondition “User authenticated,” because the workbook does not contain a separate login worksheet.</w:t>
      </w:r>
    </w:p>
    <w:p>
      <w:pPr>
        <w:pStyle w:val="Heading2"/>
      </w:pPr>
      <w:r>
        <w:t>1.2 Scope</w:t>
      </w:r>
    </w:p>
    <w:p>
      <w:pPr>
        <w:pStyle w:val="ListBullet"/>
      </w:pPr>
      <w:r>
        <w:t>User authentication and access control</w:t>
      </w:r>
    </w:p>
    <w:p>
      <w:pPr>
        <w:pStyle w:val="ListBullet"/>
      </w:pPr>
      <w:r>
        <w:t>Successful navigation to the Metrics dashboard</w:t>
      </w:r>
    </w:p>
    <w:p>
      <w:pPr>
        <w:pStyle w:val="ListBullet"/>
      </w:pPr>
      <w:r>
        <w:t>Year, month, all-time, and customer filtering</w:t>
      </w:r>
    </w:p>
    <w:p>
      <w:pPr>
        <w:pStyle w:val="ListBullet"/>
      </w:pPr>
      <w:r>
        <w:t>Metric cards, conversion calculations, out-of-hours classification, and data consistency</w:t>
      </w:r>
    </w:p>
    <w:p>
      <w:pPr>
        <w:pStyle w:val="ListBullet"/>
      </w:pPr>
      <w:r>
        <w:t>Large-range report confirmation, queuing, cancellation, and email delivery</w:t>
      </w:r>
    </w:p>
    <w:p>
      <w:pPr>
        <w:pStyle w:val="Heading2"/>
      </w:pPr>
      <w:r>
        <w:t>1.3 Out of Scope</w:t>
      </w:r>
    </w:p>
    <w:p>
      <w:pPr>
        <w:pStyle w:val="ListBullet"/>
      </w:pPr>
      <w:r>
        <w:t>Conversation, Report, Template, WhatsApp, Notification, and Re-Engage modules</w:t>
      </w:r>
    </w:p>
    <w:p>
      <w:pPr>
        <w:pStyle w:val="ListBullet"/>
      </w:pPr>
      <w:r>
        <w:t>User registration, password reset, multi-factor authentication, and single sign-on unless separately approved</w:t>
      </w:r>
    </w:p>
    <w:p>
      <w:pPr>
        <w:pStyle w:val="ListBullet"/>
      </w:pPr>
      <w:r>
        <w:t>Administrative user and role management</w:t>
      </w:r>
    </w:p>
    <w:p>
      <w:pPr>
        <w:pStyle w:val="Heading1"/>
      </w:pPr>
      <w:r>
        <w:t>2. Overall Description</w:t>
      </w:r>
    </w:p>
    <w:p>
      <w:pPr>
        <w:pStyle w:val="Heading2"/>
      </w:pPr>
      <w:r>
        <w:t>2.1 Product Perspective</w:t>
      </w:r>
    </w:p>
    <w:p>
      <w:r>
        <w:t>The Metrics feature is an authenticated area of the Keepme platform. A user must establish a valid session before accessing business KPIs. Once authenticated, the user can view and filter metrics, review conversion and out-of-hours values, and request an emailed report for large date ranges.</w:t>
      </w:r>
    </w:p>
    <w:p>
      <w:pPr>
        <w:pStyle w:val="Heading2"/>
      </w:pPr>
      <w:r>
        <w:t>2.2 Primary Actors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9"/>
            <w:vAlign w:val="center"/>
          </w:tcPr>
          <w:p>
            <w:r>
              <w:rPr>
                <w:b/>
                <w:color w:val="FFFFFF"/>
                <w:sz w:val="17"/>
              </w:rPr>
              <w:t>Actor</w:t>
            </w:r>
          </w:p>
        </w:tc>
        <w:tc>
          <w:tcPr>
            <w:tcW w:type="dxa" w:w="7632"/>
            <w:shd w:fill="1F4E79"/>
            <w:vAlign w:val="center"/>
          </w:tcPr>
          <w:p>
            <w:r>
              <w:rPr>
                <w:b/>
                <w:color w:val="FFFFFF"/>
                <w:sz w:val="17"/>
              </w:rPr>
              <w:t>Description</w:t>
            </w:r>
          </w:p>
        </w:tc>
      </w:tr>
      <w:tr>
        <w:tc>
          <w:tcPr>
            <w:tcW w:type="dxa" w:w="2880"/>
            <w:vAlign w:val="top"/>
          </w:tcPr>
          <w:p>
            <w:r>
              <w:rPr>
                <w:sz w:val="16"/>
              </w:rPr>
              <w:t>Authorized User</w:t>
            </w:r>
          </w:p>
        </w:tc>
        <w:tc>
          <w:tcPr>
            <w:tcW w:type="dxa" w:w="7632"/>
            <w:vAlign w:val="top"/>
          </w:tcPr>
          <w:p>
            <w:r>
              <w:rPr>
                <w:sz w:val="16"/>
              </w:rPr>
              <w:t>A user permitted to sign in and access Metrics.</w:t>
            </w:r>
          </w:p>
        </w:tc>
      </w:tr>
      <w:tr>
        <w:tc>
          <w:tcPr>
            <w:tcW w:type="dxa" w:w="2880"/>
            <w:vAlign w:val="top"/>
          </w:tcPr>
          <w:p>
            <w:r>
              <w:rPr>
                <w:sz w:val="16"/>
              </w:rPr>
              <w:t>Client User</w:t>
            </w:r>
          </w:p>
        </w:tc>
        <w:tc>
          <w:tcPr>
            <w:tcW w:type="dxa" w:w="7632"/>
            <w:vAlign w:val="top"/>
          </w:tcPr>
          <w:p>
            <w:r>
              <w:rPr>
                <w:sz w:val="16"/>
              </w:rPr>
              <w:t>Views data for the assigned client or customer scope.</w:t>
            </w:r>
          </w:p>
        </w:tc>
      </w:tr>
      <w:tr>
        <w:tc>
          <w:tcPr>
            <w:tcW w:type="dxa" w:w="2880"/>
            <w:vAlign w:val="top"/>
          </w:tcPr>
          <w:p>
            <w:r>
              <w:rPr>
                <w:sz w:val="16"/>
              </w:rPr>
              <w:t>Super Owner / Multi-client User</w:t>
            </w:r>
          </w:p>
        </w:tc>
        <w:tc>
          <w:tcPr>
            <w:tcW w:type="dxa" w:w="7632"/>
            <w:vAlign w:val="top"/>
          </w:tcPr>
          <w:p>
            <w:r>
              <w:rPr>
                <w:sz w:val="16"/>
              </w:rPr>
              <w:t>May view aggregated data and select customers, subject to permissions.</w:t>
            </w:r>
          </w:p>
        </w:tc>
      </w:tr>
      <w:tr>
        <w:tc>
          <w:tcPr>
            <w:tcW w:type="dxa" w:w="2880"/>
            <w:vAlign w:val="top"/>
          </w:tcPr>
          <w:p>
            <w:r>
              <w:rPr>
                <w:sz w:val="16"/>
              </w:rPr>
              <w:t>Email Service</w:t>
            </w:r>
          </w:p>
        </w:tc>
        <w:tc>
          <w:tcPr>
            <w:tcW w:type="dxa" w:w="7632"/>
            <w:vAlign w:val="top"/>
          </w:tcPr>
          <w:p>
            <w:r>
              <w:rPr>
                <w:sz w:val="16"/>
              </w:rPr>
              <w:t>Delivers requested metrics reports.</w:t>
            </w:r>
          </w:p>
        </w:tc>
      </w:tr>
    </w:tbl>
    <w:p/>
    <w:p>
      <w:pPr>
        <w:pStyle w:val="Heading2"/>
      </w:pPr>
      <w:r>
        <w:t>2.3 Assumptions and Dependencies</w:t>
      </w:r>
    </w:p>
    <w:p>
      <w:pPr>
        <w:pStyle w:val="ListBullet"/>
      </w:pPr>
      <w:r>
        <w:t>Authentication and authorization services are available.</w:t>
      </w:r>
    </w:p>
    <w:p>
      <w:pPr>
        <w:pStyle w:val="ListBullet"/>
      </w:pPr>
      <w:r>
        <w:t>Metrics APIs return data for the selected customer and date range.</w:t>
      </w:r>
    </w:p>
    <w:p>
      <w:pPr>
        <w:pStyle w:val="ListBullet"/>
      </w:pPr>
      <w:r>
        <w:t>Business-hours configuration exists for out-of-hours classification.</w:t>
      </w:r>
    </w:p>
    <w:p>
      <w:pPr>
        <w:pStyle w:val="ListBullet"/>
      </w:pPr>
      <w:r>
        <w:t>An email service and report-generation queue are configured.</w:t>
      </w:r>
    </w:p>
    <w:p>
      <w:pPr>
        <w:pStyle w:val="ListBullet"/>
      </w:pPr>
      <w:r>
        <w:t>The user has a valid email address associated with the account.</w:t>
      </w:r>
    </w:p>
    <w:p>
      <w:pPr>
        <w:pStyle w:val="Heading1"/>
      </w:pPr>
      <w:r>
        <w:t>3. User Stories</w:t>
      </w:r>
    </w:p>
    <w:p>
      <w:pPr>
        <w:pStyle w:val="Heading2"/>
      </w:pPr>
      <w:r>
        <w:t>US-LM-001 - Authenticate with valid credentials</w:t>
      </w:r>
    </w:p>
    <w:p>
      <w:r>
        <w:t>As an authorized user, I want to sign in with valid credentials so that I can securely access the Keepme platform.</w:t>
      </w:r>
    </w:p>
    <w:p>
      <w:r>
        <w:rPr>
          <w:b/>
        </w:rPr>
        <w:t>Acceptance Criteria</w:t>
      </w:r>
    </w:p>
    <w:p>
      <w:pPr>
        <w:pStyle w:val="ListBullet"/>
      </w:pPr>
      <w:r>
        <w:t>Given the login page is displayed, when valid credentials are submitted, then the system authenticates the user.</w:t>
      </w:r>
    </w:p>
    <w:p>
      <w:pPr>
        <w:pStyle w:val="ListBullet"/>
      </w:pPr>
      <w:r>
        <w:t>The system creates a secure authenticated session.</w:t>
      </w:r>
    </w:p>
    <w:p>
      <w:pPr>
        <w:pStyle w:val="ListBullet"/>
      </w:pPr>
      <w:r>
        <w:t>The user is redirected to the default authorized landing page or Metrics page.</w:t>
      </w:r>
    </w:p>
    <w:p>
      <w:pPr>
        <w:pStyle w:val="Heading2"/>
      </w:pPr>
      <w:r>
        <w:t>US-LM-002 - Reject invalid login attempts</w:t>
      </w:r>
    </w:p>
    <w:p>
      <w:r>
        <w:t>As a user, I want clear feedback when my credentials are invalid so that I can correct the login information without gaining unauthorized access.</w:t>
      </w:r>
    </w:p>
    <w:p>
      <w:r>
        <w:rPr>
          <w:b/>
        </w:rPr>
        <w:t>Acceptance Criteria</w:t>
      </w:r>
    </w:p>
    <w:p>
      <w:pPr>
        <w:pStyle w:val="ListBullet"/>
      </w:pPr>
      <w:r>
        <w:t>When invalid credentials are submitted, access is denied.</w:t>
      </w:r>
    </w:p>
    <w:p>
      <w:pPr>
        <w:pStyle w:val="ListBullet"/>
      </w:pPr>
      <w:r>
        <w:t>A clear, non-sensitive error message is displayed.</w:t>
      </w:r>
    </w:p>
    <w:p>
      <w:pPr>
        <w:pStyle w:val="ListBullet"/>
      </w:pPr>
      <w:r>
        <w:t>No authenticated session is created and protected pages remain inaccessible.</w:t>
      </w:r>
    </w:p>
    <w:p>
      <w:pPr>
        <w:pStyle w:val="Heading2"/>
      </w:pPr>
      <w:r>
        <w:t>US-LM-003 - Access the Metrics dashboard</w:t>
      </w:r>
    </w:p>
    <w:p>
      <w:r>
        <w:t>As an authenticated user, I want to open the Metrics dashboard so that I can review business performance.</w:t>
      </w:r>
    </w:p>
    <w:p>
      <w:r>
        <w:rPr>
          <w:b/>
        </w:rPr>
        <w:t>Acceptance Criteria</w:t>
      </w:r>
    </w:p>
    <w:p>
      <w:pPr>
        <w:pStyle w:val="ListBullet"/>
      </w:pPr>
      <w:r>
        <w:t>The Metrics menu is visible only when the user is authorized.</w:t>
      </w:r>
    </w:p>
    <w:p>
      <w:pPr>
        <w:pStyle w:val="ListBullet"/>
      </w:pPr>
      <w:r>
        <w:t>When Metrics is selected, the dashboard loads without application errors.</w:t>
      </w:r>
    </w:p>
    <w:p>
      <w:pPr>
        <w:pStyle w:val="ListBullet"/>
      </w:pPr>
      <w:r>
        <w:t>Metric cards and available filters are displayed.</w:t>
      </w:r>
    </w:p>
    <w:p>
      <w:pPr>
        <w:pStyle w:val="Heading2"/>
      </w:pPr>
      <w:r>
        <w:t>US-LM-004 - Filter metrics by time period</w:t>
      </w:r>
    </w:p>
    <w:p>
      <w:r>
        <w:t>As an authenticated user, I want to filter metrics by year, month, or all time so that I can analyze performance for the required period.</w:t>
      </w:r>
    </w:p>
    <w:p>
      <w:r>
        <w:rPr>
          <w:b/>
        </w:rPr>
        <w:t>Acceptance Criteria</w:t>
      </w:r>
    </w:p>
    <w:p>
      <w:pPr>
        <w:pStyle w:val="ListBullet"/>
      </w:pPr>
      <w:r>
        <w:t>The user can select a valid year, month, or All Time option.</w:t>
      </w:r>
    </w:p>
    <w:p>
      <w:pPr>
        <w:pStyle w:val="ListBullet"/>
      </w:pPr>
      <w:r>
        <w:t>Metrics refresh using the selected period.</w:t>
      </w:r>
    </w:p>
    <w:p>
      <w:pPr>
        <w:pStyle w:val="ListBullet"/>
      </w:pPr>
      <w:r>
        <w:t>Future periods with no data show an appropriate zero/no-data state.</w:t>
      </w:r>
    </w:p>
    <w:p>
      <w:pPr>
        <w:pStyle w:val="Heading2"/>
      </w:pPr>
      <w:r>
        <w:t>US-LM-005 - Filter metrics by customer</w:t>
      </w:r>
    </w:p>
    <w:p>
      <w:r>
        <w:t>As a multi-customer user, I want to select one customer or all customers so that I can view customer-specific or aggregated metrics.</w:t>
      </w:r>
    </w:p>
    <w:p>
      <w:r>
        <w:rPr>
          <w:b/>
        </w:rPr>
        <w:t>Acceptance Criteria</w:t>
      </w:r>
    </w:p>
    <w:p>
      <w:pPr>
        <w:pStyle w:val="ListBullet"/>
      </w:pPr>
      <w:r>
        <w:t>Selecting a customer refreshes the metrics for that customer.</w:t>
      </w:r>
    </w:p>
    <w:p>
      <w:pPr>
        <w:pStyle w:val="ListBullet"/>
      </w:pPr>
      <w:r>
        <w:t>Selecting All Customers displays aggregated values within the user’s permissions.</w:t>
      </w:r>
    </w:p>
    <w:p>
      <w:pPr>
        <w:pStyle w:val="ListBullet"/>
      </w:pPr>
      <w:r>
        <w:t>Searching for a non-existent customer displays “No Results Found” or an equivalent empty state.</w:t>
      </w:r>
    </w:p>
    <w:p>
      <w:pPr>
        <w:pStyle w:val="Heading2"/>
      </w:pPr>
      <w:r>
        <w:t>US-LM-006 - View accurate metric cards</w:t>
      </w:r>
    </w:p>
    <w:p>
      <w:r>
        <w:t>As a business user, I want accurate metric values so that I can rely on the dashboard for decision-making.</w:t>
      </w:r>
    </w:p>
    <w:p>
      <w:r>
        <w:rPr>
          <w:b/>
        </w:rPr>
        <w:t>Acceptance Criteria</w:t>
      </w:r>
    </w:p>
    <w:p>
      <w:pPr>
        <w:pStyle w:val="ListBullet"/>
      </w:pPr>
      <w:r>
        <w:t>All-customer values are correctly aggregated.</w:t>
      </w:r>
    </w:p>
    <w:p>
      <w:pPr>
        <w:pStyle w:val="ListBullet"/>
      </w:pPr>
      <w:r>
        <w:t>Individual-customer values match the selected customer and date range.</w:t>
      </w:r>
    </w:p>
    <w:p>
      <w:pPr>
        <w:pStyle w:val="ListBullet"/>
      </w:pPr>
      <w:r>
        <w:t>No-data selections display zero values rather than stale values.</w:t>
      </w:r>
    </w:p>
    <w:p>
      <w:pPr>
        <w:pStyle w:val="Heading2"/>
      </w:pPr>
      <w:r>
        <w:t>US-LM-007 - View conversion metrics</w:t>
      </w:r>
    </w:p>
    <w:p>
      <w:r>
        <w:t>As a business user, I want conversion percentages calculated and formatted correctly so that I can understand lead-to-tour performance.</w:t>
      </w:r>
    </w:p>
    <w:p>
      <w:r>
        <w:rPr>
          <w:b/>
        </w:rPr>
        <w:t>Acceptance Criteria</w:t>
      </w:r>
    </w:p>
    <w:p>
      <w:pPr>
        <w:pStyle w:val="ListBullet"/>
      </w:pPr>
      <w:r>
        <w:t>Conversion uses the approved business formula.</w:t>
      </w:r>
    </w:p>
    <w:p>
      <w:pPr>
        <w:pStyle w:val="ListBullet"/>
      </w:pPr>
      <w:r>
        <w:t>A value such as 6 tours from 70 leads is displayed as 8.6%.</w:t>
      </w:r>
    </w:p>
    <w:p>
      <w:pPr>
        <w:pStyle w:val="ListBullet"/>
      </w:pPr>
      <w:r>
        <w:t>When the denominator is zero, the conversion is displayed as 0% and no calculation error appears.</w:t>
      </w:r>
    </w:p>
    <w:p>
      <w:pPr>
        <w:pStyle w:val="Heading2"/>
      </w:pPr>
      <w:r>
        <w:t>US-LM-008 - View out-of-hours metrics</w:t>
      </w:r>
    </w:p>
    <w:p>
      <w:r>
        <w:t>As a business user, I want leads and tours classified accurately as out of hours so that I can evaluate activity outside configured business hours.</w:t>
      </w:r>
    </w:p>
    <w:p>
      <w:r>
        <w:rPr>
          <w:b/>
        </w:rPr>
        <w:t>Acceptance Criteria</w:t>
      </w:r>
    </w:p>
    <w:p>
      <w:pPr>
        <w:pStyle w:val="ListBullet"/>
      </w:pPr>
      <w:r>
        <w:t>Classification uses the selected customer’s business-hours configuration.</w:t>
      </w:r>
    </w:p>
    <w:p>
      <w:pPr>
        <w:pStyle w:val="ListBullet"/>
      </w:pPr>
      <w:r>
        <w:t>Out-of-hours values are shown in the relevant metric cards.</w:t>
      </w:r>
    </w:p>
    <w:p>
      <w:pPr>
        <w:pStyle w:val="ListBullet"/>
      </w:pPr>
      <w:r>
        <w:t>Zero out-of-hours leads and tours produce a 0% conversion value.</w:t>
      </w:r>
    </w:p>
    <w:p>
      <w:pPr>
        <w:pStyle w:val="Heading2"/>
      </w:pPr>
      <w:r>
        <w:t>US-LM-009 - Maintain data consistency and formatting</w:t>
      </w:r>
    </w:p>
    <w:p>
      <w:r>
        <w:t>As a user, I want metrics to remain consistent across filters and properly formatted so that the dashboard is trustworthy and readable.</w:t>
      </w:r>
    </w:p>
    <w:p>
      <w:r>
        <w:rPr>
          <w:b/>
        </w:rPr>
        <w:t>Acceptance Criteria</w:t>
      </w:r>
    </w:p>
    <w:p>
      <w:pPr>
        <w:pStyle w:val="ListBullet"/>
      </w:pPr>
      <w:r>
        <w:t>UI values match the corresponding backend or insights values for the same range.</w:t>
      </w:r>
    </w:p>
    <w:p>
      <w:pPr>
        <w:pStyle w:val="ListBullet"/>
      </w:pPr>
      <w:r>
        <w:t>Changing filters does not mix data from different selections.</w:t>
      </w:r>
    </w:p>
    <w:p>
      <w:pPr>
        <w:pStyle w:val="ListBullet"/>
      </w:pPr>
      <w:r>
        <w:t>Numbers, percentages, and zero values use consistent formatting.</w:t>
      </w:r>
    </w:p>
    <w:p>
      <w:pPr>
        <w:pStyle w:val="Heading2"/>
      </w:pPr>
      <w:r>
        <w:t>US-LM-010 - Request a large-range report by email</w:t>
      </w:r>
    </w:p>
    <w:p>
      <w:r>
        <w:t>As an authenticated user, I want to request an emailed report for a large date range so that I can receive results that are not displayed immediately.</w:t>
      </w:r>
    </w:p>
    <w:p>
      <w:r>
        <w:rPr>
          <w:b/>
        </w:rPr>
        <w:t>Acceptance Criteria</w:t>
      </w:r>
    </w:p>
    <w:p>
      <w:pPr>
        <w:pStyle w:val="ListBullet"/>
      </w:pPr>
      <w:r>
        <w:t>A large range, such as more than one month, opens a confirmation dialog with a consent/information message.</w:t>
      </w:r>
    </w:p>
    <w:p>
      <w:pPr>
        <w:pStyle w:val="ListBullet"/>
      </w:pPr>
      <w:r>
        <w:t>Confirming queues the report and shows a success acknowledgement.</w:t>
      </w:r>
    </w:p>
    <w:p>
      <w:pPr>
        <w:pStyle w:val="ListBullet"/>
      </w:pPr>
      <w:r>
        <w:t>Cancelling closes the flow and does not generate a report.</w:t>
      </w:r>
    </w:p>
    <w:p>
      <w:pPr>
        <w:pStyle w:val="ListBullet"/>
      </w:pPr>
      <w:r>
        <w:t>A normal range displays directly without the large-range dialog.</w:t>
      </w:r>
    </w:p>
    <w:p>
      <w:pPr>
        <w:pStyle w:val="ListBullet"/>
      </w:pPr>
      <w:r>
        <w:t>A successfully generated report is delivered to the user’s registered email address.</w:t>
      </w:r>
    </w:p>
    <w:p>
      <w:pPr>
        <w:pStyle w:val="Heading1"/>
      </w:pPr>
      <w:r>
        <w:t>4. Software Requirements Specification</w:t>
      </w:r>
    </w:p>
    <w:p>
      <w:pPr>
        <w:pStyle w:val="Heading2"/>
      </w:pPr>
      <w:r>
        <w:t>4.1 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800"/>
            <w:shd w:fill="1F4E79"/>
            <w:vAlign w:val="center"/>
          </w:tcPr>
          <w:p>
            <w:r>
              <w:rPr>
                <w:b/>
                <w:color w:val="FFFFFF"/>
                <w:sz w:val="17"/>
              </w:rPr>
              <w:t>Requirement ID</w:t>
            </w:r>
          </w:p>
        </w:tc>
        <w:tc>
          <w:tcPr>
            <w:tcW w:type="dxa" w:w="8352"/>
            <w:shd w:fill="1F4E79"/>
            <w:vAlign w:val="center"/>
          </w:tcPr>
          <w:p>
            <w:r>
              <w:rPr>
                <w:b/>
                <w:color w:val="FFFFFF"/>
                <w:sz w:val="17"/>
              </w:rPr>
              <w:t>Requirement</w:t>
            </w:r>
          </w:p>
        </w:tc>
        <w:tc>
          <w:tcPr>
            <w:tcW w:type="dxa" w:w="1008"/>
            <w:shd w:fill="1F4E79"/>
            <w:vAlign w:val="center"/>
          </w:tcPr>
          <w:p>
            <w:r>
              <w:rPr>
                <w:b/>
                <w:color w:val="FFFFFF"/>
                <w:sz w:val="17"/>
              </w:rPr>
              <w:t>Priority</w:t>
            </w:r>
          </w:p>
        </w:tc>
      </w:tr>
      <w:tr>
        <w:tc>
          <w:tcPr>
            <w:tcW w:type="dxa" w:w="1800"/>
            <w:vAlign w:val="top"/>
          </w:tcPr>
          <w:p>
            <w:r>
              <w:rPr>
                <w:sz w:val="16"/>
              </w:rPr>
              <w:t>FR-AUTH-001</w:t>
            </w:r>
          </w:p>
        </w:tc>
        <w:tc>
          <w:tcPr>
            <w:tcW w:type="dxa" w:w="8352"/>
            <w:vAlign w:val="top"/>
          </w:tcPr>
          <w:p>
            <w:r>
              <w:rPr>
                <w:sz w:val="16"/>
              </w:rPr>
              <w:t>The system shall provide a login interface for authorized users.</w:t>
            </w:r>
          </w:p>
        </w:tc>
        <w:tc>
          <w:tcPr>
            <w:tcW w:type="dxa" w:w="1008"/>
            <w:vAlign w:val="top"/>
          </w:tcPr>
          <w:p>
            <w:r>
              <w:rPr>
                <w:sz w:val="16"/>
              </w:rPr>
              <w:t>Must</w:t>
            </w:r>
          </w:p>
        </w:tc>
      </w:tr>
      <w:tr>
        <w:tc>
          <w:tcPr>
            <w:tcW w:type="dxa" w:w="1800"/>
            <w:vAlign w:val="top"/>
          </w:tcPr>
          <w:p>
            <w:r>
              <w:rPr>
                <w:sz w:val="16"/>
              </w:rPr>
              <w:t>FR-AUTH-002</w:t>
            </w:r>
          </w:p>
        </w:tc>
        <w:tc>
          <w:tcPr>
            <w:tcW w:type="dxa" w:w="8352"/>
            <w:vAlign w:val="top"/>
          </w:tcPr>
          <w:p>
            <w:r>
              <w:rPr>
                <w:sz w:val="16"/>
              </w:rPr>
              <w:t>The system shall authenticate a user only when submitted credentials are valid.</w:t>
            </w:r>
          </w:p>
        </w:tc>
        <w:tc>
          <w:tcPr>
            <w:tcW w:type="dxa" w:w="1008"/>
            <w:vAlign w:val="top"/>
          </w:tcPr>
          <w:p>
            <w:r>
              <w:rPr>
                <w:sz w:val="16"/>
              </w:rPr>
              <w:t>Must</w:t>
            </w:r>
          </w:p>
        </w:tc>
      </w:tr>
      <w:tr>
        <w:tc>
          <w:tcPr>
            <w:tcW w:type="dxa" w:w="1800"/>
            <w:vAlign w:val="top"/>
          </w:tcPr>
          <w:p>
            <w:r>
              <w:rPr>
                <w:sz w:val="16"/>
              </w:rPr>
              <w:t>FR-AUTH-003</w:t>
            </w:r>
          </w:p>
        </w:tc>
        <w:tc>
          <w:tcPr>
            <w:tcW w:type="dxa" w:w="8352"/>
            <w:vAlign w:val="top"/>
          </w:tcPr>
          <w:p>
            <w:r>
              <w:rPr>
                <w:sz w:val="16"/>
              </w:rPr>
              <w:t>The system shall deny access and display a generic error message for invalid credentials.</w:t>
            </w:r>
          </w:p>
        </w:tc>
        <w:tc>
          <w:tcPr>
            <w:tcW w:type="dxa" w:w="1008"/>
            <w:vAlign w:val="top"/>
          </w:tcPr>
          <w:p>
            <w:r>
              <w:rPr>
                <w:sz w:val="16"/>
              </w:rPr>
              <w:t>Must</w:t>
            </w:r>
          </w:p>
        </w:tc>
      </w:tr>
      <w:tr>
        <w:tc>
          <w:tcPr>
            <w:tcW w:type="dxa" w:w="1800"/>
            <w:vAlign w:val="top"/>
          </w:tcPr>
          <w:p>
            <w:r>
              <w:rPr>
                <w:sz w:val="16"/>
              </w:rPr>
              <w:t>FR-AUTH-004</w:t>
            </w:r>
          </w:p>
        </w:tc>
        <w:tc>
          <w:tcPr>
            <w:tcW w:type="dxa" w:w="8352"/>
            <w:vAlign w:val="top"/>
          </w:tcPr>
          <w:p>
            <w:r>
              <w:rPr>
                <w:sz w:val="16"/>
              </w:rPr>
              <w:t>The system shall create and maintain a secure authenticated session after successful login.</w:t>
            </w:r>
          </w:p>
        </w:tc>
        <w:tc>
          <w:tcPr>
            <w:tcW w:type="dxa" w:w="1008"/>
            <w:vAlign w:val="top"/>
          </w:tcPr>
          <w:p>
            <w:r>
              <w:rPr>
                <w:sz w:val="16"/>
              </w:rPr>
              <w:t>Must</w:t>
            </w:r>
          </w:p>
        </w:tc>
      </w:tr>
      <w:tr>
        <w:tc>
          <w:tcPr>
            <w:tcW w:type="dxa" w:w="1800"/>
            <w:vAlign w:val="top"/>
          </w:tcPr>
          <w:p>
            <w:r>
              <w:rPr>
                <w:sz w:val="16"/>
              </w:rPr>
              <w:t>FR-AUTH-005</w:t>
            </w:r>
          </w:p>
        </w:tc>
        <w:tc>
          <w:tcPr>
            <w:tcW w:type="dxa" w:w="8352"/>
            <w:vAlign w:val="top"/>
          </w:tcPr>
          <w:p>
            <w:r>
              <w:rPr>
                <w:sz w:val="16"/>
              </w:rPr>
              <w:t>The system shall prevent unauthenticated access to the Metrics dashboard and its APIs.</w:t>
            </w:r>
          </w:p>
        </w:tc>
        <w:tc>
          <w:tcPr>
            <w:tcW w:type="dxa" w:w="1008"/>
            <w:vAlign w:val="top"/>
          </w:tcPr>
          <w:p>
            <w:r>
              <w:rPr>
                <w:sz w:val="16"/>
              </w:rPr>
              <w:t>Must</w:t>
            </w:r>
          </w:p>
        </w:tc>
      </w:tr>
      <w:tr>
        <w:tc>
          <w:tcPr>
            <w:tcW w:type="dxa" w:w="1800"/>
            <w:vAlign w:val="top"/>
          </w:tcPr>
          <w:p>
            <w:r>
              <w:rPr>
                <w:sz w:val="16"/>
              </w:rPr>
              <w:t>FR-MET-001</w:t>
            </w:r>
          </w:p>
        </w:tc>
        <w:tc>
          <w:tcPr>
            <w:tcW w:type="dxa" w:w="8352"/>
            <w:vAlign w:val="top"/>
          </w:tcPr>
          <w:p>
            <w:r>
              <w:rPr>
                <w:sz w:val="16"/>
              </w:rPr>
              <w:t>The system shall load the Metrics dashboard without errors for an authenticated and authorized user.</w:t>
            </w:r>
          </w:p>
        </w:tc>
        <w:tc>
          <w:tcPr>
            <w:tcW w:type="dxa" w:w="1008"/>
            <w:vAlign w:val="top"/>
          </w:tcPr>
          <w:p>
            <w:r>
              <w:rPr>
                <w:sz w:val="16"/>
              </w:rPr>
              <w:t>Must</w:t>
            </w:r>
          </w:p>
        </w:tc>
      </w:tr>
      <w:tr>
        <w:tc>
          <w:tcPr>
            <w:tcW w:type="dxa" w:w="1800"/>
            <w:vAlign w:val="top"/>
          </w:tcPr>
          <w:p>
            <w:r>
              <w:rPr>
                <w:sz w:val="16"/>
              </w:rPr>
              <w:t>FR-MET-002</w:t>
            </w:r>
          </w:p>
        </w:tc>
        <w:tc>
          <w:tcPr>
            <w:tcW w:type="dxa" w:w="8352"/>
            <w:vAlign w:val="top"/>
          </w:tcPr>
          <w:p>
            <w:r>
              <w:rPr>
                <w:sz w:val="16"/>
              </w:rPr>
              <w:t>The system shall provide Year, Month, and All Time filters.</w:t>
            </w:r>
          </w:p>
        </w:tc>
        <w:tc>
          <w:tcPr>
            <w:tcW w:type="dxa" w:w="1008"/>
            <w:vAlign w:val="top"/>
          </w:tcPr>
          <w:p>
            <w:r>
              <w:rPr>
                <w:sz w:val="16"/>
              </w:rPr>
              <w:t>Must</w:t>
            </w:r>
          </w:p>
        </w:tc>
      </w:tr>
      <w:tr>
        <w:tc>
          <w:tcPr>
            <w:tcW w:type="dxa" w:w="1800"/>
            <w:vAlign w:val="top"/>
          </w:tcPr>
          <w:p>
            <w:r>
              <w:rPr>
                <w:sz w:val="16"/>
              </w:rPr>
              <w:t>FR-MET-003</w:t>
            </w:r>
          </w:p>
        </w:tc>
        <w:tc>
          <w:tcPr>
            <w:tcW w:type="dxa" w:w="8352"/>
            <w:vAlign w:val="top"/>
          </w:tcPr>
          <w:p>
            <w:r>
              <w:rPr>
                <w:sz w:val="16"/>
              </w:rPr>
              <w:t>The system shall refresh displayed metrics after a time filter is changed.</w:t>
            </w:r>
          </w:p>
        </w:tc>
        <w:tc>
          <w:tcPr>
            <w:tcW w:type="dxa" w:w="1008"/>
            <w:vAlign w:val="top"/>
          </w:tcPr>
          <w:p>
            <w:r>
              <w:rPr>
                <w:sz w:val="16"/>
              </w:rPr>
              <w:t>Must</w:t>
            </w:r>
          </w:p>
        </w:tc>
      </w:tr>
      <w:tr>
        <w:tc>
          <w:tcPr>
            <w:tcW w:type="dxa" w:w="1800"/>
            <w:vAlign w:val="top"/>
          </w:tcPr>
          <w:p>
            <w:r>
              <w:rPr>
                <w:sz w:val="16"/>
              </w:rPr>
              <w:t>FR-MET-004</w:t>
            </w:r>
          </w:p>
        </w:tc>
        <w:tc>
          <w:tcPr>
            <w:tcW w:type="dxa" w:w="8352"/>
            <w:vAlign w:val="top"/>
          </w:tcPr>
          <w:p>
            <w:r>
              <w:rPr>
                <w:sz w:val="16"/>
              </w:rPr>
              <w:t>The system shall display a no-data or zero state for future periods with no records.</w:t>
            </w:r>
          </w:p>
        </w:tc>
        <w:tc>
          <w:tcPr>
            <w:tcW w:type="dxa" w:w="1008"/>
            <w:vAlign w:val="top"/>
          </w:tcPr>
          <w:p>
            <w:r>
              <w:rPr>
                <w:sz w:val="16"/>
              </w:rPr>
              <w:t>Must</w:t>
            </w:r>
          </w:p>
        </w:tc>
      </w:tr>
      <w:tr>
        <w:tc>
          <w:tcPr>
            <w:tcW w:type="dxa" w:w="1800"/>
            <w:vAlign w:val="top"/>
          </w:tcPr>
          <w:p>
            <w:r>
              <w:rPr>
                <w:sz w:val="16"/>
              </w:rPr>
              <w:t>FR-MET-005</w:t>
            </w:r>
          </w:p>
        </w:tc>
        <w:tc>
          <w:tcPr>
            <w:tcW w:type="dxa" w:w="8352"/>
            <w:vAlign w:val="top"/>
          </w:tcPr>
          <w:p>
            <w:r>
              <w:rPr>
                <w:sz w:val="16"/>
              </w:rPr>
              <w:t>The system shall provide a searchable customer selector to authorized multi-customer users.</w:t>
            </w:r>
          </w:p>
        </w:tc>
        <w:tc>
          <w:tcPr>
            <w:tcW w:type="dxa" w:w="1008"/>
            <w:vAlign w:val="top"/>
          </w:tcPr>
          <w:p>
            <w:r>
              <w:rPr>
                <w:sz w:val="16"/>
              </w:rPr>
              <w:t>Must</w:t>
            </w:r>
          </w:p>
        </w:tc>
      </w:tr>
      <w:tr>
        <w:tc>
          <w:tcPr>
            <w:tcW w:type="dxa" w:w="1800"/>
            <w:vAlign w:val="top"/>
          </w:tcPr>
          <w:p>
            <w:r>
              <w:rPr>
                <w:sz w:val="16"/>
              </w:rPr>
              <w:t>FR-MET-006</w:t>
            </w:r>
          </w:p>
        </w:tc>
        <w:tc>
          <w:tcPr>
            <w:tcW w:type="dxa" w:w="8352"/>
            <w:vAlign w:val="top"/>
          </w:tcPr>
          <w:p>
            <w:r>
              <w:rPr>
                <w:sz w:val="16"/>
              </w:rPr>
              <w:t>The system shall display customer-specific metrics when one customer is selected.</w:t>
            </w:r>
          </w:p>
        </w:tc>
        <w:tc>
          <w:tcPr>
            <w:tcW w:type="dxa" w:w="1008"/>
            <w:vAlign w:val="top"/>
          </w:tcPr>
          <w:p>
            <w:r>
              <w:rPr>
                <w:sz w:val="16"/>
              </w:rPr>
              <w:t>Must</w:t>
            </w:r>
          </w:p>
        </w:tc>
      </w:tr>
      <w:tr>
        <w:tc>
          <w:tcPr>
            <w:tcW w:type="dxa" w:w="1800"/>
            <w:vAlign w:val="top"/>
          </w:tcPr>
          <w:p>
            <w:r>
              <w:rPr>
                <w:sz w:val="16"/>
              </w:rPr>
              <w:t>FR-MET-007</w:t>
            </w:r>
          </w:p>
        </w:tc>
        <w:tc>
          <w:tcPr>
            <w:tcW w:type="dxa" w:w="8352"/>
            <w:vAlign w:val="top"/>
          </w:tcPr>
          <w:p>
            <w:r>
              <w:rPr>
                <w:sz w:val="16"/>
              </w:rPr>
              <w:t>The system shall display authorized aggregated metrics when All Customers is selected.</w:t>
            </w:r>
          </w:p>
        </w:tc>
        <w:tc>
          <w:tcPr>
            <w:tcW w:type="dxa" w:w="1008"/>
            <w:vAlign w:val="top"/>
          </w:tcPr>
          <w:p>
            <w:r>
              <w:rPr>
                <w:sz w:val="16"/>
              </w:rPr>
              <w:t>Must</w:t>
            </w:r>
          </w:p>
        </w:tc>
      </w:tr>
      <w:tr>
        <w:tc>
          <w:tcPr>
            <w:tcW w:type="dxa" w:w="1800"/>
            <w:vAlign w:val="top"/>
          </w:tcPr>
          <w:p>
            <w:r>
              <w:rPr>
                <w:sz w:val="16"/>
              </w:rPr>
              <w:t>FR-MET-008</w:t>
            </w:r>
          </w:p>
        </w:tc>
        <w:tc>
          <w:tcPr>
            <w:tcW w:type="dxa" w:w="8352"/>
            <w:vAlign w:val="top"/>
          </w:tcPr>
          <w:p>
            <w:r>
              <w:rPr>
                <w:sz w:val="16"/>
              </w:rPr>
              <w:t>The system shall display an empty search state when no customer matches the entered search text.</w:t>
            </w:r>
          </w:p>
        </w:tc>
        <w:tc>
          <w:tcPr>
            <w:tcW w:type="dxa" w:w="1008"/>
            <w:vAlign w:val="top"/>
          </w:tcPr>
          <w:p>
            <w:r>
              <w:rPr>
                <w:sz w:val="16"/>
              </w:rPr>
              <w:t>Should</w:t>
            </w:r>
          </w:p>
        </w:tc>
      </w:tr>
      <w:tr>
        <w:tc>
          <w:tcPr>
            <w:tcW w:type="dxa" w:w="1800"/>
            <w:vAlign w:val="top"/>
          </w:tcPr>
          <w:p>
            <w:r>
              <w:rPr>
                <w:sz w:val="16"/>
              </w:rPr>
              <w:t>FR-MET-009</w:t>
            </w:r>
          </w:p>
        </w:tc>
        <w:tc>
          <w:tcPr>
            <w:tcW w:type="dxa" w:w="8352"/>
            <w:vAlign w:val="top"/>
          </w:tcPr>
          <w:p>
            <w:r>
              <w:rPr>
                <w:sz w:val="16"/>
              </w:rPr>
              <w:t>The system shall display accurate metric-card values for the selected customer and period.</w:t>
            </w:r>
          </w:p>
        </w:tc>
        <w:tc>
          <w:tcPr>
            <w:tcW w:type="dxa" w:w="1008"/>
            <w:vAlign w:val="top"/>
          </w:tcPr>
          <w:p>
            <w:r>
              <w:rPr>
                <w:sz w:val="16"/>
              </w:rPr>
              <w:t>Must</w:t>
            </w:r>
          </w:p>
        </w:tc>
      </w:tr>
      <w:tr>
        <w:tc>
          <w:tcPr>
            <w:tcW w:type="dxa" w:w="1800"/>
            <w:vAlign w:val="top"/>
          </w:tcPr>
          <w:p>
            <w:r>
              <w:rPr>
                <w:sz w:val="16"/>
              </w:rPr>
              <w:t>FR-MET-010</w:t>
            </w:r>
          </w:p>
        </w:tc>
        <w:tc>
          <w:tcPr>
            <w:tcW w:type="dxa" w:w="8352"/>
            <w:vAlign w:val="top"/>
          </w:tcPr>
          <w:p>
            <w:r>
              <w:rPr>
                <w:sz w:val="16"/>
              </w:rPr>
              <w:t>The system shall replace prior values with zeros or no-data indicators when the selection contains no data.</w:t>
            </w:r>
          </w:p>
        </w:tc>
        <w:tc>
          <w:tcPr>
            <w:tcW w:type="dxa" w:w="1008"/>
            <w:vAlign w:val="top"/>
          </w:tcPr>
          <w:p>
            <w:r>
              <w:rPr>
                <w:sz w:val="16"/>
              </w:rPr>
              <w:t>Must</w:t>
            </w:r>
          </w:p>
        </w:tc>
      </w:tr>
      <w:tr>
        <w:tc>
          <w:tcPr>
            <w:tcW w:type="dxa" w:w="1800"/>
            <w:vAlign w:val="top"/>
          </w:tcPr>
          <w:p>
            <w:r>
              <w:rPr>
                <w:sz w:val="16"/>
              </w:rPr>
              <w:t>FR-MET-011</w:t>
            </w:r>
          </w:p>
        </w:tc>
        <w:tc>
          <w:tcPr>
            <w:tcW w:type="dxa" w:w="8352"/>
            <w:vAlign w:val="top"/>
          </w:tcPr>
          <w:p>
            <w:r>
              <w:rPr>
                <w:sz w:val="16"/>
              </w:rPr>
              <w:t>The system shall calculate conversion percentage using the approved leads-to-tours formula and round it to one decimal place where applicable.</w:t>
            </w:r>
          </w:p>
        </w:tc>
        <w:tc>
          <w:tcPr>
            <w:tcW w:type="dxa" w:w="1008"/>
            <w:vAlign w:val="top"/>
          </w:tcPr>
          <w:p>
            <w:r>
              <w:rPr>
                <w:sz w:val="16"/>
              </w:rPr>
              <w:t>Must</w:t>
            </w:r>
          </w:p>
        </w:tc>
      </w:tr>
      <w:tr>
        <w:tc>
          <w:tcPr>
            <w:tcW w:type="dxa" w:w="1800"/>
            <w:vAlign w:val="top"/>
          </w:tcPr>
          <w:p>
            <w:r>
              <w:rPr>
                <w:sz w:val="16"/>
              </w:rPr>
              <w:t>FR-MET-012</w:t>
            </w:r>
          </w:p>
        </w:tc>
        <w:tc>
          <w:tcPr>
            <w:tcW w:type="dxa" w:w="8352"/>
            <w:vAlign w:val="top"/>
          </w:tcPr>
          <w:p>
            <w:r>
              <w:rPr>
                <w:sz w:val="16"/>
              </w:rPr>
              <w:t>The system shall display 0% when a conversion denominator is zero.</w:t>
            </w:r>
          </w:p>
        </w:tc>
        <w:tc>
          <w:tcPr>
            <w:tcW w:type="dxa" w:w="1008"/>
            <w:vAlign w:val="top"/>
          </w:tcPr>
          <w:p>
            <w:r>
              <w:rPr>
                <w:sz w:val="16"/>
              </w:rPr>
              <w:t>Must</w:t>
            </w:r>
          </w:p>
        </w:tc>
      </w:tr>
      <w:tr>
        <w:tc>
          <w:tcPr>
            <w:tcW w:type="dxa" w:w="1800"/>
            <w:vAlign w:val="top"/>
          </w:tcPr>
          <w:p>
            <w:r>
              <w:rPr>
                <w:sz w:val="16"/>
              </w:rPr>
              <w:t>FR-MET-013</w:t>
            </w:r>
          </w:p>
        </w:tc>
        <w:tc>
          <w:tcPr>
            <w:tcW w:type="dxa" w:w="8352"/>
            <w:vAlign w:val="top"/>
          </w:tcPr>
          <w:p>
            <w:r>
              <w:rPr>
                <w:sz w:val="16"/>
              </w:rPr>
              <w:t>The system shall classify out-of-hours records using the selected customer’s configured business hours.</w:t>
            </w:r>
          </w:p>
        </w:tc>
        <w:tc>
          <w:tcPr>
            <w:tcW w:type="dxa" w:w="1008"/>
            <w:vAlign w:val="top"/>
          </w:tcPr>
          <w:p>
            <w:r>
              <w:rPr>
                <w:sz w:val="16"/>
              </w:rPr>
              <w:t>Must</w:t>
            </w:r>
          </w:p>
        </w:tc>
      </w:tr>
      <w:tr>
        <w:tc>
          <w:tcPr>
            <w:tcW w:type="dxa" w:w="1800"/>
            <w:vAlign w:val="top"/>
          </w:tcPr>
          <w:p>
            <w:r>
              <w:rPr>
                <w:sz w:val="16"/>
              </w:rPr>
              <w:t>FR-MET-014</w:t>
            </w:r>
          </w:p>
        </w:tc>
        <w:tc>
          <w:tcPr>
            <w:tcW w:type="dxa" w:w="8352"/>
            <w:vAlign w:val="top"/>
          </w:tcPr>
          <w:p>
            <w:r>
              <w:rPr>
                <w:sz w:val="16"/>
              </w:rPr>
              <w:t>The system shall keep metric values consistent with backend/insights values for the same filters.</w:t>
            </w:r>
          </w:p>
        </w:tc>
        <w:tc>
          <w:tcPr>
            <w:tcW w:type="dxa" w:w="1008"/>
            <w:vAlign w:val="top"/>
          </w:tcPr>
          <w:p>
            <w:r>
              <w:rPr>
                <w:sz w:val="16"/>
              </w:rPr>
              <w:t>Must</w:t>
            </w:r>
          </w:p>
        </w:tc>
      </w:tr>
      <w:tr>
        <w:tc>
          <w:tcPr>
            <w:tcW w:type="dxa" w:w="1800"/>
            <w:vAlign w:val="top"/>
          </w:tcPr>
          <w:p>
            <w:r>
              <w:rPr>
                <w:sz w:val="16"/>
              </w:rPr>
              <w:t>FR-MET-015</w:t>
            </w:r>
          </w:p>
        </w:tc>
        <w:tc>
          <w:tcPr>
            <w:tcW w:type="dxa" w:w="8352"/>
            <w:vAlign w:val="top"/>
          </w:tcPr>
          <w:p>
            <w:r>
              <w:rPr>
                <w:sz w:val="16"/>
              </w:rPr>
              <w:t>The system shall format numbers and percentages consistently across the dashboard.</w:t>
            </w:r>
          </w:p>
        </w:tc>
        <w:tc>
          <w:tcPr>
            <w:tcW w:type="dxa" w:w="1008"/>
            <w:vAlign w:val="top"/>
          </w:tcPr>
          <w:p>
            <w:r>
              <w:rPr>
                <w:sz w:val="16"/>
              </w:rPr>
              <w:t>Should</w:t>
            </w:r>
          </w:p>
        </w:tc>
      </w:tr>
      <w:tr>
        <w:tc>
          <w:tcPr>
            <w:tcW w:type="dxa" w:w="1800"/>
            <w:vAlign w:val="top"/>
          </w:tcPr>
          <w:p>
            <w:r>
              <w:rPr>
                <w:sz w:val="16"/>
              </w:rPr>
              <w:t>FR-MET-016</w:t>
            </w:r>
          </w:p>
        </w:tc>
        <w:tc>
          <w:tcPr>
            <w:tcW w:type="dxa" w:w="8352"/>
            <w:vAlign w:val="top"/>
          </w:tcPr>
          <w:p>
            <w:r>
              <w:rPr>
                <w:sz w:val="16"/>
              </w:rPr>
              <w:t>The system shall display a confirmation dialog when the selected report range exceeds the configured direct-display threshold.</w:t>
            </w:r>
          </w:p>
        </w:tc>
        <w:tc>
          <w:tcPr>
            <w:tcW w:type="dxa" w:w="1008"/>
            <w:vAlign w:val="top"/>
          </w:tcPr>
          <w:p>
            <w:r>
              <w:rPr>
                <w:sz w:val="16"/>
              </w:rPr>
              <w:t>Must</w:t>
            </w:r>
          </w:p>
        </w:tc>
      </w:tr>
      <w:tr>
        <w:tc>
          <w:tcPr>
            <w:tcW w:type="dxa" w:w="1800"/>
            <w:vAlign w:val="top"/>
          </w:tcPr>
          <w:p>
            <w:r>
              <w:rPr>
                <w:sz w:val="16"/>
              </w:rPr>
              <w:t>FR-MET-017</w:t>
            </w:r>
          </w:p>
        </w:tc>
        <w:tc>
          <w:tcPr>
            <w:tcW w:type="dxa" w:w="8352"/>
            <w:vAlign w:val="top"/>
          </w:tcPr>
          <w:p>
            <w:r>
              <w:rPr>
                <w:sz w:val="16"/>
              </w:rPr>
              <w:t>The large-range dialog shall explain that the report will be generated and delivered by email.</w:t>
            </w:r>
          </w:p>
        </w:tc>
        <w:tc>
          <w:tcPr>
            <w:tcW w:type="dxa" w:w="1008"/>
            <w:vAlign w:val="top"/>
          </w:tcPr>
          <w:p>
            <w:r>
              <w:rPr>
                <w:sz w:val="16"/>
              </w:rPr>
              <w:t>Must</w:t>
            </w:r>
          </w:p>
        </w:tc>
      </w:tr>
      <w:tr>
        <w:tc>
          <w:tcPr>
            <w:tcW w:type="dxa" w:w="1800"/>
            <w:vAlign w:val="top"/>
          </w:tcPr>
          <w:p>
            <w:r>
              <w:rPr>
                <w:sz w:val="16"/>
              </w:rPr>
              <w:t>FR-MET-018</w:t>
            </w:r>
          </w:p>
        </w:tc>
        <w:tc>
          <w:tcPr>
            <w:tcW w:type="dxa" w:w="8352"/>
            <w:vAlign w:val="top"/>
          </w:tcPr>
          <w:p>
            <w:r>
              <w:rPr>
                <w:sz w:val="16"/>
              </w:rPr>
              <w:t>The system shall queue report generation only after the user confirms the request.</w:t>
            </w:r>
          </w:p>
        </w:tc>
        <w:tc>
          <w:tcPr>
            <w:tcW w:type="dxa" w:w="1008"/>
            <w:vAlign w:val="top"/>
          </w:tcPr>
          <w:p>
            <w:r>
              <w:rPr>
                <w:sz w:val="16"/>
              </w:rPr>
              <w:t>Must</w:t>
            </w:r>
          </w:p>
        </w:tc>
      </w:tr>
      <w:tr>
        <w:tc>
          <w:tcPr>
            <w:tcW w:type="dxa" w:w="1800"/>
            <w:vAlign w:val="top"/>
          </w:tcPr>
          <w:p>
            <w:r>
              <w:rPr>
                <w:sz w:val="16"/>
              </w:rPr>
              <w:t>FR-MET-019</w:t>
            </w:r>
          </w:p>
        </w:tc>
        <w:tc>
          <w:tcPr>
            <w:tcW w:type="dxa" w:w="8352"/>
            <w:vAlign w:val="top"/>
          </w:tcPr>
          <w:p>
            <w:r>
              <w:rPr>
                <w:sz w:val="16"/>
              </w:rPr>
              <w:t>The system shall not queue a report when the user cancels the large-range dialog.</w:t>
            </w:r>
          </w:p>
        </w:tc>
        <w:tc>
          <w:tcPr>
            <w:tcW w:type="dxa" w:w="1008"/>
            <w:vAlign w:val="top"/>
          </w:tcPr>
          <w:p>
            <w:r>
              <w:rPr>
                <w:sz w:val="16"/>
              </w:rPr>
              <w:t>Must</w:t>
            </w:r>
          </w:p>
        </w:tc>
      </w:tr>
      <w:tr>
        <w:tc>
          <w:tcPr>
            <w:tcW w:type="dxa" w:w="1800"/>
            <w:vAlign w:val="top"/>
          </w:tcPr>
          <w:p>
            <w:r>
              <w:rPr>
                <w:sz w:val="16"/>
              </w:rPr>
              <w:t>FR-MET-020</w:t>
            </w:r>
          </w:p>
        </w:tc>
        <w:tc>
          <w:tcPr>
            <w:tcW w:type="dxa" w:w="8352"/>
            <w:vAlign w:val="top"/>
          </w:tcPr>
          <w:p>
            <w:r>
              <w:rPr>
                <w:sz w:val="16"/>
              </w:rPr>
              <w:t>The system shall display a normal supported range directly without opening the large-range dialog.</w:t>
            </w:r>
          </w:p>
        </w:tc>
        <w:tc>
          <w:tcPr>
            <w:tcW w:type="dxa" w:w="1008"/>
            <w:vAlign w:val="top"/>
          </w:tcPr>
          <w:p>
            <w:r>
              <w:rPr>
                <w:sz w:val="16"/>
              </w:rPr>
              <w:t>Must</w:t>
            </w:r>
          </w:p>
        </w:tc>
      </w:tr>
      <w:tr>
        <w:tc>
          <w:tcPr>
            <w:tcW w:type="dxa" w:w="1800"/>
            <w:vAlign w:val="top"/>
          </w:tcPr>
          <w:p>
            <w:r>
              <w:rPr>
                <w:sz w:val="16"/>
              </w:rPr>
              <w:t>FR-MET-021</w:t>
            </w:r>
          </w:p>
        </w:tc>
        <w:tc>
          <w:tcPr>
            <w:tcW w:type="dxa" w:w="8352"/>
            <w:vAlign w:val="top"/>
          </w:tcPr>
          <w:p>
            <w:r>
              <w:rPr>
                <w:sz w:val="16"/>
              </w:rPr>
              <w:t>The system shall send the completed report to the authenticated user’s registered email address.</w:t>
            </w:r>
          </w:p>
        </w:tc>
        <w:tc>
          <w:tcPr>
            <w:tcW w:type="dxa" w:w="1008"/>
            <w:vAlign w:val="top"/>
          </w:tcPr>
          <w:p>
            <w:r>
              <w:rPr>
                <w:sz w:val="16"/>
              </w:rPr>
              <w:t>Must</w:t>
            </w:r>
          </w:p>
        </w:tc>
      </w:tr>
      <w:tr>
        <w:tc>
          <w:tcPr>
            <w:tcW w:type="dxa" w:w="1800"/>
            <w:vAlign w:val="top"/>
          </w:tcPr>
          <w:p>
            <w:r>
              <w:rPr>
                <w:sz w:val="16"/>
              </w:rPr>
              <w:t>FR-MET-022</w:t>
            </w:r>
          </w:p>
        </w:tc>
        <w:tc>
          <w:tcPr>
            <w:tcW w:type="dxa" w:w="8352"/>
            <w:vAlign w:val="top"/>
          </w:tcPr>
          <w:p>
            <w:r>
              <w:rPr>
                <w:sz w:val="16"/>
              </w:rPr>
              <w:t>The system shall display a success or queued acknowledgement after a report request is accepted.</w:t>
            </w:r>
          </w:p>
        </w:tc>
        <w:tc>
          <w:tcPr>
            <w:tcW w:type="dxa" w:w="1008"/>
            <w:vAlign w:val="top"/>
          </w:tcPr>
          <w:p>
            <w:r>
              <w:rPr>
                <w:sz w:val="16"/>
              </w:rPr>
              <w:t>Should</w:t>
            </w:r>
          </w:p>
        </w:tc>
      </w:tr>
    </w:tbl>
    <w:p/>
    <w:p>
      <w:pPr>
        <w:pStyle w:val="Heading2"/>
      </w:pPr>
      <w:r>
        <w:t>4.2 Business Rules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728"/>
            <w:shd w:fill="1F4E79"/>
            <w:vAlign w:val="center"/>
          </w:tcPr>
          <w:p>
            <w:r>
              <w:rPr>
                <w:b/>
                <w:color w:val="FFFFFF"/>
                <w:sz w:val="17"/>
              </w:rPr>
              <w:t>Rule ID</w:t>
            </w:r>
          </w:p>
        </w:tc>
        <w:tc>
          <w:tcPr>
            <w:tcW w:type="dxa" w:w="9360"/>
            <w:shd w:fill="1F4E79"/>
            <w:vAlign w:val="center"/>
          </w:tcPr>
          <w:p>
            <w:r>
              <w:rPr>
                <w:b/>
                <w:color w:val="FFFFFF"/>
                <w:sz w:val="17"/>
              </w:rPr>
              <w:t>Business Rule</w:t>
            </w:r>
          </w:p>
        </w:tc>
      </w:tr>
      <w:tr>
        <w:tc>
          <w:tcPr>
            <w:tcW w:type="dxa" w:w="1728"/>
            <w:vAlign w:val="top"/>
          </w:tcPr>
          <w:p>
            <w:r>
              <w:rPr>
                <w:sz w:val="16"/>
              </w:rPr>
              <w:t>BR-001</w:t>
            </w:r>
          </w:p>
        </w:tc>
        <w:tc>
          <w:tcPr>
            <w:tcW w:type="dxa" w:w="9360"/>
            <w:vAlign w:val="top"/>
          </w:tcPr>
          <w:p>
            <w:r>
              <w:rPr>
                <w:sz w:val="16"/>
              </w:rPr>
              <w:t>Only authenticated users may access Metrics.</w:t>
            </w:r>
          </w:p>
        </w:tc>
      </w:tr>
      <w:tr>
        <w:tc>
          <w:tcPr>
            <w:tcW w:type="dxa" w:w="1728"/>
            <w:vAlign w:val="top"/>
          </w:tcPr>
          <w:p>
            <w:r>
              <w:rPr>
                <w:sz w:val="16"/>
              </w:rPr>
              <w:t>BR-002</w:t>
            </w:r>
          </w:p>
        </w:tc>
        <w:tc>
          <w:tcPr>
            <w:tcW w:type="dxa" w:w="9360"/>
            <w:vAlign w:val="top"/>
          </w:tcPr>
          <w:p>
            <w:r>
              <w:rPr>
                <w:sz w:val="16"/>
              </w:rPr>
              <w:t>Users may view only customers and data allowed by their assigned permissions.</w:t>
            </w:r>
          </w:p>
        </w:tc>
      </w:tr>
      <w:tr>
        <w:tc>
          <w:tcPr>
            <w:tcW w:type="dxa" w:w="1728"/>
            <w:vAlign w:val="top"/>
          </w:tcPr>
          <w:p>
            <w:r>
              <w:rPr>
                <w:sz w:val="16"/>
              </w:rPr>
              <w:t>BR-003</w:t>
            </w:r>
          </w:p>
        </w:tc>
        <w:tc>
          <w:tcPr>
            <w:tcW w:type="dxa" w:w="9360"/>
            <w:vAlign w:val="top"/>
          </w:tcPr>
          <w:p>
            <w:r>
              <w:rPr>
                <w:sz w:val="16"/>
              </w:rPr>
              <w:t>All Customers aggregation shall include only customers visible to the current user.</w:t>
            </w:r>
          </w:p>
        </w:tc>
      </w:tr>
      <w:tr>
        <w:tc>
          <w:tcPr>
            <w:tcW w:type="dxa" w:w="1728"/>
            <w:vAlign w:val="top"/>
          </w:tcPr>
          <w:p>
            <w:r>
              <w:rPr>
                <w:sz w:val="16"/>
              </w:rPr>
              <w:t>BR-004</w:t>
            </w:r>
          </w:p>
        </w:tc>
        <w:tc>
          <w:tcPr>
            <w:tcW w:type="dxa" w:w="9360"/>
            <w:vAlign w:val="top"/>
          </w:tcPr>
          <w:p>
            <w:r>
              <w:rPr>
                <w:sz w:val="16"/>
              </w:rPr>
              <w:t>Conversion percentage = tours / leads × 100, unless an approved product formula specifies otherwise.</w:t>
            </w:r>
          </w:p>
        </w:tc>
      </w:tr>
      <w:tr>
        <w:tc>
          <w:tcPr>
            <w:tcW w:type="dxa" w:w="1728"/>
            <w:vAlign w:val="top"/>
          </w:tcPr>
          <w:p>
            <w:r>
              <w:rPr>
                <w:sz w:val="16"/>
              </w:rPr>
              <w:t>BR-005</w:t>
            </w:r>
          </w:p>
        </w:tc>
        <w:tc>
          <w:tcPr>
            <w:tcW w:type="dxa" w:w="9360"/>
            <w:vAlign w:val="top"/>
          </w:tcPr>
          <w:p>
            <w:r>
              <w:rPr>
                <w:sz w:val="16"/>
              </w:rPr>
              <w:t>A zero denominator shall return 0%, not an error, infinity, or blank value.</w:t>
            </w:r>
          </w:p>
        </w:tc>
      </w:tr>
      <w:tr>
        <w:tc>
          <w:tcPr>
            <w:tcW w:type="dxa" w:w="1728"/>
            <w:vAlign w:val="top"/>
          </w:tcPr>
          <w:p>
            <w:r>
              <w:rPr>
                <w:sz w:val="16"/>
              </w:rPr>
              <w:t>BR-006</w:t>
            </w:r>
          </w:p>
        </w:tc>
        <w:tc>
          <w:tcPr>
            <w:tcW w:type="dxa" w:w="9360"/>
            <w:vAlign w:val="top"/>
          </w:tcPr>
          <w:p>
            <w:r>
              <w:rPr>
                <w:sz w:val="16"/>
              </w:rPr>
              <w:t>Out-of-hours classification shall use customer-specific configured operating hours and applicable timezone.</w:t>
            </w:r>
          </w:p>
        </w:tc>
      </w:tr>
      <w:tr>
        <w:tc>
          <w:tcPr>
            <w:tcW w:type="dxa" w:w="1728"/>
            <w:vAlign w:val="top"/>
          </w:tcPr>
          <w:p>
            <w:r>
              <w:rPr>
                <w:sz w:val="16"/>
              </w:rPr>
              <w:t>BR-007</w:t>
            </w:r>
          </w:p>
        </w:tc>
        <w:tc>
          <w:tcPr>
            <w:tcW w:type="dxa" w:w="9360"/>
            <w:vAlign w:val="top"/>
          </w:tcPr>
          <w:p>
            <w:r>
              <w:rPr>
                <w:sz w:val="16"/>
              </w:rPr>
              <w:t>The large-range threshold shall be configurable; the workbook test expectation uses more than one month.</w:t>
            </w:r>
          </w:p>
        </w:tc>
      </w:tr>
      <w:tr>
        <w:tc>
          <w:tcPr>
            <w:tcW w:type="dxa" w:w="1728"/>
            <w:vAlign w:val="top"/>
          </w:tcPr>
          <w:p>
            <w:r>
              <w:rPr>
                <w:sz w:val="16"/>
              </w:rPr>
              <w:t>BR-008</w:t>
            </w:r>
          </w:p>
        </w:tc>
        <w:tc>
          <w:tcPr>
            <w:tcW w:type="dxa" w:w="9360"/>
            <w:vAlign w:val="top"/>
          </w:tcPr>
          <w:p>
            <w:r>
              <w:rPr>
                <w:sz w:val="16"/>
              </w:rPr>
              <w:t>Cancelling a report request shall create no report job and send no email.</w:t>
            </w:r>
          </w:p>
        </w:tc>
      </w:tr>
    </w:tbl>
    <w:p/>
    <w:p>
      <w:pPr>
        <w:pStyle w:val="Heading2"/>
      </w:pPr>
      <w:r>
        <w:t>4.3 Non-Functional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944"/>
            <w:shd w:fill="1F4E79"/>
            <w:vAlign w:val="center"/>
          </w:tcPr>
          <w:p>
            <w:r>
              <w:rPr>
                <w:b/>
                <w:color w:val="FFFFFF"/>
                <w:sz w:val="17"/>
              </w:rPr>
              <w:t>NFR ID</w:t>
            </w:r>
          </w:p>
        </w:tc>
        <w:tc>
          <w:tcPr>
            <w:tcW w:type="dxa" w:w="8136"/>
            <w:shd w:fill="1F4E79"/>
            <w:vAlign w:val="center"/>
          </w:tcPr>
          <w:p>
            <w:r>
              <w:rPr>
                <w:b/>
                <w:color w:val="FFFFFF"/>
                <w:sz w:val="17"/>
              </w:rPr>
              <w:t>Requirement</w:t>
            </w:r>
          </w:p>
        </w:tc>
        <w:tc>
          <w:tcPr>
            <w:tcW w:type="dxa" w:w="1440"/>
            <w:shd w:fill="1F4E79"/>
            <w:vAlign w:val="center"/>
          </w:tcPr>
          <w:p>
            <w:r>
              <w:rPr>
                <w:b/>
                <w:color w:val="FFFFFF"/>
                <w:sz w:val="17"/>
              </w:rPr>
              <w:t>Category</w:t>
            </w:r>
          </w:p>
        </w:tc>
      </w:tr>
      <w:tr>
        <w:tc>
          <w:tcPr>
            <w:tcW w:type="dxa" w:w="1944"/>
            <w:vAlign w:val="top"/>
          </w:tcPr>
          <w:p>
            <w:r>
              <w:rPr>
                <w:sz w:val="16"/>
              </w:rPr>
              <w:t>NFR-SEC-001</w:t>
            </w:r>
          </w:p>
        </w:tc>
        <w:tc>
          <w:tcPr>
            <w:tcW w:type="dxa" w:w="8136"/>
            <w:vAlign w:val="top"/>
          </w:tcPr>
          <w:p>
            <w:r>
              <w:rPr>
                <w:sz w:val="16"/>
              </w:rPr>
              <w:t>All authentication and metrics traffic shall use HTTPS.</w:t>
            </w:r>
          </w:p>
        </w:tc>
        <w:tc>
          <w:tcPr>
            <w:tcW w:type="dxa" w:w="1440"/>
            <w:vAlign w:val="top"/>
          </w:tcPr>
          <w:p>
            <w:r>
              <w:rPr>
                <w:sz w:val="16"/>
              </w:rPr>
              <w:t>Security</w:t>
            </w:r>
          </w:p>
        </w:tc>
      </w:tr>
      <w:tr>
        <w:tc>
          <w:tcPr>
            <w:tcW w:type="dxa" w:w="1944"/>
            <w:vAlign w:val="top"/>
          </w:tcPr>
          <w:p>
            <w:r>
              <w:rPr>
                <w:sz w:val="16"/>
              </w:rPr>
              <w:t>NFR-SEC-002</w:t>
            </w:r>
          </w:p>
        </w:tc>
        <w:tc>
          <w:tcPr>
            <w:tcW w:type="dxa" w:w="8136"/>
            <w:vAlign w:val="top"/>
          </w:tcPr>
          <w:p>
            <w:r>
              <w:rPr>
                <w:sz w:val="16"/>
              </w:rPr>
              <w:t>Authentication errors shall not reveal whether a username or email exists.</w:t>
            </w:r>
          </w:p>
        </w:tc>
        <w:tc>
          <w:tcPr>
            <w:tcW w:type="dxa" w:w="1440"/>
            <w:vAlign w:val="top"/>
          </w:tcPr>
          <w:p>
            <w:r>
              <w:rPr>
                <w:sz w:val="16"/>
              </w:rPr>
              <w:t>Security</w:t>
            </w:r>
          </w:p>
        </w:tc>
      </w:tr>
      <w:tr>
        <w:tc>
          <w:tcPr>
            <w:tcW w:type="dxa" w:w="1944"/>
            <w:vAlign w:val="top"/>
          </w:tcPr>
          <w:p>
            <w:r>
              <w:rPr>
                <w:sz w:val="16"/>
              </w:rPr>
              <w:t>NFR-SEC-003</w:t>
            </w:r>
          </w:p>
        </w:tc>
        <w:tc>
          <w:tcPr>
            <w:tcW w:type="dxa" w:w="8136"/>
            <w:vAlign w:val="top"/>
          </w:tcPr>
          <w:p>
            <w:r>
              <w:rPr>
                <w:sz w:val="16"/>
              </w:rPr>
              <w:t>Session tokens shall be protected against unauthorized reuse and expire according to security policy.</w:t>
            </w:r>
          </w:p>
        </w:tc>
        <w:tc>
          <w:tcPr>
            <w:tcW w:type="dxa" w:w="1440"/>
            <w:vAlign w:val="top"/>
          </w:tcPr>
          <w:p>
            <w:r>
              <w:rPr>
                <w:sz w:val="16"/>
              </w:rPr>
              <w:t>Security</w:t>
            </w:r>
          </w:p>
        </w:tc>
      </w:tr>
      <w:tr>
        <w:tc>
          <w:tcPr>
            <w:tcW w:type="dxa" w:w="1944"/>
            <w:vAlign w:val="top"/>
          </w:tcPr>
          <w:p>
            <w:r>
              <w:rPr>
                <w:sz w:val="16"/>
              </w:rPr>
              <w:t>NFR-PERF-001</w:t>
            </w:r>
          </w:p>
        </w:tc>
        <w:tc>
          <w:tcPr>
            <w:tcW w:type="dxa" w:w="8136"/>
            <w:vAlign w:val="top"/>
          </w:tcPr>
          <w:p>
            <w:r>
              <w:rPr>
                <w:sz w:val="16"/>
              </w:rPr>
              <w:t>The Metrics dashboard should display its initial usable state within 3 seconds under normal operating conditions.</w:t>
            </w:r>
          </w:p>
        </w:tc>
        <w:tc>
          <w:tcPr>
            <w:tcW w:type="dxa" w:w="1440"/>
            <w:vAlign w:val="top"/>
          </w:tcPr>
          <w:p>
            <w:r>
              <w:rPr>
                <w:sz w:val="16"/>
              </w:rPr>
              <w:t>Performance</w:t>
            </w:r>
          </w:p>
        </w:tc>
      </w:tr>
      <w:tr>
        <w:tc>
          <w:tcPr>
            <w:tcW w:type="dxa" w:w="1944"/>
            <w:vAlign w:val="top"/>
          </w:tcPr>
          <w:p>
            <w:r>
              <w:rPr>
                <w:sz w:val="16"/>
              </w:rPr>
              <w:t>NFR-PERF-002</w:t>
            </w:r>
          </w:p>
        </w:tc>
        <w:tc>
          <w:tcPr>
            <w:tcW w:type="dxa" w:w="8136"/>
            <w:vAlign w:val="top"/>
          </w:tcPr>
          <w:p>
            <w:r>
              <w:rPr>
                <w:sz w:val="16"/>
              </w:rPr>
              <w:t>A filter change should update the dashboard within 2 seconds under normal operating conditions.</w:t>
            </w:r>
          </w:p>
        </w:tc>
        <w:tc>
          <w:tcPr>
            <w:tcW w:type="dxa" w:w="1440"/>
            <w:vAlign w:val="top"/>
          </w:tcPr>
          <w:p>
            <w:r>
              <w:rPr>
                <w:sz w:val="16"/>
              </w:rPr>
              <w:t>Performance</w:t>
            </w:r>
          </w:p>
        </w:tc>
      </w:tr>
      <w:tr>
        <w:tc>
          <w:tcPr>
            <w:tcW w:type="dxa" w:w="1944"/>
            <w:vAlign w:val="top"/>
          </w:tcPr>
          <w:p>
            <w:r>
              <w:rPr>
                <w:sz w:val="16"/>
              </w:rPr>
              <w:t>NFR-REL-001</w:t>
            </w:r>
          </w:p>
        </w:tc>
        <w:tc>
          <w:tcPr>
            <w:tcW w:type="dxa" w:w="8136"/>
            <w:vAlign w:val="top"/>
          </w:tcPr>
          <w:p>
            <w:r>
              <w:rPr>
                <w:sz w:val="16"/>
              </w:rPr>
              <w:t>Displayed metrics shall not show stale values after a filter change or no-data response.</w:t>
            </w:r>
          </w:p>
        </w:tc>
        <w:tc>
          <w:tcPr>
            <w:tcW w:type="dxa" w:w="1440"/>
            <w:vAlign w:val="top"/>
          </w:tcPr>
          <w:p>
            <w:r>
              <w:rPr>
                <w:sz w:val="16"/>
              </w:rPr>
              <w:t>Reliability</w:t>
            </w:r>
          </w:p>
        </w:tc>
      </w:tr>
      <w:tr>
        <w:tc>
          <w:tcPr>
            <w:tcW w:type="dxa" w:w="1944"/>
            <w:vAlign w:val="top"/>
          </w:tcPr>
          <w:p>
            <w:r>
              <w:rPr>
                <w:sz w:val="16"/>
              </w:rPr>
              <w:t>NFR-REL-002</w:t>
            </w:r>
          </w:p>
        </w:tc>
        <w:tc>
          <w:tcPr>
            <w:tcW w:type="dxa" w:w="8136"/>
            <w:vAlign w:val="top"/>
          </w:tcPr>
          <w:p>
            <w:r>
              <w:rPr>
                <w:sz w:val="16"/>
              </w:rPr>
              <w:t>Report requests shall be idempotent or protected against accidental duplicate submission.</w:t>
            </w:r>
          </w:p>
        </w:tc>
        <w:tc>
          <w:tcPr>
            <w:tcW w:type="dxa" w:w="1440"/>
            <w:vAlign w:val="top"/>
          </w:tcPr>
          <w:p>
            <w:r>
              <w:rPr>
                <w:sz w:val="16"/>
              </w:rPr>
              <w:t>Reliability</w:t>
            </w:r>
          </w:p>
        </w:tc>
      </w:tr>
      <w:tr>
        <w:tc>
          <w:tcPr>
            <w:tcW w:type="dxa" w:w="1944"/>
            <w:vAlign w:val="top"/>
          </w:tcPr>
          <w:p>
            <w:r>
              <w:rPr>
                <w:sz w:val="16"/>
              </w:rPr>
              <w:t>NFR-USA-001</w:t>
            </w:r>
          </w:p>
        </w:tc>
        <w:tc>
          <w:tcPr>
            <w:tcW w:type="dxa" w:w="8136"/>
            <w:vAlign w:val="top"/>
          </w:tcPr>
          <w:p>
            <w:r>
              <w:rPr>
                <w:sz w:val="16"/>
              </w:rPr>
              <w:t>Filters, empty states, errors, and report confirmations shall use clear user-readable messages.</w:t>
            </w:r>
          </w:p>
        </w:tc>
        <w:tc>
          <w:tcPr>
            <w:tcW w:type="dxa" w:w="1440"/>
            <w:vAlign w:val="top"/>
          </w:tcPr>
          <w:p>
            <w:r>
              <w:rPr>
                <w:sz w:val="16"/>
              </w:rPr>
              <w:t>Usability</w:t>
            </w:r>
          </w:p>
        </w:tc>
      </w:tr>
      <w:tr>
        <w:tc>
          <w:tcPr>
            <w:tcW w:type="dxa" w:w="1944"/>
            <w:vAlign w:val="top"/>
          </w:tcPr>
          <w:p>
            <w:r>
              <w:rPr>
                <w:sz w:val="16"/>
              </w:rPr>
              <w:t>NFR-COMP-001</w:t>
            </w:r>
          </w:p>
        </w:tc>
        <w:tc>
          <w:tcPr>
            <w:tcW w:type="dxa" w:w="8136"/>
            <w:vAlign w:val="top"/>
          </w:tcPr>
          <w:p>
            <w:r>
              <w:rPr>
                <w:sz w:val="16"/>
              </w:rPr>
              <w:t>The feature shall support current stable versions of Chrome, Edge, Firefox, and Safari.</w:t>
            </w:r>
          </w:p>
        </w:tc>
        <w:tc>
          <w:tcPr>
            <w:tcW w:type="dxa" w:w="1440"/>
            <w:vAlign w:val="top"/>
          </w:tcPr>
          <w:p>
            <w:r>
              <w:rPr>
                <w:sz w:val="16"/>
              </w:rPr>
              <w:t>Compatibility</w:t>
            </w:r>
          </w:p>
        </w:tc>
      </w:tr>
      <w:tr>
        <w:tc>
          <w:tcPr>
            <w:tcW w:type="dxa" w:w="1944"/>
            <w:vAlign w:val="top"/>
          </w:tcPr>
          <w:p>
            <w:r>
              <w:rPr>
                <w:sz w:val="16"/>
              </w:rPr>
              <w:t>NFR-AUD-001</w:t>
            </w:r>
          </w:p>
        </w:tc>
        <w:tc>
          <w:tcPr>
            <w:tcW w:type="dxa" w:w="8136"/>
            <w:vAlign w:val="top"/>
          </w:tcPr>
          <w:p>
            <w:r>
              <w:rPr>
                <w:sz w:val="16"/>
              </w:rPr>
              <w:t>Successful and failed authentication attempts and report requests should be auditable without storing sensitive credential data.</w:t>
            </w:r>
          </w:p>
        </w:tc>
        <w:tc>
          <w:tcPr>
            <w:tcW w:type="dxa" w:w="1440"/>
            <w:vAlign w:val="top"/>
          </w:tcPr>
          <w:p>
            <w:r>
              <w:rPr>
                <w:sz w:val="16"/>
              </w:rPr>
              <w:t>Auditability</w:t>
            </w:r>
          </w:p>
        </w:tc>
      </w:tr>
    </w:tbl>
    <w:p/>
    <w:p>
      <w:pPr>
        <w:pStyle w:val="Heading2"/>
      </w:pPr>
      <w:r>
        <w:t>4.4 Data Requirements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728"/>
            <w:shd w:fill="1F4E79"/>
            <w:vAlign w:val="center"/>
          </w:tcPr>
          <w:p>
            <w:r>
              <w:rPr>
                <w:b/>
                <w:color w:val="FFFFFF"/>
                <w:sz w:val="17"/>
              </w:rPr>
              <w:t>Data ID</w:t>
            </w:r>
          </w:p>
        </w:tc>
        <w:tc>
          <w:tcPr>
            <w:tcW w:type="dxa" w:w="9360"/>
            <w:shd w:fill="1F4E79"/>
            <w:vAlign w:val="center"/>
          </w:tcPr>
          <w:p>
            <w:r>
              <w:rPr>
                <w:b/>
                <w:color w:val="FFFFFF"/>
                <w:sz w:val="17"/>
              </w:rPr>
              <w:t>Data Requirement</w:t>
            </w:r>
          </w:p>
        </w:tc>
      </w:tr>
      <w:tr>
        <w:tc>
          <w:tcPr>
            <w:tcW w:type="dxa" w:w="1728"/>
            <w:vAlign w:val="top"/>
          </w:tcPr>
          <w:p>
            <w:r>
              <w:rPr>
                <w:sz w:val="16"/>
              </w:rPr>
              <w:t>DR-001</w:t>
            </w:r>
          </w:p>
        </w:tc>
        <w:tc>
          <w:tcPr>
            <w:tcW w:type="dxa" w:w="9360"/>
            <w:vAlign w:val="top"/>
          </w:tcPr>
          <w:p>
            <w:r>
              <w:rPr>
                <w:sz w:val="16"/>
              </w:rPr>
              <w:t>User account identifier, role/permissions, registered email, and session status.</w:t>
            </w:r>
          </w:p>
        </w:tc>
      </w:tr>
      <w:tr>
        <w:tc>
          <w:tcPr>
            <w:tcW w:type="dxa" w:w="1728"/>
            <w:vAlign w:val="top"/>
          </w:tcPr>
          <w:p>
            <w:r>
              <w:rPr>
                <w:sz w:val="16"/>
              </w:rPr>
              <w:t>DR-002</w:t>
            </w:r>
          </w:p>
        </w:tc>
        <w:tc>
          <w:tcPr>
            <w:tcW w:type="dxa" w:w="9360"/>
            <w:vAlign w:val="top"/>
          </w:tcPr>
          <w:p>
            <w:r>
              <w:rPr>
                <w:sz w:val="16"/>
              </w:rPr>
              <w:t>Customer identifier and display name available to the current user.</w:t>
            </w:r>
          </w:p>
        </w:tc>
      </w:tr>
      <w:tr>
        <w:tc>
          <w:tcPr>
            <w:tcW w:type="dxa" w:w="1728"/>
            <w:vAlign w:val="top"/>
          </w:tcPr>
          <w:p>
            <w:r>
              <w:rPr>
                <w:sz w:val="16"/>
              </w:rPr>
              <w:t>DR-003</w:t>
            </w:r>
          </w:p>
        </w:tc>
        <w:tc>
          <w:tcPr>
            <w:tcW w:type="dxa" w:w="9360"/>
            <w:vAlign w:val="top"/>
          </w:tcPr>
          <w:p>
            <w:r>
              <w:rPr>
                <w:sz w:val="16"/>
              </w:rPr>
              <w:t>Selected year, month, all-time state, customer, and date range.</w:t>
            </w:r>
          </w:p>
        </w:tc>
      </w:tr>
      <w:tr>
        <w:tc>
          <w:tcPr>
            <w:tcW w:type="dxa" w:w="1728"/>
            <w:vAlign w:val="top"/>
          </w:tcPr>
          <w:p>
            <w:r>
              <w:rPr>
                <w:sz w:val="16"/>
              </w:rPr>
              <w:t>DR-004</w:t>
            </w:r>
          </w:p>
        </w:tc>
        <w:tc>
          <w:tcPr>
            <w:tcW w:type="dxa" w:w="9360"/>
            <w:vAlign w:val="top"/>
          </w:tcPr>
          <w:p>
            <w:r>
              <w:rPr>
                <w:sz w:val="16"/>
              </w:rPr>
              <w:t>Metric values including leads, tours, sales or other configured KPI values.</w:t>
            </w:r>
          </w:p>
        </w:tc>
      </w:tr>
      <w:tr>
        <w:tc>
          <w:tcPr>
            <w:tcW w:type="dxa" w:w="1728"/>
            <w:vAlign w:val="top"/>
          </w:tcPr>
          <w:p>
            <w:r>
              <w:rPr>
                <w:sz w:val="16"/>
              </w:rPr>
              <w:t>DR-005</w:t>
            </w:r>
          </w:p>
        </w:tc>
        <w:tc>
          <w:tcPr>
            <w:tcW w:type="dxa" w:w="9360"/>
            <w:vAlign w:val="top"/>
          </w:tcPr>
          <w:p>
            <w:r>
              <w:rPr>
                <w:sz w:val="16"/>
              </w:rPr>
              <w:t>Conversion values and out-of-hours counts/classification.</w:t>
            </w:r>
          </w:p>
        </w:tc>
      </w:tr>
      <w:tr>
        <w:tc>
          <w:tcPr>
            <w:tcW w:type="dxa" w:w="1728"/>
            <w:vAlign w:val="top"/>
          </w:tcPr>
          <w:p>
            <w:r>
              <w:rPr>
                <w:sz w:val="16"/>
              </w:rPr>
              <w:t>DR-006</w:t>
            </w:r>
          </w:p>
        </w:tc>
        <w:tc>
          <w:tcPr>
            <w:tcW w:type="dxa" w:w="9360"/>
            <w:vAlign w:val="top"/>
          </w:tcPr>
          <w:p>
            <w:r>
              <w:rPr>
                <w:sz w:val="16"/>
              </w:rPr>
              <w:t>Report job identifier, requested range, requestor, status, timestamps, and delivery result.</w:t>
            </w:r>
          </w:p>
        </w:tc>
      </w:tr>
    </w:tbl>
    <w:p/>
    <w:p>
      <w:pPr>
        <w:pStyle w:val="Heading2"/>
      </w:pPr>
      <w:r>
        <w:t>4.5 Error and Empty-State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shd w:fill="1F4E79"/>
            <w:vAlign w:val="center"/>
          </w:tcPr>
          <w:p>
            <w:r>
              <w:rPr>
                <w:b/>
                <w:color w:val="FFFFFF"/>
                <w:sz w:val="17"/>
              </w:rPr>
              <w:t>Error ID</w:t>
            </w:r>
          </w:p>
        </w:tc>
        <w:tc>
          <w:tcPr>
            <w:tcW w:type="dxa" w:w="3024"/>
            <w:shd w:fill="1F4E79"/>
            <w:vAlign w:val="center"/>
          </w:tcPr>
          <w:p>
            <w:r>
              <w:rPr>
                <w:b/>
                <w:color w:val="FFFFFF"/>
                <w:sz w:val="17"/>
              </w:rPr>
              <w:t>Condition</w:t>
            </w:r>
          </w:p>
        </w:tc>
        <w:tc>
          <w:tcPr>
            <w:tcW w:type="dxa" w:w="6624"/>
            <w:shd w:fill="1F4E79"/>
            <w:vAlign w:val="center"/>
          </w:tcPr>
          <w:p>
            <w:r>
              <w:rPr>
                <w:b/>
                <w:color w:val="FFFFFF"/>
                <w:sz w:val="17"/>
              </w:rPr>
              <w:t>Required Behavior</w:t>
            </w:r>
          </w:p>
        </w:tc>
      </w:tr>
      <w:tr>
        <w:tc>
          <w:tcPr>
            <w:tcW w:type="dxa" w:w="1440"/>
            <w:vAlign w:val="top"/>
          </w:tcPr>
          <w:p>
            <w:r>
              <w:rPr>
                <w:sz w:val="16"/>
              </w:rPr>
              <w:t>ER-001</w:t>
            </w:r>
          </w:p>
        </w:tc>
        <w:tc>
          <w:tcPr>
            <w:tcW w:type="dxa" w:w="3024"/>
            <w:vAlign w:val="top"/>
          </w:tcPr>
          <w:p>
            <w:r>
              <w:rPr>
                <w:sz w:val="16"/>
              </w:rPr>
              <w:t>Invalid login credentials</w:t>
            </w:r>
          </w:p>
        </w:tc>
        <w:tc>
          <w:tcPr>
            <w:tcW w:type="dxa" w:w="6624"/>
            <w:vAlign w:val="top"/>
          </w:tcPr>
          <w:p>
            <w:r>
              <w:rPr>
                <w:sz w:val="16"/>
              </w:rPr>
              <w:t>Display a generic authentication failure and remain on the login page.</w:t>
            </w:r>
          </w:p>
        </w:tc>
      </w:tr>
      <w:tr>
        <w:tc>
          <w:tcPr>
            <w:tcW w:type="dxa" w:w="1440"/>
            <w:vAlign w:val="top"/>
          </w:tcPr>
          <w:p>
            <w:r>
              <w:rPr>
                <w:sz w:val="16"/>
              </w:rPr>
              <w:t>ER-002</w:t>
            </w:r>
          </w:p>
        </w:tc>
        <w:tc>
          <w:tcPr>
            <w:tcW w:type="dxa" w:w="3024"/>
            <w:vAlign w:val="top"/>
          </w:tcPr>
          <w:p>
            <w:r>
              <w:rPr>
                <w:sz w:val="16"/>
              </w:rPr>
              <w:t>Unauthorized Metrics access</w:t>
            </w:r>
          </w:p>
        </w:tc>
        <w:tc>
          <w:tcPr>
            <w:tcW w:type="dxa" w:w="6624"/>
            <w:vAlign w:val="top"/>
          </w:tcPr>
          <w:p>
            <w:r>
              <w:rPr>
                <w:sz w:val="16"/>
              </w:rPr>
              <w:t>Return an access-denied response and redirect to an allowed location or login.</w:t>
            </w:r>
          </w:p>
        </w:tc>
      </w:tr>
      <w:tr>
        <w:tc>
          <w:tcPr>
            <w:tcW w:type="dxa" w:w="1440"/>
            <w:vAlign w:val="top"/>
          </w:tcPr>
          <w:p>
            <w:r>
              <w:rPr>
                <w:sz w:val="16"/>
              </w:rPr>
              <w:t>ER-003</w:t>
            </w:r>
          </w:p>
        </w:tc>
        <w:tc>
          <w:tcPr>
            <w:tcW w:type="dxa" w:w="3024"/>
            <w:vAlign w:val="top"/>
          </w:tcPr>
          <w:p>
            <w:r>
              <w:rPr>
                <w:sz w:val="16"/>
              </w:rPr>
              <w:t>No matching customer</w:t>
            </w:r>
          </w:p>
        </w:tc>
        <w:tc>
          <w:tcPr>
            <w:tcW w:type="dxa" w:w="6624"/>
            <w:vAlign w:val="top"/>
          </w:tcPr>
          <w:p>
            <w:r>
              <w:rPr>
                <w:sz w:val="16"/>
              </w:rPr>
              <w:t>Display “No Results Found” or equivalent.</w:t>
            </w:r>
          </w:p>
        </w:tc>
      </w:tr>
      <w:tr>
        <w:tc>
          <w:tcPr>
            <w:tcW w:type="dxa" w:w="1440"/>
            <w:vAlign w:val="top"/>
          </w:tcPr>
          <w:p>
            <w:r>
              <w:rPr>
                <w:sz w:val="16"/>
              </w:rPr>
              <w:t>ER-004</w:t>
            </w:r>
          </w:p>
        </w:tc>
        <w:tc>
          <w:tcPr>
            <w:tcW w:type="dxa" w:w="3024"/>
            <w:vAlign w:val="top"/>
          </w:tcPr>
          <w:p>
            <w:r>
              <w:rPr>
                <w:sz w:val="16"/>
              </w:rPr>
              <w:t>No metric data</w:t>
            </w:r>
          </w:p>
        </w:tc>
        <w:tc>
          <w:tcPr>
            <w:tcW w:type="dxa" w:w="6624"/>
            <w:vAlign w:val="top"/>
          </w:tcPr>
          <w:p>
            <w:r>
              <w:rPr>
                <w:sz w:val="16"/>
              </w:rPr>
              <w:t>Display zeros or a clear no-data state; remove stale values.</w:t>
            </w:r>
          </w:p>
        </w:tc>
      </w:tr>
      <w:tr>
        <w:tc>
          <w:tcPr>
            <w:tcW w:type="dxa" w:w="1440"/>
            <w:vAlign w:val="top"/>
          </w:tcPr>
          <w:p>
            <w:r>
              <w:rPr>
                <w:sz w:val="16"/>
              </w:rPr>
              <w:t>ER-005</w:t>
            </w:r>
          </w:p>
        </w:tc>
        <w:tc>
          <w:tcPr>
            <w:tcW w:type="dxa" w:w="3024"/>
            <w:vAlign w:val="top"/>
          </w:tcPr>
          <w:p>
            <w:r>
              <w:rPr>
                <w:sz w:val="16"/>
              </w:rPr>
              <w:t>Metrics API failure</w:t>
            </w:r>
          </w:p>
        </w:tc>
        <w:tc>
          <w:tcPr>
            <w:tcW w:type="dxa" w:w="6624"/>
            <w:vAlign w:val="top"/>
          </w:tcPr>
          <w:p>
            <w:r>
              <w:rPr>
                <w:sz w:val="16"/>
              </w:rPr>
              <w:t>Display a recoverable error and provide a retry option where appropriate.</w:t>
            </w:r>
          </w:p>
        </w:tc>
      </w:tr>
      <w:tr>
        <w:tc>
          <w:tcPr>
            <w:tcW w:type="dxa" w:w="1440"/>
            <w:vAlign w:val="top"/>
          </w:tcPr>
          <w:p>
            <w:r>
              <w:rPr>
                <w:sz w:val="16"/>
              </w:rPr>
              <w:t>ER-006</w:t>
            </w:r>
          </w:p>
        </w:tc>
        <w:tc>
          <w:tcPr>
            <w:tcW w:type="dxa" w:w="3024"/>
            <w:vAlign w:val="top"/>
          </w:tcPr>
          <w:p>
            <w:r>
              <w:rPr>
                <w:sz w:val="16"/>
              </w:rPr>
              <w:t>Report queue failure</w:t>
            </w:r>
          </w:p>
        </w:tc>
        <w:tc>
          <w:tcPr>
            <w:tcW w:type="dxa" w:w="6624"/>
            <w:vAlign w:val="top"/>
          </w:tcPr>
          <w:p>
            <w:r>
              <w:rPr>
                <w:sz w:val="16"/>
              </w:rPr>
              <w:t>Display that the request was not accepted and allow retry.</w:t>
            </w:r>
          </w:p>
        </w:tc>
      </w:tr>
      <w:tr>
        <w:tc>
          <w:tcPr>
            <w:tcW w:type="dxa" w:w="1440"/>
            <w:vAlign w:val="top"/>
          </w:tcPr>
          <w:p>
            <w:r>
              <w:rPr>
                <w:sz w:val="16"/>
              </w:rPr>
              <w:t>ER-007</w:t>
            </w:r>
          </w:p>
        </w:tc>
        <w:tc>
          <w:tcPr>
            <w:tcW w:type="dxa" w:w="3024"/>
            <w:vAlign w:val="top"/>
          </w:tcPr>
          <w:p>
            <w:r>
              <w:rPr>
                <w:sz w:val="16"/>
              </w:rPr>
              <w:t>Email delivery failure</w:t>
            </w:r>
          </w:p>
        </w:tc>
        <w:tc>
          <w:tcPr>
            <w:tcW w:type="dxa" w:w="6624"/>
            <w:vAlign w:val="top"/>
          </w:tcPr>
          <w:p>
            <w:r>
              <w:rPr>
                <w:sz w:val="16"/>
              </w:rPr>
              <w:t>Record the failure and provide an actionable status or retry process.</w:t>
            </w:r>
          </w:p>
        </w:tc>
      </w:tr>
    </w:tbl>
    <w:p/>
    <w:p>
      <w:pPr>
        <w:pStyle w:val="Heading1"/>
      </w:pPr>
      <w:r>
        <w:t>5. Requirements Traceability Matrix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F4E79"/>
            <w:vAlign w:val="center"/>
          </w:tcPr>
          <w:p>
            <w:r>
              <w:rPr>
                <w:b/>
                <w:color w:val="FFFFFF"/>
                <w:sz w:val="17"/>
              </w:rPr>
              <w:t>User Story</w:t>
            </w:r>
          </w:p>
        </w:tc>
        <w:tc>
          <w:tcPr>
            <w:tcW w:type="dxa" w:w="3888"/>
            <w:shd w:fill="1F4E79"/>
            <w:vAlign w:val="center"/>
          </w:tcPr>
          <w:p>
            <w:r>
              <w:rPr>
                <w:b/>
                <w:color w:val="FFFFFF"/>
                <w:sz w:val="17"/>
              </w:rPr>
              <w:t>Mapped Requirements</w:t>
            </w:r>
          </w:p>
        </w:tc>
        <w:tc>
          <w:tcPr>
            <w:tcW w:type="dxa" w:w="5760"/>
            <w:shd w:fill="1F4E79"/>
            <w:vAlign w:val="center"/>
          </w:tcPr>
          <w:p>
            <w:r>
              <w:rPr>
                <w:b/>
                <w:color w:val="FFFFFF"/>
                <w:sz w:val="17"/>
              </w:rPr>
              <w:t>Source Test Cases / Basis</w:t>
            </w:r>
          </w:p>
        </w:tc>
      </w:tr>
      <w:tr>
        <w:tc>
          <w:tcPr>
            <w:tcW w:type="dxa" w:w="1728"/>
            <w:vAlign w:val="top"/>
          </w:tcPr>
          <w:p>
            <w:r>
              <w:rPr>
                <w:sz w:val="16"/>
              </w:rPr>
              <w:t>US-LM-001</w:t>
            </w:r>
          </w:p>
        </w:tc>
        <w:tc>
          <w:tcPr>
            <w:tcW w:type="dxa" w:w="3888"/>
            <w:vAlign w:val="top"/>
          </w:tcPr>
          <w:p>
            <w:r>
              <w:rPr>
                <w:sz w:val="16"/>
              </w:rPr>
              <w:t>FR-AUTH-001, FR-AUTH-002, FR-AUTH-004</w:t>
            </w:r>
          </w:p>
        </w:tc>
        <w:tc>
          <w:tcPr>
            <w:tcW w:type="dxa" w:w="5760"/>
            <w:vAlign w:val="top"/>
          </w:tcPr>
          <w:p>
            <w:r>
              <w:rPr>
                <w:sz w:val="16"/>
              </w:rPr>
              <w:t>Inferred prerequisite: workbook precondition “User authenticated”</w:t>
            </w:r>
          </w:p>
        </w:tc>
      </w:tr>
      <w:tr>
        <w:tc>
          <w:tcPr>
            <w:tcW w:type="dxa" w:w="1728"/>
            <w:vAlign w:val="top"/>
          </w:tcPr>
          <w:p>
            <w:r>
              <w:rPr>
                <w:sz w:val="16"/>
              </w:rPr>
              <w:t>US-LM-002</w:t>
            </w:r>
          </w:p>
        </w:tc>
        <w:tc>
          <w:tcPr>
            <w:tcW w:type="dxa" w:w="3888"/>
            <w:vAlign w:val="top"/>
          </w:tcPr>
          <w:p>
            <w:r>
              <w:rPr>
                <w:sz w:val="16"/>
              </w:rPr>
              <w:t>FR-AUTH-003, FR-AUTH-005</w:t>
            </w:r>
          </w:p>
        </w:tc>
        <w:tc>
          <w:tcPr>
            <w:tcW w:type="dxa" w:w="5760"/>
            <w:vAlign w:val="top"/>
          </w:tcPr>
          <w:p>
            <w:r>
              <w:rPr>
                <w:sz w:val="16"/>
              </w:rPr>
              <w:t>Inferred authentication control</w:t>
            </w:r>
          </w:p>
        </w:tc>
      </w:tr>
      <w:tr>
        <w:tc>
          <w:tcPr>
            <w:tcW w:type="dxa" w:w="1728"/>
            <w:vAlign w:val="top"/>
          </w:tcPr>
          <w:p>
            <w:r>
              <w:rPr>
                <w:sz w:val="16"/>
              </w:rPr>
              <w:t>US-LM-003</w:t>
            </w:r>
          </w:p>
        </w:tc>
        <w:tc>
          <w:tcPr>
            <w:tcW w:type="dxa" w:w="3888"/>
            <w:vAlign w:val="top"/>
          </w:tcPr>
          <w:p>
            <w:r>
              <w:rPr>
                <w:sz w:val="16"/>
              </w:rPr>
              <w:t>FR-MET-001</w:t>
            </w:r>
          </w:p>
        </w:tc>
        <w:tc>
          <w:tcPr>
            <w:tcW w:type="dxa" w:w="5760"/>
            <w:vAlign w:val="top"/>
          </w:tcPr>
          <w:p>
            <w:r>
              <w:rPr>
                <w:sz w:val="16"/>
              </w:rPr>
              <w:t>TC_TS_METRICS_001_001</w:t>
            </w:r>
          </w:p>
        </w:tc>
      </w:tr>
      <w:tr>
        <w:tc>
          <w:tcPr>
            <w:tcW w:type="dxa" w:w="1728"/>
            <w:vAlign w:val="top"/>
          </w:tcPr>
          <w:p>
            <w:r>
              <w:rPr>
                <w:sz w:val="16"/>
              </w:rPr>
              <w:t>US-LM-004</w:t>
            </w:r>
          </w:p>
        </w:tc>
        <w:tc>
          <w:tcPr>
            <w:tcW w:type="dxa" w:w="3888"/>
            <w:vAlign w:val="top"/>
          </w:tcPr>
          <w:p>
            <w:r>
              <w:rPr>
                <w:sz w:val="16"/>
              </w:rPr>
              <w:t>FR-MET-002 to FR-MET-004</w:t>
            </w:r>
          </w:p>
        </w:tc>
        <w:tc>
          <w:tcPr>
            <w:tcW w:type="dxa" w:w="5760"/>
            <w:vAlign w:val="top"/>
          </w:tcPr>
          <w:p>
            <w:r>
              <w:rPr>
                <w:sz w:val="16"/>
              </w:rPr>
              <w:t>TC_TS_METRICS_001_002 to 004; TC_TS_METRICS_003_001 to 004</w:t>
            </w:r>
          </w:p>
        </w:tc>
      </w:tr>
      <w:tr>
        <w:tc>
          <w:tcPr>
            <w:tcW w:type="dxa" w:w="1728"/>
            <w:vAlign w:val="top"/>
          </w:tcPr>
          <w:p>
            <w:r>
              <w:rPr>
                <w:sz w:val="16"/>
              </w:rPr>
              <w:t>US-LM-005</w:t>
            </w:r>
          </w:p>
        </w:tc>
        <w:tc>
          <w:tcPr>
            <w:tcW w:type="dxa" w:w="3888"/>
            <w:vAlign w:val="top"/>
          </w:tcPr>
          <w:p>
            <w:r>
              <w:rPr>
                <w:sz w:val="16"/>
              </w:rPr>
              <w:t>FR-MET-005 to FR-MET-008</w:t>
            </w:r>
          </w:p>
        </w:tc>
        <w:tc>
          <w:tcPr>
            <w:tcW w:type="dxa" w:w="5760"/>
            <w:vAlign w:val="top"/>
          </w:tcPr>
          <w:p>
            <w:r>
              <w:rPr>
                <w:sz w:val="16"/>
              </w:rPr>
              <w:t>TC_TS_METRICS_002_001 to 003</w:t>
            </w:r>
          </w:p>
        </w:tc>
      </w:tr>
      <w:tr>
        <w:tc>
          <w:tcPr>
            <w:tcW w:type="dxa" w:w="1728"/>
            <w:vAlign w:val="top"/>
          </w:tcPr>
          <w:p>
            <w:r>
              <w:rPr>
                <w:sz w:val="16"/>
              </w:rPr>
              <w:t>US-LM-006</w:t>
            </w:r>
          </w:p>
        </w:tc>
        <w:tc>
          <w:tcPr>
            <w:tcW w:type="dxa" w:w="3888"/>
            <w:vAlign w:val="top"/>
          </w:tcPr>
          <w:p>
            <w:r>
              <w:rPr>
                <w:sz w:val="16"/>
              </w:rPr>
              <w:t>FR-MET-009, FR-MET-010</w:t>
            </w:r>
          </w:p>
        </w:tc>
        <w:tc>
          <w:tcPr>
            <w:tcW w:type="dxa" w:w="5760"/>
            <w:vAlign w:val="top"/>
          </w:tcPr>
          <w:p>
            <w:r>
              <w:rPr>
                <w:sz w:val="16"/>
              </w:rPr>
              <w:t>TC_TS_METRICS_004_001 to 003</w:t>
            </w:r>
          </w:p>
        </w:tc>
      </w:tr>
      <w:tr>
        <w:tc>
          <w:tcPr>
            <w:tcW w:type="dxa" w:w="1728"/>
            <w:vAlign w:val="top"/>
          </w:tcPr>
          <w:p>
            <w:r>
              <w:rPr>
                <w:sz w:val="16"/>
              </w:rPr>
              <w:t>US-LM-007</w:t>
            </w:r>
          </w:p>
        </w:tc>
        <w:tc>
          <w:tcPr>
            <w:tcW w:type="dxa" w:w="3888"/>
            <w:vAlign w:val="top"/>
          </w:tcPr>
          <w:p>
            <w:r>
              <w:rPr>
                <w:sz w:val="16"/>
              </w:rPr>
              <w:t>FR-MET-011, FR-MET-012</w:t>
            </w:r>
          </w:p>
        </w:tc>
        <w:tc>
          <w:tcPr>
            <w:tcW w:type="dxa" w:w="5760"/>
            <w:vAlign w:val="top"/>
          </w:tcPr>
          <w:p>
            <w:r>
              <w:rPr>
                <w:sz w:val="16"/>
              </w:rPr>
              <w:t>TC_TS_METRICS_005_001 to 003</w:t>
            </w:r>
          </w:p>
        </w:tc>
      </w:tr>
      <w:tr>
        <w:tc>
          <w:tcPr>
            <w:tcW w:type="dxa" w:w="1728"/>
            <w:vAlign w:val="top"/>
          </w:tcPr>
          <w:p>
            <w:r>
              <w:rPr>
                <w:sz w:val="16"/>
              </w:rPr>
              <w:t>US-LM-008</w:t>
            </w:r>
          </w:p>
        </w:tc>
        <w:tc>
          <w:tcPr>
            <w:tcW w:type="dxa" w:w="3888"/>
            <w:vAlign w:val="top"/>
          </w:tcPr>
          <w:p>
            <w:r>
              <w:rPr>
                <w:sz w:val="16"/>
              </w:rPr>
              <w:t>FR-MET-013</w:t>
            </w:r>
          </w:p>
        </w:tc>
        <w:tc>
          <w:tcPr>
            <w:tcW w:type="dxa" w:w="5760"/>
            <w:vAlign w:val="top"/>
          </w:tcPr>
          <w:p>
            <w:r>
              <w:rPr>
                <w:sz w:val="16"/>
              </w:rPr>
              <w:t>TC_TS_METRICS_006_001 and OOH zero handling test</w:t>
            </w:r>
          </w:p>
        </w:tc>
      </w:tr>
      <w:tr>
        <w:tc>
          <w:tcPr>
            <w:tcW w:type="dxa" w:w="1728"/>
            <w:vAlign w:val="top"/>
          </w:tcPr>
          <w:p>
            <w:r>
              <w:rPr>
                <w:sz w:val="16"/>
              </w:rPr>
              <w:t>US-LM-009</w:t>
            </w:r>
          </w:p>
        </w:tc>
        <w:tc>
          <w:tcPr>
            <w:tcW w:type="dxa" w:w="3888"/>
            <w:vAlign w:val="top"/>
          </w:tcPr>
          <w:p>
            <w:r>
              <w:rPr>
                <w:sz w:val="16"/>
              </w:rPr>
              <w:t>FR-MET-014, FR-MET-015</w:t>
            </w:r>
          </w:p>
        </w:tc>
        <w:tc>
          <w:tcPr>
            <w:tcW w:type="dxa" w:w="5760"/>
            <w:vAlign w:val="top"/>
          </w:tcPr>
          <w:p>
            <w:r>
              <w:rPr>
                <w:sz w:val="16"/>
              </w:rPr>
              <w:t>TC_TS_METRICS_007_001 and 003</w:t>
            </w:r>
          </w:p>
        </w:tc>
      </w:tr>
      <w:tr>
        <w:tc>
          <w:tcPr>
            <w:tcW w:type="dxa" w:w="1728"/>
            <w:vAlign w:val="top"/>
          </w:tcPr>
          <w:p>
            <w:r>
              <w:rPr>
                <w:sz w:val="16"/>
              </w:rPr>
              <w:t>US-LM-010</w:t>
            </w:r>
          </w:p>
        </w:tc>
        <w:tc>
          <w:tcPr>
            <w:tcW w:type="dxa" w:w="3888"/>
            <w:vAlign w:val="top"/>
          </w:tcPr>
          <w:p>
            <w:r>
              <w:rPr>
                <w:sz w:val="16"/>
              </w:rPr>
              <w:t>FR-MET-016 to FR-MET-022</w:t>
            </w:r>
          </w:p>
        </w:tc>
        <w:tc>
          <w:tcPr>
            <w:tcW w:type="dxa" w:w="5760"/>
            <w:vAlign w:val="top"/>
          </w:tcPr>
          <w:p>
            <w:r>
              <w:rPr>
                <w:sz w:val="16"/>
              </w:rPr>
              <w:t>TC_TS_METRICS_008_001 to 006</w:t>
            </w:r>
          </w:p>
        </w:tc>
      </w:tr>
    </w:tbl>
    <w:p/>
    <w:p>
      <w:pPr>
        <w:pStyle w:val="Heading1"/>
      </w:pPr>
      <w:r>
        <w:t>6. Definition of Done</w:t>
      </w:r>
    </w:p>
    <w:p>
      <w:pPr>
        <w:pStyle w:val="ListBullet"/>
      </w:pPr>
      <w:r>
        <w:t>All acceptance criteria for the selected story pass.</w:t>
      </w:r>
    </w:p>
    <w:p>
      <w:pPr>
        <w:pStyle w:val="ListBullet"/>
      </w:pPr>
      <w:r>
        <w:t>Functional and API tests are implemented where applicable.</w:t>
      </w:r>
    </w:p>
    <w:p>
      <w:pPr>
        <w:pStyle w:val="ListBullet"/>
      </w:pPr>
      <w:r>
        <w:t>Authorization and customer-data isolation are verified.</w:t>
      </w:r>
    </w:p>
    <w:p>
      <w:pPr>
        <w:pStyle w:val="ListBullet"/>
      </w:pPr>
      <w:r>
        <w:t>Metrics values are validated against a trusted backend source.</w:t>
      </w:r>
    </w:p>
    <w:p>
      <w:pPr>
        <w:pStyle w:val="ListBullet"/>
      </w:pPr>
      <w:r>
        <w:t>Zero-data, future-period, and invalid-search scenarios are tested.</w:t>
      </w:r>
    </w:p>
    <w:p>
      <w:pPr>
        <w:pStyle w:val="ListBullet"/>
      </w:pPr>
      <w:r>
        <w:t>UI behavior is verified on supported browsers.</w:t>
      </w:r>
    </w:p>
    <w:p>
      <w:pPr>
        <w:pStyle w:val="ListBullet"/>
      </w:pPr>
      <w:r>
        <w:t>No critical or high-severity defects remain open for the scope.</w:t>
      </w:r>
    </w:p>
    <w:p>
      <w:pPr>
        <w:pStyle w:val="ListBullet"/>
      </w:pPr>
      <w:r>
        <w:t>Requirement-to-test traceability is updated.</w:t>
      </w:r>
    </w:p>
    <w:p>
      <w:pPr>
        <w:pStyle w:val="Heading1"/>
      </w:pPr>
      <w:r>
        <w:t>7. Notes</w:t>
      </w:r>
    </w:p>
    <w:p>
      <w:r>
        <w:t>This document intentionally contains exactly ten user stories. Login requirements are reasonable system prerequisites inferred from the Metrics test precondition and should be validated against the product’s actual authentication design before final approval.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Keepme Login-to-Metrics SRS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