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nsolas" w:hAnsi="Consolas"/>
          <w:color w:val="0B5D6E"/>
          <w:sz w:val="17"/>
        </w:rPr>
        <w:t>SYSTEM ARCHITECTURE  ·  REVERSE-ENGINEERED FROM SOURCE</w:t>
      </w:r>
    </w:p>
    <w:p>
      <w:pPr>
        <w:pStyle w:val="Title"/>
        <w:spacing w:after="200"/>
      </w:pPr>
      <w:r>
        <w:t>Agentic AI Quality Assurance System</w:t>
      </w:r>
    </w:p>
    <w:p>
      <w:pPr>
        <w:pStyle w:val="Lede"/>
      </w:pPr>
      <w:r>
        <w:t>A three-tier platform that turns uploaded project documents into traceable test assets and deterministic Playwright automation — with human approval gates at every irreversible step, live browser-execution telemetry, failure classification and audited reporting.</w:t>
      </w:r>
    </w:p>
    <w:tbl>
      <w:tblPr>
        <w:tblStyle w:val="TableGrid"/>
        <w:tblW w:type="auto" w:w="0"/>
        <w:jc w:val="center"/>
        <w:tblLayout w:type="fixed"/>
        <w:tblLook w:firstColumn="1" w:firstRow="1" w:lastColumn="0" w:lastRow="0" w:noHBand="0" w:noVBand="1" w:val="04A0"/>
        <w:tblLayout w:type="fixed"/>
      </w:tblPr>
      <w:tblGrid>
        <w:gridCol w:w="4706"/>
        <w:gridCol w:w="4706"/>
      </w:tblGrid>
      <w:tr>
        <w:tc>
          <w:tcPr>
            <w:tcW w:type="dxa" w:w="3024"/>
            <w:shd w:val="clear" w:fill="DCE7E9"/>
          </w:tcPr>
          <w:p>
            <w:pPr>
              <w:spacing w:after="40"/>
            </w:pPr>
            <w:r/>
            <w:r>
              <w:rPr>
                <w:b/>
                <w:color w:val="0B5D6E"/>
                <w:sz w:val="16"/>
              </w:rPr>
              <w:t>AT A GLANCE</w:t>
            </w:r>
          </w:p>
        </w:tc>
        <w:tc>
          <w:tcPr>
            <w:tcW w:type="dxa" w:w="5760"/>
            <w:shd w:val="clear" w:fill="DCE7E9"/>
          </w:tcPr>
          <w:p>
            <w:pPr>
              <w:spacing w:after="40"/>
            </w:pPr>
            <w:r/>
            <w:r>
              <w:rPr>
                <w:b/>
                <w:color w:val="0B5D6E"/>
                <w:sz w:val="16"/>
              </w:rPr>
              <w:t>VALUE</w:t>
            </w:r>
          </w:p>
        </w:tc>
      </w:tr>
      <w:tr>
        <w:tc>
          <w:tcPr>
            <w:tcW w:type="dxa" w:w="3024"/>
          </w:tcPr>
          <w:p>
            <w:pPr>
              <w:spacing w:after="40"/>
            </w:pPr>
            <w:r/>
            <w:r>
              <w:rPr>
                <w:sz w:val="18"/>
              </w:rPr>
              <w:t>Tiers</w:t>
            </w:r>
          </w:p>
        </w:tc>
        <w:tc>
          <w:tcPr>
            <w:tcW w:type="dxa" w:w="5760"/>
          </w:tcPr>
          <w:p>
            <w:pPr>
              <w:spacing w:after="40"/>
            </w:pPr>
            <w:r/>
            <w:r>
              <w:rPr>
                <w:sz w:val="18"/>
              </w:rPr>
              <w:t>3 (React · NestJS · FastAPI) plus an engine-embedded pytest runner</w:t>
            </w:r>
          </w:p>
        </w:tc>
      </w:tr>
      <w:tr>
        <w:tc>
          <w:tcPr>
            <w:tcW w:type="dxa" w:w="3024"/>
            <w:shd w:val="clear" w:fill="F2F6F6"/>
          </w:tcPr>
          <w:p>
            <w:pPr>
              <w:spacing w:after="40"/>
            </w:pPr>
            <w:r/>
            <w:r>
              <w:rPr>
                <w:sz w:val="18"/>
              </w:rPr>
              <w:t>Source files read</w:t>
            </w:r>
          </w:p>
        </w:tc>
        <w:tc>
          <w:tcPr>
            <w:tcW w:type="dxa" w:w="5760"/>
            <w:shd w:val="clear" w:fill="F2F6F6"/>
          </w:tcPr>
          <w:p>
            <w:pPr>
              <w:spacing w:after="40"/>
            </w:pPr>
            <w:r/>
            <w:r>
              <w:rPr>
                <w:sz w:val="18"/>
              </w:rPr>
              <w:t>~280</w:t>
            </w:r>
          </w:p>
        </w:tc>
      </w:tr>
      <w:tr>
        <w:tc>
          <w:tcPr>
            <w:tcW w:type="dxa" w:w="3024"/>
          </w:tcPr>
          <w:p>
            <w:pPr>
              <w:spacing w:after="40"/>
            </w:pPr>
            <w:r/>
            <w:r>
              <w:rPr>
                <w:sz w:val="18"/>
              </w:rPr>
              <w:t>Backend</w:t>
            </w:r>
          </w:p>
        </w:tc>
        <w:tc>
          <w:tcPr>
            <w:tcW w:type="dxa" w:w="5760"/>
          </w:tcPr>
          <w:p>
            <w:pPr>
              <w:spacing w:after="40"/>
            </w:pPr>
            <w:r/>
            <w:r>
              <w:rPr>
                <w:sz w:val="18"/>
              </w:rPr>
              <w:t>~12,500 LOC TypeScript · 18 modules · 24 entities</w:t>
            </w:r>
          </w:p>
        </w:tc>
      </w:tr>
      <w:tr>
        <w:tc>
          <w:tcPr>
            <w:tcW w:type="dxa" w:w="3024"/>
            <w:shd w:val="clear" w:fill="F2F6F6"/>
          </w:tcPr>
          <w:p>
            <w:pPr>
              <w:spacing w:after="40"/>
            </w:pPr>
            <w:r/>
            <w:r>
              <w:rPr>
                <w:sz w:val="18"/>
              </w:rPr>
              <w:t>Frontend</w:t>
            </w:r>
          </w:p>
        </w:tc>
        <w:tc>
          <w:tcPr>
            <w:tcW w:type="dxa" w:w="5760"/>
            <w:shd w:val="clear" w:fill="F2F6F6"/>
          </w:tcPr>
          <w:p>
            <w:pPr>
              <w:spacing w:after="40"/>
            </w:pPr>
            <w:r/>
            <w:r>
              <w:rPr>
                <w:sz w:val="18"/>
              </w:rPr>
              <w:t>~10,000 LOC TypeScript/TSX · 19 pages</w:t>
            </w:r>
          </w:p>
        </w:tc>
      </w:tr>
      <w:tr>
        <w:tc>
          <w:tcPr>
            <w:tcW w:type="dxa" w:w="3024"/>
          </w:tcPr>
          <w:p>
            <w:pPr>
              <w:spacing w:after="40"/>
            </w:pPr>
            <w:r/>
            <w:r>
              <w:rPr>
                <w:sz w:val="18"/>
              </w:rPr>
              <w:t>Python (engine, agents, tools, V1)</w:t>
            </w:r>
          </w:p>
        </w:tc>
        <w:tc>
          <w:tcPr>
            <w:tcW w:type="dxa" w:w="5760"/>
          </w:tcPr>
          <w:p>
            <w:pPr>
              <w:spacing w:after="40"/>
            </w:pPr>
            <w:r/>
            <w:r>
              <w:rPr>
                <w:sz w:val="18"/>
              </w:rPr>
              <w:t>~9,000 LOC · 6 LLM agents</w:t>
            </w:r>
          </w:p>
        </w:tc>
      </w:tr>
      <w:tr>
        <w:tc>
          <w:tcPr>
            <w:tcW w:type="dxa" w:w="3024"/>
            <w:shd w:val="clear" w:fill="F2F6F6"/>
          </w:tcPr>
          <w:p>
            <w:pPr>
              <w:spacing w:after="40"/>
            </w:pPr>
            <w:r/>
            <w:r>
              <w:rPr>
                <w:sz w:val="18"/>
              </w:rPr>
              <w:t>Branch / HEAD</w:t>
            </w:r>
          </w:p>
        </w:tc>
        <w:tc>
          <w:tcPr>
            <w:tcW w:type="dxa" w:w="5760"/>
            <w:shd w:val="clear" w:fill="F2F6F6"/>
          </w:tcPr>
          <w:p>
            <w:pPr>
              <w:spacing w:after="40"/>
            </w:pPr>
            <w:r/>
            <w:r>
              <w:rPr>
                <w:rStyle w:val="CodeChar"/>
                <w:sz w:val="15"/>
              </w:rPr>
              <w:t>feature/ai-qa-agent-v3</w:t>
            </w:r>
            <w:r>
              <w:rPr>
                <w:sz w:val="18"/>
              </w:rPr>
              <w:t xml:space="preserve"> at </w:t>
            </w:r>
            <w:r>
              <w:rPr>
                <w:rStyle w:val="CodeChar"/>
                <w:sz w:val="15"/>
              </w:rPr>
              <w:t>a8ceed47</w:t>
            </w:r>
          </w:p>
        </w:tc>
      </w:tr>
    </w:tbl>
    <w:p>
      <w:pPr>
        <w:spacing w:after="80"/>
      </w:pPr>
    </w:p>
    <w:p>
      <w:pPr>
        <w:pStyle w:val="Heading2"/>
      </w:pPr>
      <w:r>
        <w:t>Contents</w:t>
      </w:r>
    </w:p>
    <w:p>
      <w:r>
        <w:fldChar w:fldCharType="begin"/>
        <w:instrText xml:space="preserve">TOC \o "1-2" \h \z \u</w:instrText>
        <w:fldChar w:fldCharType="separate"/>
        <w:t>Right-click here and choose Update Field to build the table of contents.</w:t>
        <w:fldChar w:fldCharType="end"/>
      </w:r>
    </w:p>
    <w:p>
      <w:r>
        <w:br w:type="page"/>
      </w:r>
    </w:p>
    <w:p>
      <w:pPr>
        <w:pStyle w:val="Heading1"/>
      </w:pPr>
      <w:r>
        <w:rPr>
          <w:rFonts w:ascii="Consolas" w:hAnsi="Consolas"/>
          <w:color w:val="0B5D6E"/>
          <w:sz w:val="26"/>
        </w:rPr>
        <w:t xml:space="preserve">01   </w:t>
      </w:r>
      <w:r>
        <w:rPr>
          <w:rFonts w:ascii="Cambria" w:hAnsi="Cambria"/>
          <w:color w:val="0E1618"/>
          <w:sz w:val="38"/>
        </w:rPr>
        <w:t>System context</w:t>
      </w:r>
    </w:p>
    <w:p>
      <w:pPr>
        <w:pStyle w:val="Lede"/>
      </w:pPr>
      <w:r>
        <w:t>What the system is, and the single invariant every layer is built around.</w:t>
      </w:r>
    </w:p>
    <w:tbl>
      <w:tblPr>
        <w:tblStyle w:val="TableGrid"/>
        <w:tblW w:type="auto" w:w="0"/>
        <w:tblLook w:firstColumn="1" w:firstRow="1" w:lastColumn="0" w:lastRow="0" w:noHBand="0" w:noVBand="1" w:val="04A0"/>
      </w:tblPr>
      <w:tblGrid>
        <w:gridCol w:w="9412"/>
      </w:tblGrid>
      <w:tr>
        <w:tc>
          <w:tcPr>
            <w:tcW w:type="dxa" w:w="9412"/>
            <w:shd w:val="clear" w:fill="EDF4F5"/>
          </w:tcPr>
          <w:p>
            <w:r/>
            <w:r>
              <w:rPr>
                <w:b/>
                <w:color w:val="0B5D6E"/>
                <w:sz w:val="17"/>
              </w:rPr>
              <w:t>CORE PRINCIPLE</w:t>
            </w:r>
          </w:p>
          <w:p>
            <w:pPr>
              <w:spacing w:before="80"/>
            </w:pPr>
            <w:r>
              <w:rPr>
                <w:b/>
                <w:sz w:val="19"/>
              </w:rPr>
              <w:t>AI proposes; deterministic tools validate and execute.</w:t>
            </w:r>
          </w:p>
          <w:p>
            <w:pPr>
              <w:spacing w:before="80"/>
            </w:pPr>
            <w:r>
              <w:rPr>
                <w:sz w:val="19"/>
              </w:rPr>
              <w:t>Generated code is untrusted until syntax, policy and collection checks pass. No commit, CI dispatch or test execution happens without an explicit, recorded human approval.</w:t>
            </w:r>
          </w:p>
        </w:tc>
      </w:tr>
    </w:tbl>
    <w:p>
      <w:pPr>
        <w:spacing w:after="80"/>
      </w:pPr>
    </w:p>
    <w:p>
      <w:r>
        <w:t>A user uploads requirement documents (Word, PDF, Excel, text, Markdown, JSON). A local LLM analyses each requirement, drafts a test plan, generates structured test cases, then emits Playwright/pytest source. Deterministic tooling statically gates that source. A human approves it. Only then does it run in a real browser, streaming every navigate/click/fill/assert back to the UI as it happens. Failures are classified, evidence is collected, and a report is produced with measured metrics separated from AI narrative.</w:t>
      </w:r>
    </w:p>
    <w:tbl>
      <w:tblPr>
        <w:tblStyle w:val="TableGrid"/>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1656"/>
            <w:shd w:val="clear" w:fill="DCE7E9"/>
          </w:tcPr>
          <w:p>
            <w:pPr>
              <w:spacing w:after="40"/>
            </w:pPr>
            <w:r/>
            <w:r>
              <w:rPr>
                <w:b/>
                <w:color w:val="0B5D6E"/>
                <w:sz w:val="16"/>
              </w:rPr>
              <w:t>TIER</w:t>
            </w:r>
          </w:p>
        </w:tc>
        <w:tc>
          <w:tcPr>
            <w:tcW w:type="dxa" w:w="2304"/>
            <w:shd w:val="clear" w:fill="DCE7E9"/>
          </w:tcPr>
          <w:p>
            <w:pPr>
              <w:spacing w:after="40"/>
            </w:pPr>
            <w:r/>
            <w:r>
              <w:rPr>
                <w:b/>
                <w:color w:val="0B5D6E"/>
                <w:sz w:val="16"/>
              </w:rPr>
              <w:t>TECHNOLOGY</w:t>
            </w:r>
          </w:p>
        </w:tc>
        <w:tc>
          <w:tcPr>
            <w:tcW w:type="dxa" w:w="4104"/>
            <w:shd w:val="clear" w:fill="DCE7E9"/>
          </w:tcPr>
          <w:p>
            <w:pPr>
              <w:spacing w:after="40"/>
            </w:pPr>
            <w:r/>
            <w:r>
              <w:rPr>
                <w:b/>
                <w:color w:val="0B5D6E"/>
                <w:sz w:val="16"/>
              </w:rPr>
              <w:t>RESPONSIBILITY</w:t>
            </w:r>
          </w:p>
        </w:tc>
        <w:tc>
          <w:tcPr>
            <w:tcW w:type="dxa" w:w="720"/>
            <w:shd w:val="clear" w:fill="DCE7E9"/>
          </w:tcPr>
          <w:p>
            <w:pPr>
              <w:spacing w:after="40"/>
            </w:pPr>
            <w:r/>
            <w:r>
              <w:rPr>
                <w:b/>
                <w:color w:val="0B5D6E"/>
                <w:sz w:val="16"/>
              </w:rPr>
              <w:t>PORT</w:t>
            </w:r>
          </w:p>
        </w:tc>
      </w:tr>
      <w:tr>
        <w:tc>
          <w:tcPr>
            <w:tcW w:type="dxa" w:w="1656"/>
          </w:tcPr>
          <w:p>
            <w:pPr>
              <w:spacing w:after="40"/>
            </w:pPr>
            <w:r/>
            <w:r>
              <w:rPr>
                <w:b/>
                <w:sz w:val="18"/>
              </w:rPr>
              <w:t>Frontend</w:t>
            </w:r>
            <w:r>
              <w:rPr>
                <w:sz w:val="18"/>
              </w:rPr>
              <w:br/>
            </w:r>
            <w:r>
              <w:rPr>
                <w:rStyle w:val="CodeChar"/>
                <w:sz w:val="15"/>
              </w:rPr>
              <w:t>frontend/</w:t>
            </w:r>
          </w:p>
        </w:tc>
        <w:tc>
          <w:tcPr>
            <w:tcW w:type="dxa" w:w="2304"/>
          </w:tcPr>
          <w:p>
            <w:pPr>
              <w:spacing w:after="40"/>
            </w:pPr>
            <w:r/>
            <w:r>
              <w:rPr>
                <w:sz w:val="18"/>
              </w:rPr>
              <w:t>React 18, Vite 7, TypeScript, TanStack Query, socket.io-client</w:t>
            </w:r>
          </w:p>
        </w:tc>
        <w:tc>
          <w:tcPr>
            <w:tcW w:type="dxa" w:w="4104"/>
          </w:tcPr>
          <w:p>
            <w:pPr>
              <w:spacing w:after="40"/>
            </w:pPr>
            <w:r/>
            <w:r>
              <w:rPr>
                <w:sz w:val="18"/>
              </w:rPr>
              <w:t>Upload and source preview, plan/case review, code editor and diff, approval inbox, live execution console, reports, audit</w:t>
            </w:r>
          </w:p>
        </w:tc>
        <w:tc>
          <w:tcPr>
            <w:tcW w:type="dxa" w:w="720"/>
          </w:tcPr>
          <w:p>
            <w:pPr>
              <w:spacing w:after="40"/>
            </w:pPr>
            <w:r/>
            <w:r>
              <w:rPr>
                <w:sz w:val="18"/>
              </w:rPr>
              <w:t>5173</w:t>
            </w:r>
          </w:p>
        </w:tc>
      </w:tr>
      <w:tr>
        <w:tc>
          <w:tcPr>
            <w:tcW w:type="dxa" w:w="1656"/>
            <w:shd w:val="clear" w:fill="F2F6F6"/>
          </w:tcPr>
          <w:p>
            <w:pPr>
              <w:spacing w:after="40"/>
            </w:pPr>
            <w:r/>
            <w:r>
              <w:rPr>
                <w:b/>
                <w:sz w:val="18"/>
              </w:rPr>
              <w:t>Backend</w:t>
            </w:r>
            <w:r>
              <w:rPr>
                <w:sz w:val="18"/>
              </w:rPr>
              <w:br/>
            </w:r>
            <w:r>
              <w:rPr>
                <w:rStyle w:val="CodeChar"/>
                <w:sz w:val="15"/>
              </w:rPr>
              <w:t>backend/</w:t>
            </w:r>
          </w:p>
        </w:tc>
        <w:tc>
          <w:tcPr>
            <w:tcW w:type="dxa" w:w="2304"/>
            <w:shd w:val="clear" w:fill="F2F6F6"/>
          </w:tcPr>
          <w:p>
            <w:pPr>
              <w:spacing w:after="40"/>
            </w:pPr>
            <w:r/>
            <w:r>
              <w:rPr>
                <w:sz w:val="18"/>
              </w:rPr>
              <w:t>NestJS 10, TypeORM, Passport-JWT, socket.io</w:t>
            </w:r>
          </w:p>
        </w:tc>
        <w:tc>
          <w:tcPr>
            <w:tcW w:type="dxa" w:w="4104"/>
            <w:shd w:val="clear" w:fill="F2F6F6"/>
          </w:tcPr>
          <w:p>
            <w:pPr>
              <w:spacing w:after="40"/>
            </w:pPr>
            <w:r/>
            <w:r>
              <w:rPr>
                <w:sz w:val="18"/>
              </w:rPr>
              <w:t>System of record. Auth and RBAC, projects, documents, artefacts, approvals, jobs, executions, git/CI, WebSocket fan-out, audit trail</w:t>
            </w:r>
          </w:p>
        </w:tc>
        <w:tc>
          <w:tcPr>
            <w:tcW w:type="dxa" w:w="720"/>
            <w:shd w:val="clear" w:fill="F2F6F6"/>
          </w:tcPr>
          <w:p>
            <w:pPr>
              <w:spacing w:after="40"/>
            </w:pPr>
            <w:r/>
            <w:r>
              <w:rPr>
                <w:sz w:val="18"/>
              </w:rPr>
              <w:t>4000</w:t>
            </w:r>
          </w:p>
        </w:tc>
      </w:tr>
      <w:tr>
        <w:tc>
          <w:tcPr>
            <w:tcW w:type="dxa" w:w="1656"/>
          </w:tcPr>
          <w:p>
            <w:pPr>
              <w:spacing w:after="40"/>
            </w:pPr>
            <w:r/>
            <w:r>
              <w:rPr>
                <w:b/>
                <w:sz w:val="18"/>
              </w:rPr>
              <w:t>Engine</w:t>
            </w:r>
            <w:r>
              <w:rPr>
                <w:sz w:val="18"/>
              </w:rPr>
              <w:br/>
            </w:r>
            <w:r>
              <w:rPr>
                <w:rStyle w:val="CodeChar"/>
                <w:sz w:val="15"/>
              </w:rPr>
              <w:t>engine/</w:t>
            </w:r>
          </w:p>
        </w:tc>
        <w:tc>
          <w:tcPr>
            <w:tcW w:type="dxa" w:w="2304"/>
          </w:tcPr>
          <w:p>
            <w:pPr>
              <w:spacing w:after="40"/>
            </w:pPr>
            <w:r/>
            <w:r>
              <w:rPr>
                <w:sz w:val="18"/>
              </w:rPr>
              <w:t>Python 3.12, FastAPI, LangChain + ChatOllama, Playwright, pytest</w:t>
            </w:r>
          </w:p>
        </w:tc>
        <w:tc>
          <w:tcPr>
            <w:tcW w:type="dxa" w:w="4104"/>
          </w:tcPr>
          <w:p>
            <w:pPr>
              <w:spacing w:after="40"/>
            </w:pPr>
            <w:r/>
            <w:r>
              <w:rPr>
                <w:sz w:val="18"/>
              </w:rPr>
              <w:t>Compute only. Document parsing, six LLM agents, static validation, Playwright execution with step telemetry, classification, report rendering</w:t>
            </w:r>
          </w:p>
        </w:tc>
        <w:tc>
          <w:tcPr>
            <w:tcW w:type="dxa" w:w="720"/>
          </w:tcPr>
          <w:p>
            <w:pPr>
              <w:spacing w:after="40"/>
            </w:pPr>
            <w:r/>
            <w:r>
              <w:rPr>
                <w:sz w:val="18"/>
              </w:rPr>
              <w:t>8100</w:t>
            </w:r>
          </w:p>
        </w:tc>
      </w:tr>
      <w:tr>
        <w:tc>
          <w:tcPr>
            <w:tcW w:type="dxa" w:w="1656"/>
            <w:shd w:val="clear" w:fill="F2F6F6"/>
          </w:tcPr>
          <w:p>
            <w:pPr>
              <w:spacing w:after="40"/>
            </w:pPr>
            <w:r/>
            <w:r>
              <w:rPr>
                <w:b/>
                <w:sz w:val="18"/>
              </w:rPr>
              <w:t>Database</w:t>
            </w:r>
          </w:p>
        </w:tc>
        <w:tc>
          <w:tcPr>
            <w:tcW w:type="dxa" w:w="2304"/>
            <w:shd w:val="clear" w:fill="F2F6F6"/>
          </w:tcPr>
          <w:p>
            <w:pPr>
              <w:spacing w:after="40"/>
            </w:pPr>
            <w:r/>
            <w:r>
              <w:rPr>
                <w:sz w:val="18"/>
              </w:rPr>
              <w:t>PostgreSQL 16 (SQLite dev fallback)</w:t>
            </w:r>
          </w:p>
        </w:tc>
        <w:tc>
          <w:tcPr>
            <w:tcW w:type="dxa" w:w="4104"/>
            <w:shd w:val="clear" w:fill="F2F6F6"/>
          </w:tcPr>
          <w:p>
            <w:pPr>
              <w:spacing w:after="40"/>
            </w:pPr>
            <w:r/>
            <w:r>
              <w:rPr>
                <w:sz w:val="18"/>
              </w:rPr>
              <w:t>24 TypeORM entities — projects through audit events</w:t>
            </w:r>
          </w:p>
        </w:tc>
        <w:tc>
          <w:tcPr>
            <w:tcW w:type="dxa" w:w="720"/>
            <w:shd w:val="clear" w:fill="F2F6F6"/>
          </w:tcPr>
          <w:p>
            <w:pPr>
              <w:spacing w:after="40"/>
            </w:pPr>
            <w:r/>
            <w:r>
              <w:rPr>
                <w:sz w:val="18"/>
              </w:rPr>
              <w:t>5432</w:t>
            </w:r>
          </w:p>
        </w:tc>
      </w:tr>
      <w:tr>
        <w:tc>
          <w:tcPr>
            <w:tcW w:type="dxa" w:w="1656"/>
          </w:tcPr>
          <w:p>
            <w:pPr>
              <w:spacing w:after="40"/>
            </w:pPr>
            <w:r/>
            <w:r>
              <w:rPr>
                <w:b/>
                <w:sz w:val="18"/>
              </w:rPr>
              <w:t>Model host</w:t>
            </w:r>
          </w:p>
        </w:tc>
        <w:tc>
          <w:tcPr>
            <w:tcW w:type="dxa" w:w="2304"/>
          </w:tcPr>
          <w:p>
            <w:pPr>
              <w:spacing w:after="40"/>
            </w:pPr>
            <w:r/>
            <w:r>
              <w:rPr>
                <w:sz w:val="18"/>
              </w:rPr>
              <w:t>Ollama (</w:t>
            </w:r>
            <w:r>
              <w:rPr>
                <w:rStyle w:val="CodeChar"/>
                <w:sz w:val="15"/>
              </w:rPr>
              <w:t>qwen2.5:latest</w:t>
            </w:r>
            <w:r>
              <w:rPr>
                <w:sz w:val="18"/>
              </w:rPr>
              <w:t>)</w:t>
            </w:r>
          </w:p>
        </w:tc>
        <w:tc>
          <w:tcPr>
            <w:tcW w:type="dxa" w:w="4104"/>
          </w:tcPr>
          <w:p>
            <w:pPr>
              <w:spacing w:after="40"/>
            </w:pPr>
            <w:r/>
            <w:r>
              <w:rPr>
                <w:sz w:val="18"/>
              </w:rPr>
              <w:t>Local inference — never leaves the host, never reached by the browser</w:t>
            </w:r>
          </w:p>
        </w:tc>
        <w:tc>
          <w:tcPr>
            <w:tcW w:type="dxa" w:w="720"/>
          </w:tcPr>
          <w:p>
            <w:pPr>
              <w:spacing w:after="40"/>
            </w:pPr>
            <w:r/>
            <w:r>
              <w:rPr>
                <w:sz w:val="18"/>
              </w:rPr>
              <w:t>11434</w:t>
            </w:r>
          </w:p>
        </w:tc>
      </w:tr>
    </w:tbl>
    <w:p>
      <w:pPr>
        <w:spacing w:after="80"/>
      </w:pPr>
    </w:p>
    <w:p>
      <w:r>
        <w:t xml:space="preserve">The separation is strict and load-bearing: </w:t>
      </w:r>
      <w:r>
        <w:rPr>
          <w:b/>
        </w:rPr>
        <w:t>the engine never owns state</w:t>
      </w:r>
      <w:r>
        <w:t>. It receives inputs, returns versioned JSON, and streams events. Every artefact, decision and audit record lives in the backend's database. The engine's filesystem is a disposable runtime workspace.</w:t>
      </w:r>
    </w:p>
    <w:p>
      <w:pPr>
        <w:pStyle w:val="Heading1"/>
      </w:pPr>
      <w:r>
        <w:rPr>
          <w:rFonts w:ascii="Consolas" w:hAnsi="Consolas"/>
          <w:color w:val="0B5D6E"/>
          <w:sz w:val="26"/>
        </w:rPr>
        <w:t xml:space="preserve">02   </w:t>
      </w:r>
      <w:r>
        <w:rPr>
          <w:rFonts w:ascii="Cambria" w:hAnsi="Cambria"/>
          <w:color w:val="0E1618"/>
          <w:sz w:val="38"/>
        </w:rPr>
        <w:t>Container architecture</w:t>
      </w:r>
    </w:p>
    <w:p>
      <w:pPr>
        <w:pStyle w:val="Lede"/>
      </w:pPr>
      <w:r>
        <w:t>Four processes, three protocols, one direction of trust. The browser never sees the engine token, the GitHub token, or the model.</w:t>
      </w:r>
    </w:p>
    <w:p>
      <w:pPr>
        <w:sectPr>
          <w:pgSz w:w="11906" w:h="16838"/>
          <w:pgMar w:top="1134" w:right="1247" w:bottom="1134" w:left="1247" w:header="720" w:footer="720" w:gutter="0"/>
          <w:cols w:space="720"/>
          <w:docGrid w:linePitch="360"/>
        </w:sectPr>
      </w:pPr>
    </w:p>
    <w:p>
      <w:pPr>
        <w:keepNext/>
        <w:spacing w:before="120" w:after="0"/>
        <w:jc w:val="center"/>
      </w:pPr>
      <w:r>
        <w:drawing>
          <wp:inline xmlns:a="http://schemas.openxmlformats.org/drawingml/2006/main" xmlns:pic="http://schemas.openxmlformats.org/drawingml/2006/picture">
            <wp:extent cx="8778240" cy="2687021"/>
            <wp:docPr id="1" name="Picture 1"/>
            <wp:cNvGraphicFramePr>
              <a:graphicFrameLocks noChangeAspect="1"/>
            </wp:cNvGraphicFramePr>
            <a:graphic>
              <a:graphicData uri="http://schemas.openxmlformats.org/drawingml/2006/picture">
                <pic:pic>
                  <pic:nvPicPr>
                    <pic:cNvPr id="0" name="01-containers.png"/>
                    <pic:cNvPicPr/>
                  </pic:nvPicPr>
                  <pic:blipFill>
                    <a:blip r:embed="rId9"/>
                    <a:stretch>
                      <a:fillRect/>
                    </a:stretch>
                  </pic:blipFill>
                  <pic:spPr>
                    <a:xfrm>
                      <a:off x="0" y="0"/>
                      <a:ext cx="8778240" cy="2687021"/>
                    </a:xfrm>
                    <a:prstGeom prst="rect"/>
                  </pic:spPr>
                </pic:pic>
              </a:graphicData>
            </a:graphic>
          </wp:inline>
        </w:drawing>
      </w:r>
    </w:p>
    <w:p>
      <w:pPr>
        <w:pStyle w:val="Caption"/>
      </w:pPr>
      <w:r>
        <w:t>Figure 1 — Container architecture. The browser holds only a 15-minute access token; ENGINE_TOKEN and GITHUB_TOKEN exist server-side only. The engine is reachable exclusively from the backend, which authenticates with a constant-time token comparison.</w:t>
      </w:r>
    </w:p>
    <w:p>
      <w:pPr>
        <w:sectPr>
          <w:pgSz w:w="16838" w:h="11906" w:orient="landscape"/>
          <w:pgMar w:top="1020" w:right="1134" w:bottom="1020" w:left="1134" w:header="720" w:footer="720" w:gutter="0"/>
          <w:cols w:space="720"/>
          <w:docGrid w:linePitch="360"/>
        </w:sectPr>
      </w:pPr>
    </w:p>
    <w:p>
      <w:pPr>
        <w:pStyle w:val="Heading2"/>
      </w:pPr>
      <w:r>
        <w:t>Protocols between tiers</w:t>
      </w:r>
    </w:p>
    <w:tbl>
      <w:tblPr>
        <w:tblStyle w:val="TableGrid"/>
        <w:tblW w:type="auto" w:w="0"/>
        <w:jc w:val="center"/>
        <w:tblLayout w:type="fixed"/>
        <w:tblLook w:firstColumn="1" w:firstRow="1" w:lastColumn="0" w:lastRow="0" w:noHBand="0" w:noVBand="1" w:val="04A0"/>
        <w:tblLayout w:type="fixed"/>
      </w:tblPr>
      <w:tblGrid>
        <w:gridCol w:w="4706"/>
        <w:gridCol w:w="4706"/>
      </w:tblGrid>
      <w:tr>
        <w:tc>
          <w:tcPr>
            <w:tcW w:type="dxa" w:w="2160"/>
            <w:shd w:val="clear" w:fill="DCE7E9"/>
          </w:tcPr>
          <w:p>
            <w:pPr>
              <w:spacing w:after="40"/>
            </w:pPr>
            <w:r/>
            <w:r>
              <w:rPr>
                <w:b/>
                <w:color w:val="0B5D6E"/>
                <w:sz w:val="16"/>
              </w:rPr>
              <w:t>HOP</w:t>
            </w:r>
          </w:p>
        </w:tc>
        <w:tc>
          <w:tcPr>
            <w:tcW w:type="dxa" w:w="6624"/>
            <w:shd w:val="clear" w:fill="DCE7E9"/>
          </w:tcPr>
          <w:p>
            <w:pPr>
              <w:spacing w:after="40"/>
            </w:pPr>
            <w:r/>
            <w:r>
              <w:rPr>
                <w:b/>
                <w:color w:val="0B5D6E"/>
                <w:sz w:val="16"/>
              </w:rPr>
              <w:t>MECHANISM</w:t>
            </w:r>
          </w:p>
        </w:tc>
      </w:tr>
      <w:tr>
        <w:tc>
          <w:tcPr>
            <w:tcW w:type="dxa" w:w="2160"/>
          </w:tcPr>
          <w:p>
            <w:pPr>
              <w:spacing w:after="40"/>
            </w:pPr>
            <w:r/>
            <w:r>
              <w:rPr>
                <w:sz w:val="18"/>
              </w:rPr>
              <w:t>Browser → Backend</w:t>
            </w:r>
          </w:p>
        </w:tc>
        <w:tc>
          <w:tcPr>
            <w:tcW w:type="dxa" w:w="6624"/>
          </w:tcPr>
          <w:p>
            <w:pPr>
              <w:spacing w:after="40"/>
            </w:pPr>
            <w:r/>
            <w:r>
              <w:rPr>
                <w:sz w:val="18"/>
              </w:rPr>
              <w:t xml:space="preserve">REST over </w:t>
            </w:r>
            <w:r>
              <w:rPr>
                <w:rStyle w:val="CodeChar"/>
                <w:sz w:val="15"/>
              </w:rPr>
              <w:t>/api/v2</w:t>
            </w:r>
            <w:r>
              <w:rPr>
                <w:sz w:val="18"/>
              </w:rPr>
              <w:t xml:space="preserve">, Bearer JWT, per-request </w:t>
            </w:r>
            <w:r>
              <w:rPr>
                <w:rStyle w:val="CodeChar"/>
                <w:sz w:val="15"/>
              </w:rPr>
              <w:t>x-correlation-id</w:t>
            </w:r>
            <w:r>
              <w:rPr>
                <w:sz w:val="18"/>
              </w:rPr>
              <w:t>. A 401 triggers a single-flight refresh and replays the original request.</w:t>
            </w:r>
          </w:p>
        </w:tc>
      </w:tr>
      <w:tr>
        <w:tc>
          <w:tcPr>
            <w:tcW w:type="dxa" w:w="2160"/>
            <w:shd w:val="clear" w:fill="F2F6F6"/>
          </w:tcPr>
          <w:p>
            <w:pPr>
              <w:spacing w:after="40"/>
            </w:pPr>
            <w:r/>
            <w:r>
              <w:rPr>
                <w:sz w:val="18"/>
              </w:rPr>
              <w:t>Backend → Browser</w:t>
            </w:r>
          </w:p>
        </w:tc>
        <w:tc>
          <w:tcPr>
            <w:tcW w:type="dxa" w:w="6624"/>
            <w:shd w:val="clear" w:fill="F2F6F6"/>
          </w:tcPr>
          <w:p>
            <w:pPr>
              <w:spacing w:after="40"/>
            </w:pPr>
            <w:r/>
            <w:r>
              <w:rPr>
                <w:sz w:val="18"/>
              </w:rPr>
              <w:t xml:space="preserve">socket.io on </w:t>
            </w:r>
            <w:r>
              <w:rPr>
                <w:rStyle w:val="CodeChar"/>
                <w:sz w:val="15"/>
              </w:rPr>
              <w:t>/api/v2/events</w:t>
            </w:r>
            <w:r>
              <w:rPr>
                <w:sz w:val="18"/>
              </w:rPr>
              <w:t xml:space="preserve">. Envelopes carry a monotonic </w:t>
            </w:r>
            <w:r>
              <w:rPr>
                <w:rStyle w:val="CodeChar"/>
                <w:sz w:val="15"/>
              </w:rPr>
              <w:t>seq</w:t>
            </w:r>
            <w:r>
              <w:rPr>
                <w:sz w:val="18"/>
              </w:rPr>
              <w:t xml:space="preserve"> per stream so a reconnect resumes from </w:t>
            </w:r>
            <w:r>
              <w:rPr>
                <w:rStyle w:val="CodeChar"/>
                <w:sz w:val="15"/>
              </w:rPr>
              <w:t>lastSeq</w:t>
            </w:r>
            <w:r>
              <w:rPr>
                <w:sz w:val="18"/>
              </w:rPr>
              <w:t>.</w:t>
            </w:r>
          </w:p>
        </w:tc>
      </w:tr>
      <w:tr>
        <w:tc>
          <w:tcPr>
            <w:tcW w:type="dxa" w:w="2160"/>
          </w:tcPr>
          <w:p>
            <w:pPr>
              <w:spacing w:after="40"/>
            </w:pPr>
            <w:r/>
            <w:r>
              <w:rPr>
                <w:sz w:val="18"/>
              </w:rPr>
              <w:t>Backend → Engine</w:t>
            </w:r>
          </w:p>
        </w:tc>
        <w:tc>
          <w:tcPr>
            <w:tcW w:type="dxa" w:w="6624"/>
          </w:tcPr>
          <w:p>
            <w:pPr>
              <w:spacing w:after="40"/>
            </w:pPr>
            <w:r/>
            <w:r>
              <w:rPr>
                <w:sz w:val="18"/>
              </w:rPr>
              <w:t xml:space="preserve">HTTP with </w:t>
            </w:r>
            <w:r>
              <w:rPr>
                <w:rStyle w:val="CodeChar"/>
                <w:sz w:val="15"/>
              </w:rPr>
              <w:t>X-Engine-Token</w:t>
            </w:r>
            <w:r>
              <w:rPr>
                <w:sz w:val="18"/>
              </w:rPr>
              <w:t xml:space="preserve"> and </w:t>
            </w:r>
            <w:r>
              <w:rPr>
                <w:rStyle w:val="CodeChar"/>
                <w:sz w:val="15"/>
              </w:rPr>
              <w:t>Idempotency-Key</w:t>
            </w:r>
            <w:r>
              <w:rPr>
                <w:sz w:val="18"/>
              </w:rPr>
              <w:t xml:space="preserve"> on job submits; bounded exponential backoff on 502/503/504.</w:t>
            </w:r>
          </w:p>
        </w:tc>
      </w:tr>
      <w:tr>
        <w:tc>
          <w:tcPr>
            <w:tcW w:type="dxa" w:w="2160"/>
            <w:shd w:val="clear" w:fill="F2F6F6"/>
          </w:tcPr>
          <w:p>
            <w:pPr>
              <w:spacing w:after="40"/>
            </w:pPr>
            <w:r/>
            <w:r>
              <w:rPr>
                <w:sz w:val="18"/>
              </w:rPr>
              <w:t>Engine → Backend</w:t>
            </w:r>
          </w:p>
        </w:tc>
        <w:tc>
          <w:tcPr>
            <w:tcW w:type="dxa" w:w="6624"/>
            <w:shd w:val="clear" w:fill="F2F6F6"/>
          </w:tcPr>
          <w:p>
            <w:pPr>
              <w:spacing w:after="40"/>
            </w:pPr>
            <w:r/>
            <w:r>
              <w:rPr>
                <w:sz w:val="18"/>
              </w:rPr>
              <w:t xml:space="preserve">Server-Sent Events on </w:t>
            </w:r>
            <w:r>
              <w:rPr>
                <w:rStyle w:val="CodeChar"/>
                <w:sz w:val="15"/>
              </w:rPr>
              <w:t>/runs/{id}/events</w:t>
            </w:r>
            <w:r>
              <w:rPr>
                <w:sz w:val="18"/>
              </w:rPr>
              <w:t xml:space="preserve">, replayable from </w:t>
            </w:r>
            <w:r>
              <w:rPr>
                <w:rStyle w:val="CodeChar"/>
                <w:sz w:val="15"/>
              </w:rPr>
              <w:t>from_seq</w:t>
            </w:r>
            <w:r>
              <w:rPr>
                <w:sz w:val="18"/>
              </w:rPr>
              <w:t xml:space="preserve"> even after the run has finished.</w:t>
            </w:r>
          </w:p>
        </w:tc>
      </w:tr>
      <w:tr>
        <w:tc>
          <w:tcPr>
            <w:tcW w:type="dxa" w:w="2160"/>
          </w:tcPr>
          <w:p>
            <w:pPr>
              <w:spacing w:after="40"/>
            </w:pPr>
            <w:r/>
            <w:r>
              <w:rPr>
                <w:sz w:val="18"/>
              </w:rPr>
              <w:t>pytest → Engine</w:t>
            </w:r>
          </w:p>
        </w:tc>
        <w:tc>
          <w:tcPr>
            <w:tcW w:type="dxa" w:w="6624"/>
          </w:tcPr>
          <w:p>
            <w:pPr>
              <w:spacing w:after="40"/>
            </w:pPr>
            <w:r/>
            <w:r>
              <w:rPr>
                <w:sz w:val="18"/>
              </w:rPr>
              <w:t>Page objects POST step events to a loopback ingest endpoint via a daemon sender thread — never blocking the browser dispatch path.</w:t>
            </w:r>
          </w:p>
        </w:tc>
      </w:tr>
      <w:tr>
        <w:tc>
          <w:tcPr>
            <w:tcW w:type="dxa" w:w="2160"/>
            <w:shd w:val="clear" w:fill="F2F6F6"/>
          </w:tcPr>
          <w:p>
            <w:pPr>
              <w:spacing w:after="40"/>
            </w:pPr>
            <w:r/>
            <w:r>
              <w:rPr>
                <w:sz w:val="18"/>
              </w:rPr>
              <w:t>Agents → Ollama</w:t>
            </w:r>
          </w:p>
        </w:tc>
        <w:tc>
          <w:tcPr>
            <w:tcW w:type="dxa" w:w="6624"/>
            <w:shd w:val="clear" w:fill="F2F6F6"/>
          </w:tcPr>
          <w:p>
            <w:pPr>
              <w:spacing w:after="40"/>
            </w:pPr>
            <w:r/>
            <w:r>
              <w:rPr>
                <w:sz w:val="18"/>
              </w:rPr>
              <w:t xml:space="preserve">LangChain </w:t>
            </w:r>
            <w:r>
              <w:rPr>
                <w:rStyle w:val="CodeChar"/>
                <w:sz w:val="15"/>
              </w:rPr>
              <w:t>ChatOllama</w:t>
            </w:r>
            <w:r>
              <w:rPr>
                <w:sz w:val="18"/>
              </w:rPr>
              <w:t xml:space="preserve"> with </w:t>
            </w:r>
            <w:r>
              <w:rPr>
                <w:rStyle w:val="CodeChar"/>
                <w:sz w:val="15"/>
              </w:rPr>
              <w:t>with_structured_output(...)</w:t>
            </w:r>
            <w:r>
              <w:rPr>
                <w:sz w:val="18"/>
              </w:rPr>
              <w:t>. No agent ever parses free text.</w:t>
            </w:r>
          </w:p>
        </w:tc>
      </w:tr>
    </w:tbl>
    <w:p>
      <w:pPr>
        <w:spacing w:after="80"/>
      </w:pPr>
    </w:p>
    <w:p>
      <w:pPr>
        <w:pStyle w:val="Heading1"/>
      </w:pPr>
      <w:r>
        <w:rPr>
          <w:rFonts w:ascii="Consolas" w:hAnsi="Consolas"/>
          <w:color w:val="0B5D6E"/>
          <w:sz w:val="26"/>
        </w:rPr>
        <w:t xml:space="preserve">03   </w:t>
      </w:r>
      <w:r>
        <w:rPr>
          <w:rFonts w:ascii="Cambria" w:hAnsi="Cambria"/>
          <w:color w:val="0E1618"/>
          <w:sz w:val="38"/>
        </w:rPr>
        <w:t>The pipeline and approval gates</w:t>
      </w:r>
    </w:p>
    <w:p>
      <w:pPr>
        <w:pStyle w:val="Lede"/>
      </w:pPr>
      <w:r>
        <w:t>Nine stages from uploaded document to published report. Shaded nodes mark the points where the workflow stops and a human decides.</w:t>
      </w:r>
    </w:p>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4706"/>
        <w:gridCol w:w="4706"/>
      </w:tblGrid>
      <w:tr>
        <w:tc>
          <w:tcPr>
            <w:tcW w:type="dxa" w:w="4706"/>
          </w:tcPr>
          <w:p>
            <w:pPr>
              <w:jc w:val="center"/>
            </w:pPr>
            <w:r/>
            <w:r>
              <w:drawing>
                <wp:inline xmlns:a="http://schemas.openxmlformats.org/drawingml/2006/main" xmlns:pic="http://schemas.openxmlformats.org/drawingml/2006/picture">
                  <wp:extent cx="1591056" cy="5800536"/>
                  <wp:docPr id="2" name="Picture 2"/>
                  <wp:cNvGraphicFramePr>
                    <a:graphicFrameLocks noChangeAspect="1"/>
                  </wp:cNvGraphicFramePr>
                  <a:graphic>
                    <a:graphicData uri="http://schemas.openxmlformats.org/drawingml/2006/picture">
                      <pic:pic>
                        <pic:nvPicPr>
                          <pic:cNvPr id="0" name="02a-pipeline-generation.png"/>
                          <pic:cNvPicPr/>
                        </pic:nvPicPr>
                        <pic:blipFill>
                          <a:blip r:embed="rId10"/>
                          <a:stretch>
                            <a:fillRect/>
                          </a:stretch>
                        </pic:blipFill>
                        <pic:spPr>
                          <a:xfrm>
                            <a:off x="0" y="0"/>
                            <a:ext cx="1591056" cy="5800536"/>
                          </a:xfrm>
                          <a:prstGeom prst="rect"/>
                        </pic:spPr>
                      </pic:pic>
                    </a:graphicData>
                  </a:graphic>
                </wp:inline>
              </w:drawing>
            </w:r>
          </w:p>
        </w:tc>
        <w:tc>
          <w:tcPr>
            <w:tcW w:type="dxa" w:w="4706"/>
          </w:tcPr>
          <w:p>
            <w:pPr>
              <w:jc w:val="center"/>
            </w:pPr>
            <w:r/>
            <w:r>
              <w:drawing>
                <wp:inline xmlns:a="http://schemas.openxmlformats.org/drawingml/2006/main" xmlns:pic="http://schemas.openxmlformats.org/drawingml/2006/picture">
                  <wp:extent cx="2304288" cy="5946386"/>
                  <wp:docPr id="3" name="Picture 3"/>
                  <wp:cNvGraphicFramePr>
                    <a:graphicFrameLocks noChangeAspect="1"/>
                  </wp:cNvGraphicFramePr>
                  <a:graphic>
                    <a:graphicData uri="http://schemas.openxmlformats.org/drawingml/2006/picture">
                      <pic:pic>
                        <pic:nvPicPr>
                          <pic:cNvPr id="0" name="02b-pipeline-delivery.png"/>
                          <pic:cNvPicPr/>
                        </pic:nvPicPr>
                        <pic:blipFill>
                          <a:blip r:embed="rId11"/>
                          <a:stretch>
                            <a:fillRect/>
                          </a:stretch>
                        </pic:blipFill>
                        <pic:spPr>
                          <a:xfrm>
                            <a:off x="0" y="0"/>
                            <a:ext cx="2304288" cy="5946386"/>
                          </a:xfrm>
                          <a:prstGeom prst="rect"/>
                        </pic:spPr>
                      </pic:pic>
                    </a:graphicData>
                  </a:graphic>
                </wp:inline>
              </w:drawing>
            </w:r>
          </w:p>
        </w:tc>
      </w:tr>
    </w:tbl>
    <w:p>
      <w:pPr>
        <w:pStyle w:val="Caption"/>
      </w:pPr>
      <w:r>
        <w:t>Figure 2 — The pipeline, split into its generation half (left) and its delivery half (right). Four approval gates plus one governed override.</w:t>
      </w:r>
    </w:p>
    <w:tbl>
      <w:tblPr>
        <w:tblStyle w:val="TableGrid"/>
        <w:tblW w:type="auto" w:w="0"/>
        <w:tblLook w:firstColumn="1" w:firstRow="1" w:lastColumn="0" w:lastRow="0" w:noHBand="0" w:noVBand="1" w:val="04A0"/>
      </w:tblPr>
      <w:tblGrid>
        <w:gridCol w:w="9412"/>
      </w:tblGrid>
      <w:tr>
        <w:tc>
          <w:tcPr>
            <w:tcW w:type="dxa" w:w="9412"/>
            <w:shd w:val="clear" w:fill="FAF3E8"/>
          </w:tcPr>
          <w:p>
            <w:r/>
            <w:r>
              <w:rPr>
                <w:b/>
                <w:color w:val="A9660F"/>
                <w:sz w:val="17"/>
              </w:rPr>
              <w:t>APPROVAL INVALIDATION CASCADE</w:t>
            </w:r>
          </w:p>
          <w:p>
            <w:pPr>
              <w:spacing w:before="80"/>
            </w:pPr>
            <w:r>
              <w:rPr>
                <w:sz w:val="19"/>
              </w:rPr>
              <w:t xml:space="preserve">Approval is version-bound, so editing an approved artefact silently un-approves it and everything derived from it. </w:t>
            </w:r>
            <w:r>
              <w:rPr>
                <w:rStyle w:val="CodeChar"/>
                <w:sz w:val="16"/>
              </w:rPr>
              <w:t>ApprovalsService.onUpstreamModified()</w:t>
            </w:r>
            <w:r>
              <w:rPr>
                <w:sz w:val="19"/>
              </w:rPr>
              <w:t xml:space="preserve"> resets </w:t>
            </w:r>
            <w:r>
              <w:rPr>
                <w:rStyle w:val="CodeChar"/>
                <w:sz w:val="16"/>
              </w:rPr>
              <w:t>approvalStatus</w:t>
            </w:r>
            <w:r>
              <w:rPr>
                <w:sz w:val="19"/>
              </w:rPr>
              <w:t xml:space="preserve"> to pending, sets </w:t>
            </w:r>
            <w:r>
              <w:rPr>
                <w:rStyle w:val="CodeChar"/>
                <w:sz w:val="16"/>
              </w:rPr>
              <w:t>approvalInvalidated = true</w:t>
            </w:r>
            <w:r>
              <w:rPr>
                <w:sz w:val="19"/>
              </w:rPr>
              <w:t xml:space="preserve">, marks prior approval records invalidated, and emits </w:t>
            </w:r>
            <w:r>
              <w:rPr>
                <w:rStyle w:val="CodeChar"/>
                <w:sz w:val="16"/>
              </w:rPr>
              <w:t>approval.updated</w:t>
            </w:r>
            <w:r>
              <w:rPr>
                <w:sz w:val="19"/>
              </w:rPr>
              <w:t>.</w:t>
            </w:r>
          </w:p>
          <w:p>
            <w:pPr>
              <w:spacing w:before="80"/>
            </w:pPr>
            <w:r>
              <w:rPr>
                <w:sz w:val="19"/>
              </w:rPr>
              <w:t>Concretely: editing a test case resets every active automation artefact generated from it back to pending validation and pending approval. Editing the generated script does the same to that artefact and bumps its version. Approved code can never drift from the code that was actually reviewed.</w:t>
            </w:r>
          </w:p>
        </w:tc>
      </w:tr>
    </w:tbl>
    <w:p>
      <w:pPr>
        <w:spacing w:after="80"/>
      </w:pPr>
    </w:p>
    <w:p>
      <w:pPr>
        <w:pStyle w:val="Heading2"/>
      </w:pPr>
      <w:r>
        <w:t>Where each gate is enforced</w:t>
      </w:r>
    </w:p>
    <w:tbl>
      <w:tblPr>
        <w:tblStyle w:val="TableGrid"/>
        <w:tblW w:type="auto" w:w="0"/>
        <w:jc w:val="center"/>
        <w:tblLayout w:type="fixed"/>
        <w:tblLook w:firstColumn="1" w:firstRow="1" w:lastColumn="0" w:lastRow="0" w:noHBand="0" w:noVBand="1" w:val="04A0"/>
        <w:tblLayout w:type="fixed"/>
      </w:tblPr>
      <w:tblGrid>
        <w:gridCol w:w="3137"/>
        <w:gridCol w:w="3137"/>
        <w:gridCol w:w="3137"/>
      </w:tblGrid>
      <w:tr>
        <w:tc>
          <w:tcPr>
            <w:tcW w:type="dxa" w:w="3312"/>
            <w:shd w:val="clear" w:fill="DCE7E9"/>
          </w:tcPr>
          <w:p>
            <w:pPr>
              <w:spacing w:after="40"/>
            </w:pPr>
            <w:r/>
            <w:r>
              <w:rPr>
                <w:b/>
                <w:color w:val="0B5D6E"/>
                <w:sz w:val="16"/>
              </w:rPr>
              <w:t>GUARD</w:t>
            </w:r>
          </w:p>
        </w:tc>
        <w:tc>
          <w:tcPr>
            <w:tcW w:type="dxa" w:w="2880"/>
            <w:shd w:val="clear" w:fill="DCE7E9"/>
          </w:tcPr>
          <w:p>
            <w:pPr>
              <w:spacing w:after="40"/>
            </w:pPr>
            <w:r/>
            <w:r>
              <w:rPr>
                <w:b/>
                <w:color w:val="0B5D6E"/>
                <w:sz w:val="16"/>
              </w:rPr>
              <w:t>ENFORCED IN</w:t>
            </w:r>
          </w:p>
        </w:tc>
        <w:tc>
          <w:tcPr>
            <w:tcW w:type="dxa" w:w="2592"/>
            <w:shd w:val="clear" w:fill="DCE7E9"/>
          </w:tcPr>
          <w:p>
            <w:pPr>
              <w:spacing w:after="40"/>
            </w:pPr>
            <w:r/>
            <w:r>
              <w:rPr>
                <w:b/>
                <w:color w:val="0B5D6E"/>
                <w:sz w:val="16"/>
              </w:rPr>
              <w:t>FAILURE</w:t>
            </w:r>
          </w:p>
        </w:tc>
      </w:tr>
      <w:tr>
        <w:tc>
          <w:tcPr>
            <w:tcW w:type="dxa" w:w="3312"/>
          </w:tcPr>
          <w:p>
            <w:pPr>
              <w:spacing w:after="40"/>
            </w:pPr>
            <w:r/>
            <w:r>
              <w:rPr>
                <w:sz w:val="18"/>
              </w:rPr>
              <w:t>Automation requires approved test cases</w:t>
            </w:r>
          </w:p>
        </w:tc>
        <w:tc>
          <w:tcPr>
            <w:tcW w:type="dxa" w:w="2880"/>
          </w:tcPr>
          <w:p>
            <w:pPr>
              <w:spacing w:after="40"/>
            </w:pPr>
            <w:r/>
            <w:r>
              <w:rPr>
                <w:rStyle w:val="CodeChar"/>
                <w:sz w:val="15"/>
              </w:rPr>
              <w:t>AutomationService.generate</w:t>
            </w:r>
          </w:p>
        </w:tc>
        <w:tc>
          <w:tcPr>
            <w:tcW w:type="dxa" w:w="2592"/>
          </w:tcPr>
          <w:p>
            <w:pPr>
              <w:spacing w:after="40"/>
            </w:pPr>
            <w:r/>
            <w:r>
              <w:rPr>
                <w:sz w:val="18"/>
              </w:rPr>
              <w:t xml:space="preserve">409 </w:t>
            </w:r>
            <w:r>
              <w:rPr>
                <w:rStyle w:val="CodeChar"/>
                <w:sz w:val="15"/>
              </w:rPr>
              <w:t>approval_required</w:t>
            </w:r>
          </w:p>
        </w:tc>
      </w:tr>
      <w:tr>
        <w:tc>
          <w:tcPr>
            <w:tcW w:type="dxa" w:w="3312"/>
            <w:shd w:val="clear" w:fill="F2F6F6"/>
          </w:tcPr>
          <w:p>
            <w:pPr>
              <w:spacing w:after="40"/>
            </w:pPr>
            <w:r/>
            <w:r>
              <w:rPr>
                <w:sz w:val="18"/>
              </w:rPr>
              <w:t>Approval requires passed validation</w:t>
            </w:r>
          </w:p>
        </w:tc>
        <w:tc>
          <w:tcPr>
            <w:tcW w:type="dxa" w:w="2880"/>
            <w:shd w:val="clear" w:fill="F2F6F6"/>
          </w:tcPr>
          <w:p>
            <w:pPr>
              <w:spacing w:after="40"/>
            </w:pPr>
            <w:r/>
            <w:r>
              <w:rPr>
                <w:rStyle w:val="CodeChar"/>
                <w:sz w:val="15"/>
              </w:rPr>
              <w:t>AutomationService.approve</w:t>
            </w:r>
          </w:p>
        </w:tc>
        <w:tc>
          <w:tcPr>
            <w:tcW w:type="dxa" w:w="2592"/>
            <w:shd w:val="clear" w:fill="F2F6F6"/>
          </w:tcPr>
          <w:p>
            <w:pPr>
              <w:spacing w:after="40"/>
            </w:pPr>
            <w:r/>
            <w:r>
              <w:rPr>
                <w:sz w:val="18"/>
              </w:rPr>
              <w:t xml:space="preserve">409 </w:t>
            </w:r>
            <w:r>
              <w:rPr>
                <w:rStyle w:val="CodeChar"/>
                <w:sz w:val="15"/>
              </w:rPr>
              <w:t>validation_required</w:t>
            </w:r>
          </w:p>
        </w:tc>
      </w:tr>
      <w:tr>
        <w:tc>
          <w:tcPr>
            <w:tcW w:type="dxa" w:w="3312"/>
          </w:tcPr>
          <w:p>
            <w:pPr>
              <w:spacing w:after="40"/>
            </w:pPr>
            <w:r/>
            <w:r>
              <w:rPr>
                <w:sz w:val="18"/>
              </w:rPr>
              <w:t>Execution requires approved + validated + active</w:t>
            </w:r>
          </w:p>
        </w:tc>
        <w:tc>
          <w:tcPr>
            <w:tcW w:type="dxa" w:w="2880"/>
          </w:tcPr>
          <w:p>
            <w:pPr>
              <w:spacing w:after="40"/>
            </w:pPr>
            <w:r/>
            <w:r>
              <w:rPr>
                <w:rStyle w:val="CodeChar"/>
                <w:sz w:val="15"/>
              </w:rPr>
              <w:t>ExecutionsService.resolveScope</w:t>
            </w:r>
          </w:p>
        </w:tc>
        <w:tc>
          <w:tcPr>
            <w:tcW w:type="dxa" w:w="2592"/>
          </w:tcPr>
          <w:p>
            <w:pPr>
              <w:spacing w:after="40"/>
            </w:pPr>
            <w:r/>
            <w:r>
              <w:rPr>
                <w:sz w:val="18"/>
              </w:rPr>
              <w:t xml:space="preserve">409 </w:t>
            </w:r>
            <w:r>
              <w:rPr>
                <w:rStyle w:val="CodeChar"/>
                <w:sz w:val="15"/>
              </w:rPr>
              <w:t>automation_not_ready</w:t>
            </w:r>
          </w:p>
        </w:tc>
      </w:tr>
      <w:tr>
        <w:tc>
          <w:tcPr>
            <w:tcW w:type="dxa" w:w="3312"/>
            <w:shd w:val="clear" w:fill="F2F6F6"/>
          </w:tcPr>
          <w:p>
            <w:pPr>
              <w:spacing w:after="40"/>
            </w:pPr>
            <w:r/>
            <w:r>
              <w:rPr>
                <w:sz w:val="18"/>
              </w:rPr>
              <w:t>Git commit requires approved + validated</w:t>
            </w:r>
          </w:p>
        </w:tc>
        <w:tc>
          <w:tcPr>
            <w:tcW w:type="dxa" w:w="2880"/>
            <w:shd w:val="clear" w:fill="F2F6F6"/>
          </w:tcPr>
          <w:p>
            <w:pPr>
              <w:spacing w:after="40"/>
            </w:pPr>
            <w:r/>
            <w:r>
              <w:rPr>
                <w:rStyle w:val="CodeChar"/>
                <w:sz w:val="15"/>
              </w:rPr>
              <w:t>GitService.commit</w:t>
            </w:r>
          </w:p>
        </w:tc>
        <w:tc>
          <w:tcPr>
            <w:tcW w:type="dxa" w:w="2592"/>
            <w:shd w:val="clear" w:fill="F2F6F6"/>
          </w:tcPr>
          <w:p>
            <w:pPr>
              <w:spacing w:after="40"/>
            </w:pPr>
            <w:r/>
            <w:r>
              <w:rPr>
                <w:sz w:val="18"/>
              </w:rPr>
              <w:t>409 + denied audit row</w:t>
            </w:r>
          </w:p>
        </w:tc>
      </w:tr>
      <w:tr>
        <w:tc>
          <w:tcPr>
            <w:tcW w:type="dxa" w:w="3312"/>
          </w:tcPr>
          <w:p>
            <w:pPr>
              <w:spacing w:after="40"/>
            </w:pPr>
            <w:r/>
            <w:r>
              <w:rPr>
                <w:sz w:val="18"/>
              </w:rPr>
              <w:t>CI dispatch requires ≥1 approved artefact</w:t>
            </w:r>
          </w:p>
        </w:tc>
        <w:tc>
          <w:tcPr>
            <w:tcW w:type="dxa" w:w="2880"/>
          </w:tcPr>
          <w:p>
            <w:pPr>
              <w:spacing w:after="40"/>
            </w:pPr>
            <w:r/>
            <w:r>
              <w:rPr>
                <w:rStyle w:val="CodeChar"/>
                <w:sz w:val="15"/>
              </w:rPr>
              <w:t>CiService.dispatch</w:t>
            </w:r>
          </w:p>
        </w:tc>
        <w:tc>
          <w:tcPr>
            <w:tcW w:type="dxa" w:w="2592"/>
          </w:tcPr>
          <w:p>
            <w:pPr>
              <w:spacing w:after="40"/>
            </w:pPr>
            <w:r/>
            <w:r>
              <w:rPr>
                <w:sz w:val="18"/>
              </w:rPr>
              <w:t>409 + denied audit row</w:t>
            </w:r>
          </w:p>
        </w:tc>
      </w:tr>
      <w:tr>
        <w:tc>
          <w:tcPr>
            <w:tcW w:type="dxa" w:w="3312"/>
            <w:shd w:val="clear" w:fill="F2F6F6"/>
          </w:tcPr>
          <w:p>
            <w:pPr>
              <w:spacing w:after="40"/>
            </w:pPr>
            <w:r/>
            <w:r>
              <w:rPr>
                <w:sz w:val="18"/>
              </w:rPr>
              <w:t>Export requires publication not rejected</w:t>
            </w:r>
          </w:p>
        </w:tc>
        <w:tc>
          <w:tcPr>
            <w:tcW w:type="dxa" w:w="2880"/>
            <w:shd w:val="clear" w:fill="F2F6F6"/>
          </w:tcPr>
          <w:p>
            <w:pPr>
              <w:spacing w:after="40"/>
            </w:pPr>
            <w:r/>
            <w:r>
              <w:rPr>
                <w:rStyle w:val="CodeChar"/>
                <w:sz w:val="15"/>
              </w:rPr>
              <w:t>ReportsService.export</w:t>
            </w:r>
          </w:p>
        </w:tc>
        <w:tc>
          <w:tcPr>
            <w:tcW w:type="dxa" w:w="2592"/>
            <w:shd w:val="clear" w:fill="F2F6F6"/>
          </w:tcPr>
          <w:p>
            <w:pPr>
              <w:spacing w:after="40"/>
            </w:pPr>
            <w:r/>
            <w:r>
              <w:rPr>
                <w:sz w:val="18"/>
              </w:rPr>
              <w:t xml:space="preserve">409 </w:t>
            </w:r>
            <w:r>
              <w:rPr>
                <w:rStyle w:val="CodeChar"/>
                <w:sz w:val="15"/>
              </w:rPr>
              <w:t>report_publication_rejected</w:t>
            </w:r>
          </w:p>
        </w:tc>
      </w:tr>
    </w:tbl>
    <w:p>
      <w:pPr>
        <w:spacing w:after="80"/>
      </w:pPr>
    </w:p>
    <w:p>
      <w:pPr>
        <w:pStyle w:val="Heading1"/>
      </w:pPr>
      <w:r>
        <w:rPr>
          <w:rFonts w:ascii="Consolas" w:hAnsi="Consolas"/>
          <w:color w:val="0B5D6E"/>
          <w:sz w:val="26"/>
        </w:rPr>
        <w:t xml:space="preserve">04   </w:t>
      </w:r>
      <w:r>
        <w:rPr>
          <w:rFonts w:ascii="Cambria" w:hAnsi="Cambria"/>
          <w:color w:val="0E1618"/>
          <w:sz w:val="38"/>
        </w:rPr>
        <w:t>API surface</w:t>
      </w:r>
    </w:p>
    <w:p>
      <w:pPr>
        <w:pStyle w:val="Lede"/>
      </w:pPr>
      <w:r>
        <w:t>Two contracts: a public REST API the browser talks to, and a private internal contract only the backend may call.</w:t>
      </w:r>
    </w:p>
    <w:p>
      <w:pPr>
        <w:pStyle w:val="Heading2"/>
      </w:pPr>
      <w:r>
        <w:t>Backend — /api/v2, JWT-guarded by default</w:t>
      </w:r>
    </w:p>
    <w:p>
      <w:r>
        <w:t xml:space="preserve">A global </w:t>
      </w:r>
      <w:r>
        <w:rPr>
          <w:rStyle w:val="CodeChar"/>
        </w:rPr>
        <w:t>JwtAuthGuard</w:t>
      </w:r>
      <w:r>
        <w:t xml:space="preserve"> protects every route; </w:t>
      </w:r>
      <w:r>
        <w:rPr>
          <w:rStyle w:val="CodeChar"/>
        </w:rPr>
        <w:t>@Public()</w:t>
      </w:r>
      <w:r>
        <w:t xml:space="preserve"> opts out (</w:t>
      </w:r>
      <w:r>
        <w:rPr>
          <w:rStyle w:val="CodeChar"/>
        </w:rPr>
        <w:t>auth/*</w:t>
      </w:r>
      <w:r>
        <w:t xml:space="preserve"> and </w:t>
      </w:r>
      <w:r>
        <w:rPr>
          <w:rStyle w:val="CodeChar"/>
        </w:rPr>
        <w:t>health</w:t>
      </w:r>
      <w:r>
        <w:t xml:space="preserve"> only). A second global </w:t>
      </w:r>
      <w:r>
        <w:rPr>
          <w:rStyle w:val="CodeChar"/>
        </w:rPr>
        <w:t>PermissionsGuard</w:t>
      </w:r>
      <w:r>
        <w:t xml:space="preserve"> enforces </w:t>
      </w:r>
      <w:r>
        <w:rPr>
          <w:rStyle w:val="CodeChar"/>
        </w:rPr>
        <w:t>@RequirePermission(...)</w:t>
      </w:r>
      <w:r>
        <w:t xml:space="preserve"> against a role-to-permission matrix.</w:t>
      </w:r>
    </w:p>
    <w:tbl>
      <w:tblPr>
        <w:tblStyle w:val="TableGrid"/>
        <w:tblW w:type="auto" w:w="0"/>
        <w:jc w:val="center"/>
        <w:tblLayout w:type="fixed"/>
        <w:tblLook w:firstColumn="1" w:firstRow="1" w:lastColumn="0" w:lastRow="0" w:noHBand="0" w:noVBand="1" w:val="04A0"/>
        <w:tblLayout w:type="fixed"/>
      </w:tblPr>
      <w:tblGrid>
        <w:gridCol w:w="3137"/>
        <w:gridCol w:w="3137"/>
        <w:gridCol w:w="3137"/>
      </w:tblGrid>
      <w:tr>
        <w:tc>
          <w:tcPr>
            <w:tcW w:type="dxa" w:w="1368"/>
            <w:shd w:val="clear" w:fill="DCE7E9"/>
          </w:tcPr>
          <w:p>
            <w:pPr>
              <w:spacing w:after="40"/>
            </w:pPr>
            <w:r/>
            <w:r>
              <w:rPr>
                <w:b/>
                <w:color w:val="0B5D6E"/>
                <w:sz w:val="16"/>
              </w:rPr>
              <w:t>GROUP</w:t>
            </w:r>
          </w:p>
        </w:tc>
        <w:tc>
          <w:tcPr>
            <w:tcW w:type="dxa" w:w="5400"/>
            <w:shd w:val="clear" w:fill="DCE7E9"/>
          </w:tcPr>
          <w:p>
            <w:pPr>
              <w:spacing w:after="40"/>
            </w:pPr>
            <w:r/>
            <w:r>
              <w:rPr>
                <w:b/>
                <w:color w:val="0B5D6E"/>
                <w:sz w:val="16"/>
              </w:rPr>
              <w:t>REPRESENTATIVE ROUTES</w:t>
            </w:r>
          </w:p>
        </w:tc>
        <w:tc>
          <w:tcPr>
            <w:tcW w:type="dxa" w:w="2016"/>
            <w:shd w:val="clear" w:fill="DCE7E9"/>
          </w:tcPr>
          <w:p>
            <w:pPr>
              <w:spacing w:after="40"/>
            </w:pPr>
            <w:r/>
            <w:r>
              <w:rPr>
                <w:b/>
                <w:color w:val="0B5D6E"/>
                <w:sz w:val="16"/>
              </w:rPr>
              <w:t>PERMISSION</w:t>
            </w:r>
          </w:p>
        </w:tc>
      </w:tr>
      <w:tr>
        <w:tc>
          <w:tcPr>
            <w:tcW w:type="dxa" w:w="1368"/>
          </w:tcPr>
          <w:p>
            <w:pPr>
              <w:spacing w:after="40"/>
            </w:pPr>
            <w:r/>
            <w:r>
              <w:rPr>
                <w:sz w:val="18"/>
              </w:rPr>
              <w:t>Auth</w:t>
            </w:r>
          </w:p>
        </w:tc>
        <w:tc>
          <w:tcPr>
            <w:tcW w:type="dxa" w:w="5400"/>
          </w:tcPr>
          <w:p>
            <w:pPr>
              <w:spacing w:after="40"/>
            </w:pPr>
            <w:r/>
            <w:r>
              <w:rPr>
                <w:rStyle w:val="CodeChar"/>
                <w:sz w:val="15"/>
              </w:rPr>
              <w:t>POST /auth/{register,login,refresh,logout}</w:t>
            </w:r>
            <w:r>
              <w:rPr>
                <w:sz w:val="18"/>
              </w:rPr>
              <w:t xml:space="preserve"> · </w:t>
            </w:r>
            <w:r>
              <w:rPr>
                <w:rStyle w:val="CodeChar"/>
                <w:sz w:val="15"/>
              </w:rPr>
              <w:t>GET /auth/me</w:t>
            </w:r>
          </w:p>
        </w:tc>
        <w:tc>
          <w:tcPr>
            <w:tcW w:type="dxa" w:w="2016"/>
          </w:tcPr>
          <w:p>
            <w:pPr>
              <w:spacing w:after="40"/>
            </w:pPr>
            <w:r/>
            <w:r>
              <w:rPr>
                <w:sz w:val="18"/>
              </w:rPr>
              <w:t>public</w:t>
            </w:r>
          </w:p>
        </w:tc>
      </w:tr>
      <w:tr>
        <w:tc>
          <w:tcPr>
            <w:tcW w:type="dxa" w:w="1368"/>
            <w:shd w:val="clear" w:fill="F2F6F6"/>
          </w:tcPr>
          <w:p>
            <w:pPr>
              <w:spacing w:after="40"/>
            </w:pPr>
            <w:r/>
            <w:r>
              <w:rPr>
                <w:sz w:val="18"/>
              </w:rPr>
              <w:t>Projects</w:t>
            </w:r>
          </w:p>
        </w:tc>
        <w:tc>
          <w:tcPr>
            <w:tcW w:type="dxa" w:w="5400"/>
            <w:shd w:val="clear" w:fill="F2F6F6"/>
          </w:tcPr>
          <w:p>
            <w:pPr>
              <w:spacing w:after="40"/>
            </w:pPr>
            <w:r/>
            <w:r>
              <w:rPr>
                <w:rStyle w:val="CodeChar"/>
                <w:sz w:val="15"/>
              </w:rPr>
              <w:t>GET|POST /projects</w:t>
            </w:r>
            <w:r>
              <w:rPr>
                <w:sz w:val="18"/>
              </w:rPr>
              <w:t xml:space="preserve"> · </w:t>
            </w:r>
            <w:r>
              <w:rPr>
                <w:rStyle w:val="CodeChar"/>
                <w:sz w:val="15"/>
              </w:rPr>
              <w:t>GET /projects/:id/{dashboard,metrics,export}</w:t>
            </w:r>
          </w:p>
        </w:tc>
        <w:tc>
          <w:tcPr>
            <w:tcW w:type="dxa" w:w="2016"/>
            <w:shd w:val="clear" w:fill="F2F6F6"/>
          </w:tcPr>
          <w:p>
            <w:pPr>
              <w:spacing w:after="40"/>
            </w:pPr>
            <w:r/>
            <w:r>
              <w:rPr>
                <w:rStyle w:val="CodeChar"/>
                <w:sz w:val="15"/>
              </w:rPr>
              <w:t>project.write</w:t>
            </w:r>
          </w:p>
        </w:tc>
      </w:tr>
      <w:tr>
        <w:tc>
          <w:tcPr>
            <w:tcW w:type="dxa" w:w="1368"/>
          </w:tcPr>
          <w:p>
            <w:pPr>
              <w:spacing w:after="40"/>
            </w:pPr>
            <w:r/>
            <w:r>
              <w:rPr>
                <w:sz w:val="18"/>
              </w:rPr>
              <w:t>Documents</w:t>
            </w:r>
          </w:p>
        </w:tc>
        <w:tc>
          <w:tcPr>
            <w:tcW w:type="dxa" w:w="5400"/>
          </w:tcPr>
          <w:p>
            <w:pPr>
              <w:spacing w:after="40"/>
            </w:pPr>
            <w:r/>
            <w:r>
              <w:rPr>
                <w:rStyle w:val="CodeChar"/>
                <w:sz w:val="15"/>
              </w:rPr>
              <w:t>POST /projects/:id/documents</w:t>
            </w:r>
            <w:r>
              <w:rPr>
                <w:sz w:val="18"/>
              </w:rPr>
              <w:t xml:space="preserve"> · </w:t>
            </w:r>
            <w:r>
              <w:rPr>
                <w:rStyle w:val="CodeChar"/>
                <w:sz w:val="15"/>
              </w:rPr>
              <w:t>GET /documents/:id/preview</w:t>
            </w:r>
          </w:p>
        </w:tc>
        <w:tc>
          <w:tcPr>
            <w:tcW w:type="dxa" w:w="2016"/>
          </w:tcPr>
          <w:p>
            <w:pPr>
              <w:spacing w:after="40"/>
            </w:pPr>
            <w:r/>
            <w:r>
              <w:rPr>
                <w:rStyle w:val="CodeChar"/>
                <w:sz w:val="15"/>
              </w:rPr>
              <w:t>document.upload</w:t>
            </w:r>
          </w:p>
        </w:tc>
      </w:tr>
      <w:tr>
        <w:tc>
          <w:tcPr>
            <w:tcW w:type="dxa" w:w="1368"/>
            <w:shd w:val="clear" w:fill="F2F6F6"/>
          </w:tcPr>
          <w:p>
            <w:pPr>
              <w:spacing w:after="40"/>
            </w:pPr>
            <w:r/>
            <w:r>
              <w:rPr>
                <w:sz w:val="18"/>
              </w:rPr>
              <w:t>Requirements</w:t>
            </w:r>
          </w:p>
        </w:tc>
        <w:tc>
          <w:tcPr>
            <w:tcW w:type="dxa" w:w="5400"/>
            <w:shd w:val="clear" w:fill="F2F6F6"/>
          </w:tcPr>
          <w:p>
            <w:pPr>
              <w:spacing w:after="40"/>
            </w:pPr>
            <w:r/>
            <w:r>
              <w:rPr>
                <w:rStyle w:val="CodeChar"/>
                <w:sz w:val="15"/>
              </w:rPr>
              <w:t>GET|POST /projects/:id/requirements</w:t>
            </w:r>
            <w:r>
              <w:rPr>
                <w:sz w:val="18"/>
              </w:rPr>
              <w:t xml:space="preserve"> · </w:t>
            </w:r>
            <w:r>
              <w:rPr>
                <w:rStyle w:val="CodeChar"/>
                <w:sz w:val="15"/>
              </w:rPr>
              <w:t>GET /requirements/:id/history</w:t>
            </w:r>
          </w:p>
        </w:tc>
        <w:tc>
          <w:tcPr>
            <w:tcW w:type="dxa" w:w="2016"/>
            <w:shd w:val="clear" w:fill="F2F6F6"/>
          </w:tcPr>
          <w:p>
            <w:pPr>
              <w:spacing w:after="40"/>
            </w:pPr>
            <w:r/>
            <w:r>
              <w:rPr>
                <w:sz w:val="18"/>
              </w:rPr>
              <w:t>member</w:t>
            </w:r>
          </w:p>
        </w:tc>
      </w:tr>
      <w:tr>
        <w:tc>
          <w:tcPr>
            <w:tcW w:type="dxa" w:w="1368"/>
          </w:tcPr>
          <w:p>
            <w:pPr>
              <w:spacing w:after="40"/>
            </w:pPr>
            <w:r/>
            <w:r>
              <w:rPr>
                <w:sz w:val="18"/>
              </w:rPr>
              <w:t>Generation</w:t>
            </w:r>
          </w:p>
        </w:tc>
        <w:tc>
          <w:tcPr>
            <w:tcW w:type="dxa" w:w="5400"/>
          </w:tcPr>
          <w:p>
            <w:pPr>
              <w:spacing w:after="40"/>
            </w:pPr>
            <w:r/>
            <w:r>
              <w:rPr>
                <w:rStyle w:val="CodeChar"/>
                <w:sz w:val="15"/>
              </w:rPr>
              <w:t>POST /projects/:id/{analysis-jobs, test-plans/generate, test-cases/generate, automation/generate}</w:t>
            </w:r>
          </w:p>
        </w:tc>
        <w:tc>
          <w:tcPr>
            <w:tcW w:type="dxa" w:w="2016"/>
          </w:tcPr>
          <w:p>
            <w:pPr>
              <w:spacing w:after="40"/>
            </w:pPr>
            <w:r/>
            <w:r>
              <w:rPr>
                <w:rStyle w:val="CodeChar"/>
                <w:sz w:val="15"/>
              </w:rPr>
              <w:t>generation.run</w:t>
            </w:r>
          </w:p>
        </w:tc>
      </w:tr>
      <w:tr>
        <w:tc>
          <w:tcPr>
            <w:tcW w:type="dxa" w:w="1368"/>
            <w:shd w:val="clear" w:fill="F2F6F6"/>
          </w:tcPr>
          <w:p>
            <w:pPr>
              <w:spacing w:after="40"/>
            </w:pPr>
            <w:r/>
            <w:r>
              <w:rPr>
                <w:sz w:val="18"/>
              </w:rPr>
              <w:t>Artefacts</w:t>
            </w:r>
          </w:p>
        </w:tc>
        <w:tc>
          <w:tcPr>
            <w:tcW w:type="dxa" w:w="5400"/>
            <w:shd w:val="clear" w:fill="F2F6F6"/>
          </w:tcPr>
          <w:p>
            <w:pPr>
              <w:spacing w:after="40"/>
            </w:pPr>
            <w:r/>
            <w:r>
              <w:rPr>
                <w:rStyle w:val="CodeChar"/>
                <w:sz w:val="15"/>
              </w:rPr>
              <w:t>PATCH /{test-plans,test-cases,automation}/:id</w:t>
            </w:r>
            <w:r>
              <w:rPr>
                <w:sz w:val="18"/>
              </w:rPr>
              <w:t xml:space="preserve"> · </w:t>
            </w:r>
            <w:r>
              <w:rPr>
                <w:rStyle w:val="CodeChar"/>
                <w:sz w:val="15"/>
              </w:rPr>
              <w:t>GET /test-plans/:id/revisions/compare</w:t>
            </w:r>
          </w:p>
        </w:tc>
        <w:tc>
          <w:tcPr>
            <w:tcW w:type="dxa" w:w="2016"/>
            <w:shd w:val="clear" w:fill="F2F6F6"/>
          </w:tcPr>
          <w:p>
            <w:pPr>
              <w:spacing w:after="40"/>
            </w:pPr>
            <w:r/>
            <w:r>
              <w:rPr>
                <w:rStyle w:val="CodeChar"/>
                <w:sz w:val="15"/>
              </w:rPr>
              <w:t>artefact.edit</w:t>
            </w:r>
          </w:p>
        </w:tc>
      </w:tr>
      <w:tr>
        <w:tc>
          <w:tcPr>
            <w:tcW w:type="dxa" w:w="1368"/>
          </w:tcPr>
          <w:p>
            <w:pPr>
              <w:spacing w:after="40"/>
            </w:pPr>
            <w:r/>
            <w:r>
              <w:rPr>
                <w:sz w:val="18"/>
              </w:rPr>
              <w:t>Approvals</w:t>
            </w:r>
          </w:p>
        </w:tc>
        <w:tc>
          <w:tcPr>
            <w:tcW w:type="dxa" w:w="5400"/>
          </w:tcPr>
          <w:p>
            <w:pPr>
              <w:spacing w:after="40"/>
            </w:pPr>
            <w:r/>
            <w:r>
              <w:rPr>
                <w:rStyle w:val="CodeChar"/>
                <w:sz w:val="15"/>
              </w:rPr>
              <w:t>POST /test-plans/:id/approval</w:t>
            </w:r>
            <w:r>
              <w:rPr>
                <w:sz w:val="18"/>
              </w:rPr>
              <w:t xml:space="preserve"> · </w:t>
            </w:r>
            <w:r>
              <w:rPr>
                <w:rStyle w:val="CodeChar"/>
                <w:sz w:val="15"/>
              </w:rPr>
              <w:t>POST /test-cases/approval</w:t>
            </w:r>
            <w:r>
              <w:rPr>
                <w:sz w:val="18"/>
              </w:rPr>
              <w:t xml:space="preserve"> (bulk)</w:t>
            </w:r>
          </w:p>
        </w:tc>
        <w:tc>
          <w:tcPr>
            <w:tcW w:type="dxa" w:w="2016"/>
          </w:tcPr>
          <w:p>
            <w:pPr>
              <w:spacing w:after="40"/>
            </w:pPr>
            <w:r/>
            <w:r>
              <w:rPr>
                <w:rStyle w:val="CodeChar"/>
                <w:sz w:val="15"/>
              </w:rPr>
              <w:t>approval.decide</w:t>
            </w:r>
          </w:p>
        </w:tc>
      </w:tr>
      <w:tr>
        <w:tc>
          <w:tcPr>
            <w:tcW w:type="dxa" w:w="1368"/>
            <w:shd w:val="clear" w:fill="F2F6F6"/>
          </w:tcPr>
          <w:p>
            <w:pPr>
              <w:spacing w:after="40"/>
            </w:pPr>
            <w:r/>
            <w:r>
              <w:rPr>
                <w:sz w:val="18"/>
              </w:rPr>
              <w:t>Validation</w:t>
            </w:r>
          </w:p>
        </w:tc>
        <w:tc>
          <w:tcPr>
            <w:tcW w:type="dxa" w:w="5400"/>
            <w:shd w:val="clear" w:fill="F2F6F6"/>
          </w:tcPr>
          <w:p>
            <w:pPr>
              <w:spacing w:after="40"/>
            </w:pPr>
            <w:r/>
            <w:r>
              <w:rPr>
                <w:rStyle w:val="CodeChar"/>
                <w:sz w:val="15"/>
              </w:rPr>
              <w:t>POST /automation/:id/validate</w:t>
            </w:r>
            <w:r>
              <w:rPr>
                <w:sz w:val="18"/>
              </w:rPr>
              <w:t xml:space="preserve"> · </w:t>
            </w:r>
            <w:r>
              <w:rPr>
                <w:rStyle w:val="CodeChar"/>
                <w:sz w:val="15"/>
              </w:rPr>
              <w:t>POST /automation/:id/validation-override</w:t>
            </w:r>
          </w:p>
        </w:tc>
        <w:tc>
          <w:tcPr>
            <w:tcW w:type="dxa" w:w="2016"/>
            <w:shd w:val="clear" w:fill="F2F6F6"/>
          </w:tcPr>
          <w:p>
            <w:pPr>
              <w:spacing w:after="40"/>
            </w:pPr>
            <w:r/>
            <w:r>
              <w:rPr>
                <w:rStyle w:val="CodeChar"/>
                <w:sz w:val="15"/>
              </w:rPr>
              <w:t>generation.run</w:t>
            </w:r>
          </w:p>
        </w:tc>
      </w:tr>
      <w:tr>
        <w:tc>
          <w:tcPr>
            <w:tcW w:type="dxa" w:w="1368"/>
          </w:tcPr>
          <w:p>
            <w:pPr>
              <w:spacing w:after="40"/>
            </w:pPr>
            <w:r/>
            <w:r>
              <w:rPr>
                <w:sz w:val="18"/>
              </w:rPr>
              <w:t>Executions</w:t>
            </w:r>
          </w:p>
        </w:tc>
        <w:tc>
          <w:tcPr>
            <w:tcW w:type="dxa" w:w="5400"/>
          </w:tcPr>
          <w:p>
            <w:pPr>
              <w:spacing w:after="40"/>
            </w:pPr>
            <w:r/>
            <w:r>
              <w:rPr>
                <w:rStyle w:val="CodeChar"/>
                <w:sz w:val="15"/>
              </w:rPr>
              <w:t>POST /executions</w:t>
            </w:r>
            <w:r>
              <w:rPr>
                <w:sz w:val="18"/>
              </w:rPr>
              <w:t xml:space="preserve"> · </w:t>
            </w:r>
            <w:r>
              <w:rPr>
                <w:rStyle w:val="CodeChar"/>
                <w:sz w:val="15"/>
              </w:rPr>
              <w:t>GET /executions/:id/{events,logs,results}</w:t>
            </w:r>
            <w:r>
              <w:rPr>
                <w:sz w:val="18"/>
              </w:rPr>
              <w:t xml:space="preserve"> · </w:t>
            </w:r>
            <w:r>
              <w:rPr>
                <w:rStyle w:val="CodeChar"/>
                <w:sz w:val="15"/>
              </w:rPr>
              <w:t>POST /executions/:id/{cancel,restart}</w:t>
            </w:r>
          </w:p>
        </w:tc>
        <w:tc>
          <w:tcPr>
            <w:tcW w:type="dxa" w:w="2016"/>
          </w:tcPr>
          <w:p>
            <w:pPr>
              <w:spacing w:after="40"/>
            </w:pPr>
            <w:r/>
            <w:r>
              <w:rPr>
                <w:rStyle w:val="CodeChar"/>
                <w:sz w:val="15"/>
              </w:rPr>
              <w:t>execution.run</w:t>
            </w:r>
          </w:p>
        </w:tc>
      </w:tr>
      <w:tr>
        <w:tc>
          <w:tcPr>
            <w:tcW w:type="dxa" w:w="1368"/>
            <w:shd w:val="clear" w:fill="F2F6F6"/>
          </w:tcPr>
          <w:p>
            <w:pPr>
              <w:spacing w:after="40"/>
            </w:pPr>
            <w:r/>
            <w:r>
              <w:rPr>
                <w:sz w:val="18"/>
              </w:rPr>
              <w:t>Jobs</w:t>
            </w:r>
          </w:p>
        </w:tc>
        <w:tc>
          <w:tcPr>
            <w:tcW w:type="dxa" w:w="5400"/>
            <w:shd w:val="clear" w:fill="F2F6F6"/>
          </w:tcPr>
          <w:p>
            <w:pPr>
              <w:spacing w:after="40"/>
            </w:pPr>
            <w:r/>
            <w:r>
              <w:rPr>
                <w:rStyle w:val="CodeChar"/>
                <w:sz w:val="15"/>
              </w:rPr>
              <w:t>GET /jobs/:id/logs?fromSeq=</w:t>
            </w:r>
            <w:r>
              <w:rPr>
                <w:sz w:val="18"/>
              </w:rPr>
              <w:t xml:space="preserve"> · </w:t>
            </w:r>
            <w:r>
              <w:rPr>
                <w:rStyle w:val="CodeChar"/>
                <w:sz w:val="15"/>
              </w:rPr>
              <w:t>POST /jobs/:id/{cancel,retry}</w:t>
            </w:r>
          </w:p>
        </w:tc>
        <w:tc>
          <w:tcPr>
            <w:tcW w:type="dxa" w:w="2016"/>
            <w:shd w:val="clear" w:fill="F2F6F6"/>
          </w:tcPr>
          <w:p>
            <w:pPr>
              <w:spacing w:after="40"/>
            </w:pPr>
            <w:r/>
            <w:r>
              <w:rPr>
                <w:rStyle w:val="CodeChar"/>
                <w:sz w:val="15"/>
              </w:rPr>
              <w:t>generation.run</w:t>
            </w:r>
          </w:p>
        </w:tc>
      </w:tr>
      <w:tr>
        <w:tc>
          <w:tcPr>
            <w:tcW w:type="dxa" w:w="1368"/>
          </w:tcPr>
          <w:p>
            <w:pPr>
              <w:spacing w:after="40"/>
            </w:pPr>
            <w:r/>
            <w:r>
              <w:rPr>
                <w:sz w:val="18"/>
              </w:rPr>
              <w:t>Findings</w:t>
            </w:r>
          </w:p>
        </w:tc>
        <w:tc>
          <w:tcPr>
            <w:tcW w:type="dxa" w:w="5400"/>
          </w:tcPr>
          <w:p>
            <w:pPr>
              <w:spacing w:after="40"/>
            </w:pPr>
            <w:r/>
            <w:r>
              <w:rPr>
                <w:rStyle w:val="CodeChar"/>
                <w:sz w:val="15"/>
              </w:rPr>
              <w:t>POST /results/:id/classify</w:t>
            </w:r>
            <w:r>
              <w:rPr>
                <w:sz w:val="18"/>
              </w:rPr>
              <w:t xml:space="preserve"> · </w:t>
            </w:r>
            <w:r>
              <w:rPr>
                <w:rStyle w:val="CodeChar"/>
                <w:sz w:val="15"/>
              </w:rPr>
              <w:t>POST /findings/:id/override</w:t>
            </w:r>
          </w:p>
        </w:tc>
        <w:tc>
          <w:tcPr>
            <w:tcW w:type="dxa" w:w="2016"/>
          </w:tcPr>
          <w:p>
            <w:pPr>
              <w:spacing w:after="40"/>
            </w:pPr>
            <w:r/>
            <w:r>
              <w:rPr>
                <w:rStyle w:val="CodeChar"/>
                <w:sz w:val="15"/>
              </w:rPr>
              <w:t>classification.override</w:t>
            </w:r>
          </w:p>
        </w:tc>
      </w:tr>
      <w:tr>
        <w:tc>
          <w:tcPr>
            <w:tcW w:type="dxa" w:w="1368"/>
            <w:shd w:val="clear" w:fill="F2F6F6"/>
          </w:tcPr>
          <w:p>
            <w:pPr>
              <w:spacing w:after="40"/>
            </w:pPr>
            <w:r/>
            <w:r>
              <w:rPr>
                <w:sz w:val="18"/>
              </w:rPr>
              <w:t>Reports</w:t>
            </w:r>
          </w:p>
        </w:tc>
        <w:tc>
          <w:tcPr>
            <w:tcW w:type="dxa" w:w="5400"/>
            <w:shd w:val="clear" w:fill="F2F6F6"/>
          </w:tcPr>
          <w:p>
            <w:pPr>
              <w:spacing w:after="40"/>
            </w:pPr>
            <w:r/>
            <w:r>
              <w:rPr>
                <w:rStyle w:val="CodeChar"/>
                <w:sz w:val="15"/>
              </w:rPr>
              <w:t>POST /executions/:id/report/generate</w:t>
            </w:r>
            <w:r>
              <w:rPr>
                <w:sz w:val="18"/>
              </w:rPr>
              <w:t xml:space="preserve"> · </w:t>
            </w:r>
            <w:r>
              <w:rPr>
                <w:rStyle w:val="CodeChar"/>
                <w:sz w:val="15"/>
              </w:rPr>
              <w:t>GET /executions/:id/report/export</w:t>
            </w:r>
          </w:p>
        </w:tc>
        <w:tc>
          <w:tcPr>
            <w:tcW w:type="dxa" w:w="2016"/>
            <w:shd w:val="clear" w:fill="F2F6F6"/>
          </w:tcPr>
          <w:p>
            <w:pPr>
              <w:spacing w:after="40"/>
            </w:pPr>
            <w:r/>
            <w:r>
              <w:rPr>
                <w:rStyle w:val="CodeChar"/>
                <w:sz w:val="15"/>
              </w:rPr>
              <w:t>report.export</w:t>
            </w:r>
          </w:p>
        </w:tc>
      </w:tr>
      <w:tr>
        <w:tc>
          <w:tcPr>
            <w:tcW w:type="dxa" w:w="1368"/>
          </w:tcPr>
          <w:p>
            <w:pPr>
              <w:spacing w:after="40"/>
            </w:pPr>
            <w:r/>
            <w:r>
              <w:rPr>
                <w:sz w:val="18"/>
              </w:rPr>
              <w:t>Git / CI</w:t>
            </w:r>
          </w:p>
        </w:tc>
        <w:tc>
          <w:tcPr>
            <w:tcW w:type="dxa" w:w="5400"/>
          </w:tcPr>
          <w:p>
            <w:pPr>
              <w:spacing w:after="40"/>
            </w:pPr>
            <w:r/>
            <w:r>
              <w:rPr>
                <w:rStyle w:val="CodeChar"/>
                <w:sz w:val="15"/>
              </w:rPr>
              <w:t>POST /projects/:id/git/commit</w:t>
            </w:r>
            <w:r>
              <w:rPr>
                <w:sz w:val="18"/>
              </w:rPr>
              <w:t xml:space="preserve"> · </w:t>
            </w:r>
            <w:r>
              <w:rPr>
                <w:rStyle w:val="CodeChar"/>
                <w:sz w:val="15"/>
              </w:rPr>
              <w:t>POST /ci/workflows/dispatch</w:t>
            </w:r>
          </w:p>
        </w:tc>
        <w:tc>
          <w:tcPr>
            <w:tcW w:type="dxa" w:w="2016"/>
          </w:tcPr>
          <w:p>
            <w:pPr>
              <w:spacing w:after="40"/>
            </w:pPr>
            <w:r/>
            <w:r>
              <w:rPr>
                <w:rStyle w:val="CodeChar"/>
                <w:sz w:val="15"/>
              </w:rPr>
              <w:t>git.push</w:t>
            </w:r>
            <w:r>
              <w:rPr>
                <w:sz w:val="18"/>
              </w:rPr>
              <w:t xml:space="preserve"> / </w:t>
            </w:r>
            <w:r>
              <w:rPr>
                <w:rStyle w:val="CodeChar"/>
                <w:sz w:val="15"/>
              </w:rPr>
              <w:t>ci.trigger</w:t>
            </w:r>
          </w:p>
        </w:tc>
      </w:tr>
      <w:tr>
        <w:tc>
          <w:tcPr>
            <w:tcW w:type="dxa" w:w="1368"/>
            <w:shd w:val="clear" w:fill="F2F6F6"/>
          </w:tcPr>
          <w:p>
            <w:pPr>
              <w:spacing w:after="40"/>
            </w:pPr>
            <w:r/>
            <w:r>
              <w:rPr>
                <w:sz w:val="18"/>
              </w:rPr>
              <w:t>Audit</w:t>
            </w:r>
          </w:p>
        </w:tc>
        <w:tc>
          <w:tcPr>
            <w:tcW w:type="dxa" w:w="5400"/>
            <w:shd w:val="clear" w:fill="F2F6F6"/>
          </w:tcPr>
          <w:p>
            <w:pPr>
              <w:spacing w:after="40"/>
            </w:pPr>
            <w:r/>
            <w:r>
              <w:rPr>
                <w:rStyle w:val="CodeChar"/>
                <w:sz w:val="15"/>
              </w:rPr>
              <w:t>GET /audit?actor=&amp;action=&amp;resourceId=&amp;from=&amp;to=</w:t>
            </w:r>
          </w:p>
        </w:tc>
        <w:tc>
          <w:tcPr>
            <w:tcW w:type="dxa" w:w="2016"/>
            <w:shd w:val="clear" w:fill="F2F6F6"/>
          </w:tcPr>
          <w:p>
            <w:pPr>
              <w:spacing w:after="40"/>
            </w:pPr>
            <w:r/>
            <w:r>
              <w:rPr>
                <w:sz w:val="18"/>
              </w:rPr>
              <w:t>authenticated</w:t>
            </w:r>
          </w:p>
        </w:tc>
      </w:tr>
    </w:tbl>
    <w:p>
      <w:pPr>
        <w:spacing w:after="80"/>
      </w:pPr>
    </w:p>
    <w:p>
      <w:pPr>
        <w:pStyle w:val="Heading2"/>
      </w:pPr>
      <w:r>
        <w:t>Engine — /internal/v1, X-Engine-Token required</w:t>
      </w:r>
    </w:p>
    <w:tbl>
      <w:tblPr>
        <w:tblStyle w:val="TableGrid"/>
        <w:tblW w:type="auto" w:w="0"/>
        <w:jc w:val="center"/>
        <w:tblLayout w:type="fixed"/>
        <w:tblLook w:firstColumn="1" w:firstRow="1" w:lastColumn="0" w:lastRow="0" w:noHBand="0" w:noVBand="1" w:val="04A0"/>
        <w:tblLayout w:type="fixed"/>
      </w:tblPr>
      <w:tblGrid>
        <w:gridCol w:w="3137"/>
        <w:gridCol w:w="3137"/>
        <w:gridCol w:w="3137"/>
      </w:tblGrid>
      <w:tr>
        <w:tc>
          <w:tcPr>
            <w:tcW w:type="dxa" w:w="2376"/>
            <w:shd w:val="clear" w:fill="DCE7E9"/>
          </w:tcPr>
          <w:p>
            <w:pPr>
              <w:spacing w:after="40"/>
            </w:pPr>
            <w:r/>
            <w:r>
              <w:rPr>
                <w:b/>
                <w:color w:val="0B5D6E"/>
                <w:sz w:val="16"/>
              </w:rPr>
              <w:t>ENDPOINT</w:t>
            </w:r>
          </w:p>
        </w:tc>
        <w:tc>
          <w:tcPr>
            <w:tcW w:type="dxa" w:w="4896"/>
            <w:shd w:val="clear" w:fill="DCE7E9"/>
          </w:tcPr>
          <w:p>
            <w:pPr>
              <w:spacing w:after="40"/>
            </w:pPr>
            <w:r/>
            <w:r>
              <w:rPr>
                <w:b/>
                <w:color w:val="0B5D6E"/>
                <w:sz w:val="16"/>
              </w:rPr>
              <w:t>DOES</w:t>
            </w:r>
          </w:p>
        </w:tc>
        <w:tc>
          <w:tcPr>
            <w:tcW w:type="dxa" w:w="1512"/>
            <w:shd w:val="clear" w:fill="DCE7E9"/>
          </w:tcPr>
          <w:p>
            <w:pPr>
              <w:spacing w:after="40"/>
            </w:pPr>
            <w:r/>
            <w:r>
              <w:rPr>
                <w:b/>
                <w:color w:val="0B5D6E"/>
                <w:sz w:val="16"/>
              </w:rPr>
              <w:t>LLM</w:t>
            </w:r>
          </w:p>
        </w:tc>
      </w:tr>
      <w:tr>
        <w:tc>
          <w:tcPr>
            <w:tcW w:type="dxa" w:w="2376"/>
          </w:tcPr>
          <w:p>
            <w:pPr>
              <w:spacing w:after="40"/>
            </w:pPr>
            <w:r/>
            <w:r>
              <w:rPr>
                <w:rStyle w:val="CodeChar"/>
                <w:sz w:val="15"/>
              </w:rPr>
              <w:t>POST /parse</w:t>
            </w:r>
          </w:p>
        </w:tc>
        <w:tc>
          <w:tcPr>
            <w:tcW w:type="dxa" w:w="4896"/>
          </w:tcPr>
          <w:p>
            <w:pPr>
              <w:spacing w:after="40"/>
            </w:pPr>
            <w:r/>
            <w:r>
              <w:rPr>
                <w:sz w:val="18"/>
              </w:rPr>
              <w:t>base64 files to text plus located segments</w:t>
            </w:r>
          </w:p>
        </w:tc>
        <w:tc>
          <w:tcPr>
            <w:tcW w:type="dxa" w:w="1512"/>
          </w:tcPr>
          <w:p>
            <w:pPr>
              <w:spacing w:after="40"/>
            </w:pPr>
            <w:r/>
            <w:r>
              <w:rPr>
                <w:sz w:val="18"/>
              </w:rPr>
              <w:t>—</w:t>
            </w:r>
          </w:p>
        </w:tc>
      </w:tr>
      <w:tr>
        <w:tc>
          <w:tcPr>
            <w:tcW w:type="dxa" w:w="2376"/>
            <w:shd w:val="clear" w:fill="F2F6F6"/>
          </w:tcPr>
          <w:p>
            <w:pPr>
              <w:spacing w:after="40"/>
            </w:pPr>
            <w:r/>
            <w:r>
              <w:rPr>
                <w:rStyle w:val="CodeChar"/>
                <w:sz w:val="15"/>
              </w:rPr>
              <w:t>POST /analyse</w:t>
            </w:r>
          </w:p>
        </w:tc>
        <w:tc>
          <w:tcPr>
            <w:tcW w:type="dxa" w:w="4896"/>
            <w:shd w:val="clear" w:fill="F2F6F6"/>
          </w:tcPr>
          <w:p>
            <w:pPr>
              <w:spacing w:after="40"/>
            </w:pPr>
            <w:r/>
            <w:r>
              <w:rPr>
                <w:sz w:val="18"/>
              </w:rPr>
              <w:t>one requirement to actors, flows, rules, risk, issues</w:t>
            </w:r>
          </w:p>
        </w:tc>
        <w:tc>
          <w:tcPr>
            <w:tcW w:type="dxa" w:w="1512"/>
            <w:shd w:val="clear" w:fill="F2F6F6"/>
          </w:tcPr>
          <w:p>
            <w:pPr>
              <w:spacing w:after="40"/>
            </w:pPr>
            <w:r/>
            <w:r>
              <w:rPr>
                <w:sz w:val="18"/>
              </w:rPr>
              <w:t>yes</w:t>
            </w:r>
          </w:p>
        </w:tc>
      </w:tr>
      <w:tr>
        <w:tc>
          <w:tcPr>
            <w:tcW w:type="dxa" w:w="2376"/>
          </w:tcPr>
          <w:p>
            <w:pPr>
              <w:spacing w:after="40"/>
            </w:pPr>
            <w:r/>
            <w:r>
              <w:rPr>
                <w:rStyle w:val="CodeChar"/>
                <w:sz w:val="15"/>
              </w:rPr>
              <w:t>POST /test-plan</w:t>
            </w:r>
          </w:p>
        </w:tc>
        <w:tc>
          <w:tcPr>
            <w:tcW w:type="dxa" w:w="4896"/>
          </w:tcPr>
          <w:p>
            <w:pPr>
              <w:spacing w:after="40"/>
            </w:pPr>
            <w:r/>
            <w:r>
              <w:rPr>
                <w:sz w:val="18"/>
              </w:rPr>
              <w:t>project, requirements and analyses to a 10-section plan</w:t>
            </w:r>
          </w:p>
        </w:tc>
        <w:tc>
          <w:tcPr>
            <w:tcW w:type="dxa" w:w="1512"/>
          </w:tcPr>
          <w:p>
            <w:pPr>
              <w:spacing w:after="40"/>
            </w:pPr>
            <w:r/>
            <w:r>
              <w:rPr>
                <w:sz w:val="18"/>
              </w:rPr>
              <w:t>yes</w:t>
            </w:r>
          </w:p>
        </w:tc>
      </w:tr>
      <w:tr>
        <w:tc>
          <w:tcPr>
            <w:tcW w:type="dxa" w:w="2376"/>
            <w:shd w:val="clear" w:fill="F2F6F6"/>
          </w:tcPr>
          <w:p>
            <w:pPr>
              <w:spacing w:after="40"/>
            </w:pPr>
            <w:r/>
            <w:r>
              <w:rPr>
                <w:rStyle w:val="CodeChar"/>
                <w:sz w:val="15"/>
              </w:rPr>
              <w:t>POST /test-cases</w:t>
            </w:r>
          </w:p>
        </w:tc>
        <w:tc>
          <w:tcPr>
            <w:tcW w:type="dxa" w:w="4896"/>
            <w:shd w:val="clear" w:fill="F2F6F6"/>
          </w:tcPr>
          <w:p>
            <w:pPr>
              <w:spacing w:after="40"/>
            </w:pPr>
            <w:r/>
            <w:r>
              <w:rPr>
                <w:sz w:val="18"/>
              </w:rPr>
              <w:t>requirement plus analysis to N structured cases</w:t>
            </w:r>
          </w:p>
        </w:tc>
        <w:tc>
          <w:tcPr>
            <w:tcW w:type="dxa" w:w="1512"/>
            <w:shd w:val="clear" w:fill="F2F6F6"/>
          </w:tcPr>
          <w:p>
            <w:pPr>
              <w:spacing w:after="40"/>
            </w:pPr>
            <w:r/>
            <w:r>
              <w:rPr>
                <w:sz w:val="18"/>
              </w:rPr>
              <w:t>yes</w:t>
            </w:r>
          </w:p>
        </w:tc>
      </w:tr>
      <w:tr>
        <w:tc>
          <w:tcPr>
            <w:tcW w:type="dxa" w:w="2376"/>
          </w:tcPr>
          <w:p>
            <w:pPr>
              <w:spacing w:after="40"/>
            </w:pPr>
            <w:r/>
            <w:r>
              <w:rPr>
                <w:rStyle w:val="CodeChar"/>
                <w:sz w:val="15"/>
              </w:rPr>
              <w:t>POST /automation</w:t>
            </w:r>
          </w:p>
        </w:tc>
        <w:tc>
          <w:tcPr>
            <w:tcW w:type="dxa" w:w="4896"/>
          </w:tcPr>
          <w:p>
            <w:pPr>
              <w:spacing w:after="40"/>
            </w:pPr>
            <w:r/>
            <w:r>
              <w:rPr>
                <w:sz w:val="18"/>
              </w:rPr>
              <w:t>approved cases to Playwright files and page objects</w:t>
            </w:r>
          </w:p>
        </w:tc>
        <w:tc>
          <w:tcPr>
            <w:tcW w:type="dxa" w:w="1512"/>
          </w:tcPr>
          <w:p>
            <w:pPr>
              <w:spacing w:after="40"/>
            </w:pPr>
            <w:r/>
            <w:r>
              <w:rPr>
                <w:sz w:val="18"/>
              </w:rPr>
              <w:t>yes</w:t>
            </w:r>
          </w:p>
        </w:tc>
      </w:tr>
      <w:tr>
        <w:tc>
          <w:tcPr>
            <w:tcW w:type="dxa" w:w="2376"/>
            <w:shd w:val="clear" w:fill="F2F6F6"/>
          </w:tcPr>
          <w:p>
            <w:pPr>
              <w:spacing w:after="40"/>
            </w:pPr>
            <w:r/>
            <w:r>
              <w:rPr>
                <w:rStyle w:val="CodeChar"/>
                <w:sz w:val="15"/>
              </w:rPr>
              <w:t>POST /classify</w:t>
            </w:r>
          </w:p>
        </w:tc>
        <w:tc>
          <w:tcPr>
            <w:tcW w:type="dxa" w:w="4896"/>
            <w:shd w:val="clear" w:fill="F2F6F6"/>
          </w:tcPr>
          <w:p>
            <w:pPr>
              <w:spacing w:after="40"/>
            </w:pPr>
            <w:r/>
            <w:r>
              <w:rPr>
                <w:sz w:val="18"/>
              </w:rPr>
              <w:t>failure to app_defect | test_defect | environment | data | inconclusive</w:t>
            </w:r>
          </w:p>
        </w:tc>
        <w:tc>
          <w:tcPr>
            <w:tcW w:type="dxa" w:w="1512"/>
            <w:shd w:val="clear" w:fill="F2F6F6"/>
          </w:tcPr>
          <w:p>
            <w:pPr>
              <w:spacing w:after="40"/>
            </w:pPr>
            <w:r/>
            <w:r>
              <w:rPr>
                <w:sz w:val="18"/>
              </w:rPr>
              <w:t>yes</w:t>
            </w:r>
          </w:p>
        </w:tc>
      </w:tr>
      <w:tr>
        <w:tc>
          <w:tcPr>
            <w:tcW w:type="dxa" w:w="2376"/>
          </w:tcPr>
          <w:p>
            <w:pPr>
              <w:spacing w:after="40"/>
            </w:pPr>
            <w:r/>
            <w:r>
              <w:rPr>
                <w:rStyle w:val="CodeChar"/>
                <w:sz w:val="15"/>
              </w:rPr>
              <w:t>POST /report</w:t>
            </w:r>
          </w:p>
        </w:tc>
        <w:tc>
          <w:tcPr>
            <w:tcW w:type="dxa" w:w="4896"/>
          </w:tcPr>
          <w:p>
            <w:pPr>
              <w:spacing w:after="40"/>
            </w:pPr>
            <w:r/>
            <w:r>
              <w:rPr>
                <w:sz w:val="18"/>
              </w:rPr>
              <w:t>run data to HTML, Markdown and narrative</w:t>
            </w:r>
          </w:p>
        </w:tc>
        <w:tc>
          <w:tcPr>
            <w:tcW w:type="dxa" w:w="1512"/>
          </w:tcPr>
          <w:p>
            <w:pPr>
              <w:spacing w:after="40"/>
            </w:pPr>
            <w:r/>
            <w:r>
              <w:rPr>
                <w:sz w:val="18"/>
              </w:rPr>
              <w:t>partial</w:t>
            </w:r>
          </w:p>
        </w:tc>
      </w:tr>
      <w:tr>
        <w:tc>
          <w:tcPr>
            <w:tcW w:type="dxa" w:w="2376"/>
            <w:shd w:val="clear" w:fill="F2F6F6"/>
          </w:tcPr>
          <w:p>
            <w:pPr>
              <w:spacing w:after="40"/>
            </w:pPr>
            <w:r/>
            <w:r>
              <w:rPr>
                <w:rStyle w:val="CodeChar"/>
                <w:sz w:val="15"/>
              </w:rPr>
              <w:t>POST /validate</w:t>
            </w:r>
          </w:p>
        </w:tc>
        <w:tc>
          <w:tcPr>
            <w:tcW w:type="dxa" w:w="4896"/>
            <w:shd w:val="clear" w:fill="F2F6F6"/>
          </w:tcPr>
          <w:p>
            <w:pPr>
              <w:spacing w:after="40"/>
            </w:pPr>
            <w:r/>
            <w:r>
              <w:rPr>
                <w:sz w:val="18"/>
              </w:rPr>
              <w:t>files to a ValidationReport</w:t>
            </w:r>
          </w:p>
        </w:tc>
        <w:tc>
          <w:tcPr>
            <w:tcW w:type="dxa" w:w="1512"/>
            <w:shd w:val="clear" w:fill="F2F6F6"/>
          </w:tcPr>
          <w:p>
            <w:pPr>
              <w:spacing w:after="40"/>
            </w:pPr>
            <w:r/>
            <w:r>
              <w:rPr>
                <w:sz w:val="18"/>
              </w:rPr>
              <w:t>deterministic</w:t>
            </w:r>
          </w:p>
        </w:tc>
      </w:tr>
      <w:tr>
        <w:tc>
          <w:tcPr>
            <w:tcW w:type="dxa" w:w="2376"/>
          </w:tcPr>
          <w:p>
            <w:pPr>
              <w:spacing w:after="40"/>
            </w:pPr>
            <w:r/>
            <w:r>
              <w:rPr>
                <w:rStyle w:val="CodeChar"/>
                <w:sz w:val="15"/>
              </w:rPr>
              <w:t>POST /execution-plan</w:t>
            </w:r>
          </w:p>
        </w:tc>
        <w:tc>
          <w:tcPr>
            <w:tcW w:type="dxa" w:w="4896"/>
          </w:tcPr>
          <w:p>
            <w:pPr>
              <w:spacing w:after="40"/>
            </w:pPr>
            <w:r/>
            <w:r>
              <w:rPr>
                <w:sz w:val="18"/>
              </w:rPr>
              <w:t>cases to ordered navigate/fill/click/assert steps</w:t>
            </w:r>
          </w:p>
        </w:tc>
        <w:tc>
          <w:tcPr>
            <w:tcW w:type="dxa" w:w="1512"/>
          </w:tcPr>
          <w:p>
            <w:pPr>
              <w:spacing w:after="40"/>
            </w:pPr>
            <w:r/>
            <w:r>
              <w:rPr>
                <w:sz w:val="18"/>
              </w:rPr>
              <w:t>deterministic</w:t>
            </w:r>
          </w:p>
        </w:tc>
      </w:tr>
      <w:tr>
        <w:tc>
          <w:tcPr>
            <w:tcW w:type="dxa" w:w="2376"/>
            <w:shd w:val="clear" w:fill="F2F6F6"/>
          </w:tcPr>
          <w:p>
            <w:pPr>
              <w:spacing w:after="40"/>
            </w:pPr>
            <w:r/>
            <w:r>
              <w:rPr>
                <w:rStyle w:val="CodeChar"/>
                <w:sz w:val="15"/>
              </w:rPr>
              <w:t>POST /execute</w:t>
            </w:r>
          </w:p>
        </w:tc>
        <w:tc>
          <w:tcPr>
            <w:tcW w:type="dxa" w:w="4896"/>
            <w:shd w:val="clear" w:fill="F2F6F6"/>
          </w:tcPr>
          <w:p>
            <w:pPr>
              <w:spacing w:after="40"/>
            </w:pPr>
            <w:r/>
            <w:r>
              <w:rPr>
                <w:sz w:val="18"/>
              </w:rPr>
              <w:t>spawns the pytest run, returns immediately</w:t>
            </w:r>
          </w:p>
        </w:tc>
        <w:tc>
          <w:tcPr>
            <w:tcW w:type="dxa" w:w="1512"/>
            <w:shd w:val="clear" w:fill="F2F6F6"/>
          </w:tcPr>
          <w:p>
            <w:pPr>
              <w:spacing w:after="40"/>
            </w:pPr>
            <w:r/>
            <w:r>
              <w:rPr>
                <w:sz w:val="18"/>
              </w:rPr>
              <w:t>deterministic</w:t>
            </w:r>
          </w:p>
        </w:tc>
      </w:tr>
      <w:tr>
        <w:tc>
          <w:tcPr>
            <w:tcW w:type="dxa" w:w="2376"/>
          </w:tcPr>
          <w:p>
            <w:pPr>
              <w:spacing w:after="40"/>
            </w:pPr>
            <w:r/>
            <w:r>
              <w:rPr>
                <w:rStyle w:val="CodeChar"/>
                <w:sz w:val="15"/>
              </w:rPr>
              <w:t>POST /render-pdf</w:t>
            </w:r>
          </w:p>
        </w:tc>
        <w:tc>
          <w:tcPr>
            <w:tcW w:type="dxa" w:w="4896"/>
          </w:tcPr>
          <w:p>
            <w:pPr>
              <w:spacing w:after="40"/>
            </w:pPr>
            <w:r/>
            <w:r>
              <w:rPr>
                <w:sz w:val="18"/>
              </w:rPr>
              <w:t>HTML to a real PDF via headless Chromium</w:t>
            </w:r>
          </w:p>
        </w:tc>
        <w:tc>
          <w:tcPr>
            <w:tcW w:type="dxa" w:w="1512"/>
          </w:tcPr>
          <w:p>
            <w:pPr>
              <w:spacing w:after="40"/>
            </w:pPr>
            <w:r/>
            <w:r>
              <w:rPr>
                <w:sz w:val="18"/>
              </w:rPr>
              <w:t>deterministic</w:t>
            </w:r>
          </w:p>
        </w:tc>
      </w:tr>
      <w:tr>
        <w:tc>
          <w:tcPr>
            <w:tcW w:type="dxa" w:w="2376"/>
            <w:shd w:val="clear" w:fill="F2F6F6"/>
          </w:tcPr>
          <w:p>
            <w:pPr>
              <w:spacing w:after="40"/>
            </w:pPr>
            <w:r/>
            <w:r>
              <w:rPr>
                <w:rStyle w:val="CodeChar"/>
                <w:sz w:val="15"/>
              </w:rPr>
              <w:t>GET /runs/:id/events</w:t>
            </w:r>
          </w:p>
        </w:tc>
        <w:tc>
          <w:tcPr>
            <w:tcW w:type="dxa" w:w="4896"/>
            <w:shd w:val="clear" w:fill="F2F6F6"/>
          </w:tcPr>
          <w:p>
            <w:pPr>
              <w:spacing w:after="40"/>
            </w:pPr>
            <w:r/>
            <w:r>
              <w:rPr>
                <w:sz w:val="18"/>
              </w:rPr>
              <w:t xml:space="preserve">SSE stream, replayable from </w:t>
            </w:r>
            <w:r>
              <w:rPr>
                <w:rStyle w:val="CodeChar"/>
                <w:sz w:val="15"/>
              </w:rPr>
              <w:t>from_seq</w:t>
            </w:r>
          </w:p>
        </w:tc>
        <w:tc>
          <w:tcPr>
            <w:tcW w:type="dxa" w:w="1512"/>
            <w:shd w:val="clear" w:fill="F2F6F6"/>
          </w:tcPr>
          <w:p>
            <w:pPr>
              <w:spacing w:after="40"/>
            </w:pPr>
            <w:r/>
            <w:r>
              <w:rPr>
                <w:sz w:val="18"/>
              </w:rPr>
              <w:t>—</w:t>
            </w:r>
          </w:p>
        </w:tc>
      </w:tr>
      <w:tr>
        <w:tc>
          <w:tcPr>
            <w:tcW w:type="dxa" w:w="2376"/>
          </w:tcPr>
          <w:p>
            <w:pPr>
              <w:spacing w:after="40"/>
            </w:pPr>
            <w:r/>
            <w:r>
              <w:rPr>
                <w:rStyle w:val="CodeChar"/>
                <w:sz w:val="15"/>
              </w:rPr>
              <w:t>POST /runs/:id/_ingest</w:t>
            </w:r>
          </w:p>
        </w:tc>
        <w:tc>
          <w:tcPr>
            <w:tcW w:type="dxa" w:w="4896"/>
          </w:tcPr>
          <w:p>
            <w:pPr>
              <w:spacing w:after="40"/>
            </w:pPr>
            <w:r/>
            <w:r>
              <w:rPr>
                <w:sz w:val="18"/>
              </w:rPr>
              <w:t>loopback sink for step events from pytest</w:t>
            </w:r>
          </w:p>
        </w:tc>
        <w:tc>
          <w:tcPr>
            <w:tcW w:type="dxa" w:w="1512"/>
          </w:tcPr>
          <w:p>
            <w:pPr>
              <w:spacing w:after="40"/>
            </w:pPr>
            <w:r/>
            <w:r>
              <w:rPr>
                <w:sz w:val="18"/>
              </w:rPr>
              <w:t>—</w:t>
            </w:r>
          </w:p>
        </w:tc>
      </w:tr>
    </w:tbl>
    <w:p>
      <w:pPr>
        <w:spacing w:after="80"/>
      </w:pPr>
    </w:p>
    <w:p>
      <w:r>
        <w:t xml:space="preserve">Generation endpoints honour an </w:t>
      </w:r>
      <w:r>
        <w:rPr>
          <w:rStyle w:val="CodeChar"/>
        </w:rPr>
        <w:t>Idempotency-Key</w:t>
      </w:r>
      <w:r>
        <w:t xml:space="preserve"> header against a bounded in-process cache (1000 keys, 24-hour TTL, oldest evicted) so a retried submit returns the original result rather than paying for a second inference.</w:t>
      </w:r>
    </w:p>
    <w:p>
      <w:pPr>
        <w:pStyle w:val="Heading1"/>
      </w:pPr>
      <w:r>
        <w:rPr>
          <w:rFonts w:ascii="Consolas" w:hAnsi="Consolas"/>
          <w:color w:val="0B5D6E"/>
          <w:sz w:val="26"/>
        </w:rPr>
        <w:t xml:space="preserve">05   </w:t>
      </w:r>
      <w:r>
        <w:rPr>
          <w:rFonts w:ascii="Cambria" w:hAnsi="Cambria"/>
          <w:color w:val="0E1618"/>
          <w:sz w:val="38"/>
        </w:rPr>
        <w:t>Real-time event path</w:t>
      </w:r>
    </w:p>
    <w:p>
      <w:pPr>
        <w:pStyle w:val="Lede"/>
      </w:pPr>
      <w:r>
        <w:t>A click inside a headless browser reaches the user's screen across three process hops and two protocol changes. Every hop is ordered, bounded and replayable.</w:t>
      </w:r>
    </w:p>
    <w:p>
      <w:pPr>
        <w:sectPr>
          <w:pgSz w:w="11906" w:h="16838"/>
          <w:pgMar w:top="1134" w:right="1247" w:bottom="1134" w:left="1247" w:header="720" w:footer="720" w:gutter="0"/>
          <w:cols w:space="720"/>
          <w:docGrid w:linePitch="360"/>
        </w:sectPr>
      </w:pPr>
    </w:p>
    <w:p>
      <w:pPr>
        <w:keepNext/>
        <w:spacing w:before="120" w:after="0"/>
        <w:jc w:val="center"/>
      </w:pPr>
      <w:r>
        <w:drawing>
          <wp:inline xmlns:a="http://schemas.openxmlformats.org/drawingml/2006/main" xmlns:pic="http://schemas.openxmlformats.org/drawingml/2006/picture">
            <wp:extent cx="8229600" cy="3902391"/>
            <wp:docPr id="4" name="Picture 4"/>
            <wp:cNvGraphicFramePr>
              <a:graphicFrameLocks noChangeAspect="1"/>
            </wp:cNvGraphicFramePr>
            <a:graphic>
              <a:graphicData uri="http://schemas.openxmlformats.org/drawingml/2006/picture">
                <pic:pic>
                  <pic:nvPicPr>
                    <pic:cNvPr id="0" name="03-event-sequence.png"/>
                    <pic:cNvPicPr/>
                  </pic:nvPicPr>
                  <pic:blipFill>
                    <a:blip r:embed="rId12"/>
                    <a:stretch>
                      <a:fillRect/>
                    </a:stretch>
                  </pic:blipFill>
                  <pic:spPr>
                    <a:xfrm>
                      <a:off x="0" y="0"/>
                      <a:ext cx="8229600" cy="3902391"/>
                    </a:xfrm>
                    <a:prstGeom prst="rect"/>
                  </pic:spPr>
                </pic:pic>
              </a:graphicData>
            </a:graphic>
          </wp:inline>
        </w:drawing>
      </w:r>
    </w:p>
    <w:p>
      <w:pPr>
        <w:pStyle w:val="Caption"/>
      </w:pPr>
      <w:r>
        <w:t>Figure 3 — Live execution telemetry. Two independent streams per run: ExecutionEvent carries machine telemetry, ExecutionLogEntry carries the human CI-style console. Both replay by seq.</w:t>
      </w:r>
    </w:p>
    <w:p>
      <w:pPr>
        <w:sectPr>
          <w:pgSz w:w="16838" w:h="11906" w:orient="landscape"/>
          <w:pgMar w:top="1020" w:right="1134" w:bottom="1020" w:left="1134" w:header="720" w:footer="720" w:gutter="0"/>
          <w:cols w:space="720"/>
          <w:docGrid w:linePitch="360"/>
        </w:sectPr>
      </w:pPr>
    </w:p>
    <w:p>
      <w:pPr>
        <w:pStyle w:val="Heading2"/>
      </w:pPr>
      <w:r>
        <w:t>Ordering and back-pressure guarantees</w:t>
      </w:r>
    </w:p>
    <w:p>
      <w:pPr>
        <w:pStyle w:val="ListBullet"/>
        <w:spacing w:after="60"/>
      </w:pPr>
      <w:r>
        <w:rPr>
          <w:b/>
        </w:rPr>
        <w:t>Never blocks the browser.</w:t>
      </w:r>
      <w:r>
        <w:t xml:space="preserve"> </w:t>
      </w:r>
      <w:r>
        <w:rPr>
          <w:rStyle w:val="CodeChar"/>
        </w:rPr>
        <w:t>emit_step</w:t>
      </w:r>
      <w:r>
        <w:t xml:space="preserve"> enqueues to a bounded queue and returns. Under back-pressure the oldest telemetry is dropped — the run keeps moving.</w:t>
      </w:r>
    </w:p>
    <w:p>
      <w:pPr>
        <w:pStyle w:val="ListBullet"/>
        <w:spacing w:after="60"/>
      </w:pPr>
      <w:r>
        <w:rPr>
          <w:b/>
        </w:rPr>
        <w:t>Never hangs a consumer.</w:t>
      </w:r>
      <w:r>
        <w:t xml:space="preserve"> </w:t>
      </w:r>
      <w:r>
        <w:rPr>
          <w:rStyle w:val="CodeChar"/>
        </w:rPr>
        <w:t>eventbus.close(run_id)</w:t>
      </w:r>
      <w:r>
        <w:t xml:space="preserve"> runs in a </w:t>
      </w:r>
      <w:r>
        <w:rPr>
          <w:rStyle w:val="CodeChar"/>
        </w:rPr>
        <w:t>finally</w:t>
      </w:r>
      <w:r>
        <w:t>, so SSE readers terminate even if the worker crashes.</w:t>
      </w:r>
    </w:p>
    <w:p>
      <w:pPr>
        <w:pStyle w:val="ListBullet"/>
        <w:spacing w:after="60"/>
      </w:pPr>
      <w:r>
        <w:rPr>
          <w:b/>
        </w:rPr>
        <w:t>Bounded memory.</w:t>
      </w:r>
      <w:r>
        <w:t xml:space="preserve"> 10,000 events retained per run; 200 completed runs kept replayable before the oldest are evicted.</w:t>
      </w:r>
    </w:p>
    <w:p>
      <w:pPr>
        <w:pStyle w:val="ListBullet"/>
        <w:spacing w:after="60"/>
      </w:pPr>
      <w:r>
        <w:rPr>
          <w:b/>
        </w:rPr>
        <w:t>Survives a backend restart.</w:t>
      </w:r>
      <w:r>
        <w:t xml:space="preserve"> In-memory </w:t>
      </w:r>
      <w:r>
        <w:rPr>
          <w:rStyle w:val="CodeChar"/>
        </w:rPr>
        <w:t>seq</w:t>
      </w:r>
      <w:r>
        <w:t xml:space="preserve"> counters are primed from the persisted stream so a resumed run never reuses a sequence a client already saw.</w:t>
      </w:r>
    </w:p>
    <w:p>
      <w:pPr>
        <w:pStyle w:val="ListBullet"/>
        <w:spacing w:after="60"/>
      </w:pPr>
      <w:r>
        <w:rPr>
          <w:b/>
        </w:rPr>
        <w:t>Scoped delivery.</w:t>
      </w:r>
      <w:r>
        <w:t xml:space="preserve"> Envelopes go to </w:t>
      </w:r>
      <w:r>
        <w:rPr>
          <w:rStyle w:val="CodeChar"/>
        </w:rPr>
        <w:t>project:{id}</w:t>
      </w:r>
      <w:r>
        <w:t xml:space="preserve"> and </w:t>
      </w:r>
      <w:r>
        <w:rPr>
          <w:rStyle w:val="CodeChar"/>
        </w:rPr>
        <w:t>run:{id}</w:t>
      </w:r>
      <w:r>
        <w:t xml:space="preserve"> rooms; per-user notifications go only to </w:t>
      </w:r>
      <w:r>
        <w:rPr>
          <w:rStyle w:val="CodeChar"/>
        </w:rPr>
        <w:t>user:{id}</w:t>
      </w:r>
      <w:r>
        <w:t>.</w:t>
      </w:r>
    </w:p>
    <w:p>
      <w:pPr>
        <w:pStyle w:val="Heading2"/>
      </w:pPr>
      <w:r>
        <w:t>Event vocabulary</w:t>
      </w:r>
    </w:p>
    <w:p>
      <w:r>
        <w:rPr>
          <w:rStyle w:val="CodeChar"/>
        </w:rPr>
        <w:t>job.progress</w:t>
      </w:r>
      <w:r>
        <w:t xml:space="preserve"> · </w:t>
      </w:r>
      <w:r>
        <w:rPr>
          <w:rStyle w:val="CodeChar"/>
        </w:rPr>
        <w:t>job.log</w:t>
      </w:r>
      <w:r>
        <w:t xml:space="preserve"> · </w:t>
      </w:r>
      <w:r>
        <w:rPr>
          <w:rStyle w:val="CodeChar"/>
        </w:rPr>
        <w:t>job.completed</w:t>
      </w:r>
      <w:r>
        <w:t xml:space="preserve"> · </w:t>
      </w:r>
      <w:r>
        <w:rPr>
          <w:rStyle w:val="CodeChar"/>
        </w:rPr>
        <w:t>job.failed</w:t>
      </w:r>
      <w:r>
        <w:t xml:space="preserve"> · </w:t>
      </w:r>
      <w:r>
        <w:rPr>
          <w:rStyle w:val="CodeChar"/>
        </w:rPr>
        <w:t>job.cancelled</w:t>
      </w:r>
      <w:r>
        <w:t xml:space="preserve"> · </w:t>
      </w:r>
      <w:r>
        <w:rPr>
          <w:rStyle w:val="CodeChar"/>
        </w:rPr>
        <w:t>analysis.ready</w:t>
      </w:r>
      <w:r>
        <w:t xml:space="preserve"> · </w:t>
      </w:r>
      <w:r>
        <w:rPr>
          <w:rStyle w:val="CodeChar"/>
        </w:rPr>
        <w:t>plan.ready</w:t>
      </w:r>
      <w:r>
        <w:t xml:space="preserve"> · </w:t>
      </w:r>
      <w:r>
        <w:rPr>
          <w:rStyle w:val="CodeChar"/>
        </w:rPr>
        <w:t>cases.ready</w:t>
      </w:r>
      <w:r>
        <w:t xml:space="preserve"> · </w:t>
      </w:r>
      <w:r>
        <w:rPr>
          <w:rStyle w:val="CodeChar"/>
        </w:rPr>
        <w:t>automation.ready</w:t>
      </w:r>
      <w:r>
        <w:t xml:space="preserve"> · </w:t>
      </w:r>
      <w:r>
        <w:rPr>
          <w:rStyle w:val="CodeChar"/>
        </w:rPr>
        <w:t>validation.ready</w:t>
      </w:r>
      <w:r>
        <w:t xml:space="preserve"> · </w:t>
      </w:r>
      <w:r>
        <w:rPr>
          <w:rStyle w:val="CodeChar"/>
        </w:rPr>
        <w:t>approval.updated</w:t>
      </w:r>
      <w:r>
        <w:t xml:space="preserve"> · </w:t>
      </w:r>
      <w:r>
        <w:rPr>
          <w:rStyle w:val="CodeChar"/>
        </w:rPr>
        <w:t>execution.step</w:t>
      </w:r>
      <w:r>
        <w:t xml:space="preserve"> · </w:t>
      </w:r>
      <w:r>
        <w:rPr>
          <w:rStyle w:val="CodeChar"/>
        </w:rPr>
        <w:t>execution.status</w:t>
      </w:r>
      <w:r>
        <w:t xml:space="preserve"> · </w:t>
      </w:r>
      <w:r>
        <w:rPr>
          <w:rStyle w:val="CodeChar"/>
        </w:rPr>
        <w:t>execution.log</w:t>
      </w:r>
      <w:r>
        <w:t xml:space="preserve"> · </w:t>
      </w:r>
      <w:r>
        <w:rPr>
          <w:rStyle w:val="CodeChar"/>
        </w:rPr>
        <w:t>notification.new</w:t>
      </w:r>
      <w:r>
        <w:t xml:space="preserve"> · </w:t>
      </w:r>
      <w:r>
        <w:rPr>
          <w:rStyle w:val="CodeChar"/>
        </w:rPr>
        <w:t>ci.status</w:t>
      </w:r>
    </w:p>
    <w:p>
      <w:r>
        <w:t xml:space="preserve">The frontend's </w:t>
      </w:r>
      <w:r>
        <w:rPr>
          <w:rStyle w:val="CodeChar"/>
        </w:rPr>
        <w:t>useProjectEvents</w:t>
      </w:r>
      <w:r>
        <w:t xml:space="preserve"> folds these into precise TanStack Query invalidations rather than polling — and deliberately narrows the high-frequency </w:t>
      </w:r>
      <w:r>
        <w:rPr>
          <w:rStyle w:val="CodeChar"/>
        </w:rPr>
        <w:t>job.progress</w:t>
      </w:r>
      <w:r>
        <w:t xml:space="preserve"> to the jobs key alone, so progress ticks cannot trigger a refetch storm.</w:t>
      </w:r>
    </w:p>
    <w:p>
      <w:pPr>
        <w:pStyle w:val="Heading1"/>
      </w:pPr>
      <w:r>
        <w:rPr>
          <w:rFonts w:ascii="Consolas" w:hAnsi="Consolas"/>
          <w:color w:val="0B5D6E"/>
          <w:sz w:val="26"/>
        </w:rPr>
        <w:t xml:space="preserve">06   </w:t>
      </w:r>
      <w:r>
        <w:rPr>
          <w:rFonts w:ascii="Cambria" w:hAnsi="Cambria"/>
          <w:color w:val="0E1618"/>
          <w:sz w:val="38"/>
        </w:rPr>
        <w:t>Job and execution runtime</w:t>
      </w:r>
    </w:p>
    <w:p>
      <w:pPr>
        <w:pStyle w:val="Lede"/>
      </w:pPr>
      <w:r>
        <w:t>Local LLM generation takes minutes and a browser run takes longer. Everything long-running is a job with progress, a live log, cooperative cancellation and a hard timeout.</w:t>
      </w:r>
    </w:p>
    <w:p>
      <w:pPr>
        <w:pStyle w:val="Heading2"/>
      </w:pPr>
      <w:r>
        <w:t>Generation jobs</w:t>
      </w:r>
    </w:p>
    <w:p>
      <w:r>
        <w:t xml:space="preserve">A controller creates a </w:t>
      </w:r>
      <w:r>
        <w:rPr>
          <w:rStyle w:val="CodeChar"/>
        </w:rPr>
        <w:t>Job</w:t>
      </w:r>
      <w:r>
        <w:t xml:space="preserve"> row and dispatches a worker without awaiting it, acknowledging in under two seconds. Each worker receives a </w:t>
      </w:r>
      <w:r>
        <w:rPr>
          <w:rStyle w:val="CodeChar"/>
        </w:rPr>
        <w:t>JobContext</w:t>
      </w:r>
      <w:r>
        <w:t xml:space="preserve"> exposing </w:t>
      </w:r>
      <w:r>
        <w:rPr>
          <w:rStyle w:val="CodeChar"/>
        </w:rPr>
        <w:t>log()</w:t>
      </w:r>
      <w:r>
        <w:t xml:space="preserve">, </w:t>
      </w:r>
      <w:r>
        <w:rPr>
          <w:rStyle w:val="CodeChar"/>
        </w:rPr>
        <w:t>isCancelled()</w:t>
      </w:r>
      <w:r>
        <w:t xml:space="preserve"> and </w:t>
      </w:r>
      <w:r>
        <w:rPr>
          <w:rStyle w:val="CodeChar"/>
        </w:rPr>
        <w:t>checkpoint()</w:t>
      </w:r>
      <w:r>
        <w:t>.</w:t>
      </w:r>
    </w:p>
    <w:p>
      <w:pPr>
        <w:pStyle w:val="ListBullet"/>
        <w:spacing w:after="60"/>
      </w:pPr>
      <w:r>
        <w:rPr>
          <w:b/>
        </w:rPr>
        <w:t>Cancellation is cooperative.</w:t>
      </w:r>
      <w:r>
        <w:t xml:space="preserve"> </w:t>
      </w:r>
      <w:r>
        <w:rPr>
          <w:rStyle w:val="CodeChar"/>
        </w:rPr>
        <w:t>POST /jobs/:id/cancel</w:t>
      </w:r>
      <w:r>
        <w:t xml:space="preserve"> sets </w:t>
      </w:r>
      <w:r>
        <w:rPr>
          <w:rStyle w:val="CodeChar"/>
        </w:rPr>
        <w:t>cancelRequested</w:t>
      </w:r>
      <w:r>
        <w:t xml:space="preserve">; the worker throws at its next </w:t>
      </w:r>
      <w:r>
        <w:rPr>
          <w:rStyle w:val="CodeChar"/>
        </w:rPr>
        <w:t>checkpoint()</w:t>
      </w:r>
      <w:r>
        <w:t>. A still-queued job cancels immediately.</w:t>
      </w:r>
    </w:p>
    <w:p>
      <w:pPr>
        <w:pStyle w:val="ListBullet"/>
        <w:spacing w:after="60"/>
      </w:pPr>
      <w:r>
        <w:rPr>
          <w:b/>
        </w:rPr>
        <w:t>Timeouts race the worker.</w:t>
      </w:r>
      <w:r>
        <w:t xml:space="preserve"> </w:t>
      </w:r>
      <w:r>
        <w:rPr>
          <w:rStyle w:val="CodeChar"/>
        </w:rPr>
        <w:t>Promise.race([worker, timeout])</w:t>
      </w:r>
      <w:r>
        <w:t xml:space="preserve"> at </w:t>
      </w:r>
      <w:r>
        <w:rPr>
          <w:rStyle w:val="CodeChar"/>
        </w:rPr>
        <w:t>JOB_TIMEOUT_MS</w:t>
      </w:r>
      <w:r>
        <w:t xml:space="preserve"> (default 30 minutes). The loser keeps running, so an abort latch stops the orphan from writing artefacts under a terminal job.</w:t>
      </w:r>
    </w:p>
    <w:p>
      <w:pPr>
        <w:pStyle w:val="ListBullet"/>
        <w:spacing w:after="60"/>
      </w:pPr>
      <w:r>
        <w:rPr>
          <w:b/>
        </w:rPr>
        <w:t>Retry is traceable.</w:t>
      </w:r>
      <w:r>
        <w:t xml:space="preserve"> Each feature service registers a </w:t>
      </w:r>
      <w:r>
        <w:rPr>
          <w:rStyle w:val="CodeChar"/>
        </w:rPr>
        <w:t>RetryHandler</w:t>
      </w:r>
      <w:r>
        <w:t xml:space="preserve"> that rebuilds the job from its stored </w:t>
      </w:r>
      <w:r>
        <w:rPr>
          <w:rStyle w:val="CodeChar"/>
        </w:rPr>
        <w:t>inputRefs</w:t>
      </w:r>
      <w:r>
        <w:t xml:space="preserve">; the new job records </w:t>
      </w:r>
      <w:r>
        <w:rPr>
          <w:rStyle w:val="CodeChar"/>
        </w:rPr>
        <w:t>retryOfJobId</w:t>
      </w:r>
      <w:r>
        <w:t>.</w:t>
      </w:r>
    </w:p>
    <w:p>
      <w:pPr>
        <w:pStyle w:val="ListBullet"/>
        <w:spacing w:after="60"/>
      </w:pPr>
      <w:r>
        <w:rPr>
          <w:b/>
        </w:rPr>
        <w:t>Logs replay.</w:t>
      </w:r>
      <w:r>
        <w:t xml:space="preserve"> Every line is persisted with a monotonic </w:t>
      </w:r>
      <w:r>
        <w:rPr>
          <w:rStyle w:val="CodeChar"/>
        </w:rPr>
        <w:t>seq</w:t>
      </w:r>
      <w:r>
        <w:t>, so a browser refresh mid-job resumes the console without duplicates.</w:t>
      </w:r>
    </w:p>
    <w:p>
      <w:pPr>
        <w:pStyle w:val="Heading2"/>
      </w:pPr>
      <w:r>
        <w:t>Execution runs</w:t>
      </w:r>
    </w:p>
    <w:p>
      <w:pPr>
        <w:keepNext/>
        <w:spacing w:before="120" w:after="0"/>
        <w:jc w:val="center"/>
      </w:pPr>
      <w:r>
        <w:drawing>
          <wp:inline xmlns:a="http://schemas.openxmlformats.org/drawingml/2006/main" xmlns:pic="http://schemas.openxmlformats.org/drawingml/2006/picture">
            <wp:extent cx="1463040" cy="5585254"/>
            <wp:docPr id="5" name="Picture 5"/>
            <wp:cNvGraphicFramePr>
              <a:graphicFrameLocks noChangeAspect="1"/>
            </wp:cNvGraphicFramePr>
            <a:graphic>
              <a:graphicData uri="http://schemas.openxmlformats.org/drawingml/2006/picture">
                <pic:pic>
                  <pic:nvPicPr>
                    <pic:cNvPr id="0" name="04-execution-queue.png"/>
                    <pic:cNvPicPr/>
                  </pic:nvPicPr>
                  <pic:blipFill>
                    <a:blip r:embed="rId13"/>
                    <a:stretch>
                      <a:fillRect/>
                    </a:stretch>
                  </pic:blipFill>
                  <pic:spPr>
                    <a:xfrm>
                      <a:off x="0" y="0"/>
                      <a:ext cx="1463040" cy="5585254"/>
                    </a:xfrm>
                    <a:prstGeom prst="rect"/>
                  </pic:spPr>
                </pic:pic>
              </a:graphicData>
            </a:graphic>
          </wp:inline>
        </w:drawing>
      </w:r>
    </w:p>
    <w:p>
      <w:pPr>
        <w:pStyle w:val="Caption"/>
      </w:pPr>
      <w:r>
        <w:t>Figure 4 — Execution queue. Concurrency is capped at EXEC_MAX_CONCURRENT (default 1); pump passes are chained so two passes can never claim the same queued run.</w:t>
      </w:r>
    </w:p>
    <w:tbl>
      <w:tblPr>
        <w:tblStyle w:val="TableGrid"/>
        <w:tblW w:type="auto" w:w="0"/>
        <w:jc w:val="center"/>
        <w:tblLayout w:type="fixed"/>
        <w:tblLook w:firstColumn="1" w:firstRow="1" w:lastColumn="0" w:lastRow="0" w:noHBand="0" w:noVBand="1" w:val="04A0"/>
        <w:tblLayout w:type="fixed"/>
      </w:tblPr>
      <w:tblGrid>
        <w:gridCol w:w="4706"/>
        <w:gridCol w:w="4706"/>
      </w:tblGrid>
      <w:tr>
        <w:tc>
          <w:tcPr>
            <w:tcW w:type="dxa" w:w="2160"/>
            <w:shd w:val="clear" w:fill="DCE7E9"/>
          </w:tcPr>
          <w:p>
            <w:pPr>
              <w:spacing w:after="40"/>
            </w:pPr>
            <w:r/>
            <w:r>
              <w:rPr>
                <w:b/>
                <w:color w:val="0B5D6E"/>
                <w:sz w:val="16"/>
              </w:rPr>
              <w:t>ASPECT</w:t>
            </w:r>
          </w:p>
        </w:tc>
        <w:tc>
          <w:tcPr>
            <w:tcW w:type="dxa" w:w="6624"/>
            <w:shd w:val="clear" w:fill="DCE7E9"/>
          </w:tcPr>
          <w:p>
            <w:pPr>
              <w:spacing w:after="40"/>
            </w:pPr>
            <w:r/>
            <w:r>
              <w:rPr>
                <w:b/>
                <w:color w:val="0B5D6E"/>
                <w:sz w:val="16"/>
              </w:rPr>
              <w:t>BEHAVIOUR</w:t>
            </w:r>
          </w:p>
        </w:tc>
      </w:tr>
      <w:tr>
        <w:tc>
          <w:tcPr>
            <w:tcW w:type="dxa" w:w="2160"/>
          </w:tcPr>
          <w:p>
            <w:pPr>
              <w:spacing w:after="40"/>
            </w:pPr>
            <w:r/>
            <w:r>
              <w:rPr>
                <w:sz w:val="18"/>
              </w:rPr>
              <w:t>Run scope</w:t>
            </w:r>
          </w:p>
        </w:tc>
        <w:tc>
          <w:tcPr>
            <w:tcW w:type="dxa" w:w="6624"/>
          </w:tcPr>
          <w:p>
            <w:pPr>
              <w:spacing w:after="40"/>
            </w:pPr>
            <w:r/>
            <w:r>
              <w:rPr>
                <w:b/>
                <w:sz w:val="18"/>
              </w:rPr>
              <w:t>selected</w:t>
            </w:r>
            <w:r>
              <w:rPr>
                <w:sz w:val="18"/>
              </w:rPr>
              <w:t xml:space="preserve"> — chosen artefacts · </w:t>
            </w:r>
            <w:r>
              <w:rPr>
                <w:b/>
                <w:sz w:val="18"/>
              </w:rPr>
              <w:t>failed</w:t>
            </w:r>
            <w:r>
              <w:rPr>
                <w:sz w:val="18"/>
              </w:rPr>
              <w:t xml:space="preserve"> — paths that failed in the last finished run · </w:t>
            </w:r>
            <w:r>
              <w:rPr>
                <w:b/>
                <w:sz w:val="18"/>
              </w:rPr>
              <w:t>all</w:t>
            </w:r>
            <w:r>
              <w:rPr>
                <w:sz w:val="18"/>
              </w:rPr>
              <w:t xml:space="preserve"> — every approved and validated artefact</w:t>
            </w:r>
          </w:p>
        </w:tc>
      </w:tr>
      <w:tr>
        <w:tc>
          <w:tcPr>
            <w:tcW w:type="dxa" w:w="2160"/>
            <w:shd w:val="clear" w:fill="F2F6F6"/>
          </w:tcPr>
          <w:p>
            <w:pPr>
              <w:spacing w:after="40"/>
            </w:pPr>
            <w:r/>
            <w:r>
              <w:rPr>
                <w:sz w:val="18"/>
              </w:rPr>
              <w:t>Admin-bounded settings</w:t>
            </w:r>
          </w:p>
        </w:tc>
        <w:tc>
          <w:tcPr>
            <w:tcW w:type="dxa" w:w="6624"/>
            <w:shd w:val="clear" w:fill="F2F6F6"/>
          </w:tcPr>
          <w:p>
            <w:pPr>
              <w:spacing w:after="40"/>
            </w:pPr>
            <w:r/>
            <w:r>
              <w:rPr>
                <w:sz w:val="18"/>
              </w:rPr>
              <w:t>timeout 30–1800s · retries 0–3 · workers 1–4 · slow-mo 0–2000ms · screenshot policy · video. Out-of-range requests are rejected with the limits attached.</w:t>
            </w:r>
          </w:p>
        </w:tc>
      </w:tr>
      <w:tr>
        <w:tc>
          <w:tcPr>
            <w:tcW w:type="dxa" w:w="2160"/>
          </w:tcPr>
          <w:p>
            <w:pPr>
              <w:spacing w:after="40"/>
            </w:pPr>
            <w:r/>
            <w:r>
              <w:rPr>
                <w:sz w:val="18"/>
              </w:rPr>
              <w:t>Artefact materialisation</w:t>
            </w:r>
          </w:p>
        </w:tc>
        <w:tc>
          <w:tcPr>
            <w:tcW w:type="dxa" w:w="6624"/>
          </w:tcPr>
          <w:p>
            <w:pPr>
              <w:spacing w:after="40"/>
            </w:pPr>
            <w:r/>
            <w:r>
              <w:rPr>
                <w:sz w:val="18"/>
              </w:rPr>
              <w:t>The database is the artefact store. Test files and every active page object in the project are written into the engine workspace at submit time, so imports always resolve.</w:t>
            </w:r>
          </w:p>
        </w:tc>
      </w:tr>
      <w:tr>
        <w:tc>
          <w:tcPr>
            <w:tcW w:type="dxa" w:w="2160"/>
            <w:shd w:val="clear" w:fill="F2F6F6"/>
          </w:tcPr>
          <w:p>
            <w:pPr>
              <w:spacing w:after="40"/>
            </w:pPr>
            <w:r/>
            <w:r>
              <w:rPr>
                <w:sz w:val="18"/>
              </w:rPr>
              <w:t>Three layers of timeout</w:t>
            </w:r>
          </w:p>
        </w:tc>
        <w:tc>
          <w:tcPr>
            <w:tcW w:type="dxa" w:w="6624"/>
            <w:shd w:val="clear" w:fill="F2F6F6"/>
          </w:tcPr>
          <w:p>
            <w:pPr>
              <w:spacing w:after="40"/>
            </w:pPr>
            <w:r/>
            <w:r>
              <w:rPr>
                <w:sz w:val="18"/>
              </w:rPr>
              <w:t xml:space="preserve">pytest's own timeout, the engine's </w:t>
            </w:r>
            <w:r>
              <w:rPr>
                <w:rStyle w:val="CodeChar"/>
                <w:sz w:val="15"/>
              </w:rPr>
              <w:t>communicate(timeout=)</w:t>
            </w:r>
            <w:r>
              <w:rPr>
                <w:sz w:val="18"/>
              </w:rPr>
              <w:t xml:space="preserve"> with SIGTERM then SIGKILL on the process group, and a backend watchdog at timeout + 120s that reclaims a stalled slot.</w:t>
            </w:r>
          </w:p>
        </w:tc>
      </w:tr>
    </w:tbl>
    <w:p>
      <w:pPr>
        <w:spacing w:after="80"/>
      </w:pPr>
    </w:p>
    <w:p>
      <w:r>
        <w:t xml:space="preserve">Cancellation kills the whole process group — the runner starts with </w:t>
      </w:r>
      <w:r>
        <w:rPr>
          <w:rStyle w:val="CodeChar"/>
        </w:rPr>
        <w:t>start_new_session=True</w:t>
      </w:r>
      <w:r>
        <w:t xml:space="preserve"> specifically so </w:t>
      </w:r>
      <w:r>
        <w:rPr>
          <w:rStyle w:val="CodeChar"/>
        </w:rPr>
        <w:t>os.killpg</w:t>
      </w:r>
      <w:r>
        <w:t xml:space="preserve"> reaches pytest and its browser children. SIGTERM first, SIGKILL after a 10-second grace period.</w:t>
      </w:r>
    </w:p>
    <w:p>
      <w:pPr>
        <w:pStyle w:val="Heading1"/>
      </w:pPr>
      <w:r>
        <w:rPr>
          <w:rFonts w:ascii="Consolas" w:hAnsi="Consolas"/>
          <w:color w:val="0B5D6E"/>
          <w:sz w:val="26"/>
        </w:rPr>
        <w:t xml:space="preserve">07   </w:t>
      </w:r>
      <w:r>
        <w:rPr>
          <w:rFonts w:ascii="Cambria" w:hAnsi="Cambria"/>
          <w:color w:val="0E1618"/>
          <w:sz w:val="38"/>
        </w:rPr>
        <w:t>Domain model</w:t>
      </w:r>
    </w:p>
    <w:p>
      <w:pPr>
        <w:pStyle w:val="Lede"/>
      </w:pPr>
      <w:r>
        <w:t>Twenty-four entities. The spine is a lineage chain: every artefact points back to the generation run that produced it and the source it came from.</w:t>
      </w:r>
    </w:p>
    <w:p>
      <w:pPr>
        <w:keepNext/>
        <w:spacing w:before="120" w:after="0"/>
        <w:jc w:val="center"/>
      </w:pPr>
      <w:r>
        <w:drawing>
          <wp:inline xmlns:a="http://schemas.openxmlformats.org/drawingml/2006/main" xmlns:pic="http://schemas.openxmlformats.org/drawingml/2006/picture">
            <wp:extent cx="5760720" cy="5352123"/>
            <wp:docPr id="6" name="Picture 6"/>
            <wp:cNvGraphicFramePr>
              <a:graphicFrameLocks noChangeAspect="1"/>
            </wp:cNvGraphicFramePr>
            <a:graphic>
              <a:graphicData uri="http://schemas.openxmlformats.org/drawingml/2006/picture">
                <pic:pic>
                  <pic:nvPicPr>
                    <pic:cNvPr id="0" name="05a-model-lineage.png"/>
                    <pic:cNvPicPr/>
                  </pic:nvPicPr>
                  <pic:blipFill>
                    <a:blip r:embed="rId14"/>
                    <a:stretch>
                      <a:fillRect/>
                    </a:stretch>
                  </pic:blipFill>
                  <pic:spPr>
                    <a:xfrm>
                      <a:off x="0" y="0"/>
                      <a:ext cx="5760720" cy="5352123"/>
                    </a:xfrm>
                    <a:prstGeom prst="rect"/>
                  </pic:spPr>
                </pic:pic>
              </a:graphicData>
            </a:graphic>
          </wp:inline>
        </w:drawing>
      </w:r>
    </w:p>
    <w:p>
      <w:pPr>
        <w:pStyle w:val="Caption"/>
      </w:pPr>
      <w:r>
        <w:t>Figure 5 — Artefact lineage, document through generated automation. Dotted relationships are JSON id-array associations resolved in application code.</w:t>
      </w:r>
    </w:p>
    <w:p>
      <w:pPr>
        <w:sectPr>
          <w:pgSz w:w="11906" w:h="16838"/>
          <w:pgMar w:top="1134" w:right="1247" w:bottom="1134" w:left="1247" w:header="720" w:footer="720" w:gutter="0"/>
          <w:cols w:space="720"/>
          <w:docGrid w:linePitch="360"/>
        </w:sectPr>
      </w:pPr>
    </w:p>
    <w:p>
      <w:pPr>
        <w:keepNext/>
        <w:spacing w:before="120" w:after="0"/>
        <w:jc w:val="center"/>
      </w:pPr>
      <w:r>
        <w:drawing>
          <wp:inline xmlns:a="http://schemas.openxmlformats.org/drawingml/2006/main" xmlns:pic="http://schemas.openxmlformats.org/drawingml/2006/picture">
            <wp:extent cx="8778240" cy="3864190"/>
            <wp:docPr id="7" name="Picture 7"/>
            <wp:cNvGraphicFramePr>
              <a:graphicFrameLocks noChangeAspect="1"/>
            </wp:cNvGraphicFramePr>
            <a:graphic>
              <a:graphicData uri="http://schemas.openxmlformats.org/drawingml/2006/picture">
                <pic:pic>
                  <pic:nvPicPr>
                    <pic:cNvPr id="0" name="05b-model-execution.png"/>
                    <pic:cNvPicPr/>
                  </pic:nvPicPr>
                  <pic:blipFill>
                    <a:blip r:embed="rId15"/>
                    <a:stretch>
                      <a:fillRect/>
                    </a:stretch>
                  </pic:blipFill>
                  <pic:spPr>
                    <a:xfrm>
                      <a:off x="0" y="0"/>
                      <a:ext cx="8778240" cy="3864190"/>
                    </a:xfrm>
                    <a:prstGeom prst="rect"/>
                  </pic:spPr>
                </pic:pic>
              </a:graphicData>
            </a:graphic>
          </wp:inline>
        </w:drawing>
      </w:r>
    </w:p>
    <w:p>
      <w:pPr>
        <w:pStyle w:val="Caption"/>
      </w:pPr>
      <w:r>
        <w:t>Figure 6 — Execution, governance and access. Approvals bind to a specific artefact version; audit events are append-only.</w:t>
      </w:r>
    </w:p>
    <w:p>
      <w:pPr>
        <w:sectPr>
          <w:pgSz w:w="16838" w:h="11906" w:orient="landscape"/>
          <w:pgMar w:top="1020" w:right="1134" w:bottom="1020" w:left="1134" w:header="720" w:footer="720" w:gutter="0"/>
          <w:cols w:space="720"/>
          <w:docGrid w:linePitch="360"/>
        </w:sectPr>
      </w:pPr>
    </w:p>
    <w:p>
      <w:pPr>
        <w:pStyle w:val="Heading2"/>
      </w:pPr>
      <w:r>
        <w:t>Provenance columns carried by every artefact</w:t>
      </w:r>
    </w:p>
    <w:tbl>
      <w:tblPr>
        <w:tblStyle w:val="TableGrid"/>
        <w:tblW w:type="auto" w:w="0"/>
        <w:jc w:val="center"/>
        <w:tblLayout w:type="fixed"/>
        <w:tblLook w:firstColumn="1" w:firstRow="1" w:lastColumn="0" w:lastRow="0" w:noHBand="0" w:noVBand="1" w:val="04A0"/>
        <w:tblLayout w:type="fixed"/>
      </w:tblPr>
      <w:tblGrid>
        <w:gridCol w:w="4706"/>
        <w:gridCol w:w="4706"/>
      </w:tblGrid>
      <w:tr>
        <w:tc>
          <w:tcPr>
            <w:tcW w:type="dxa" w:w="2736"/>
            <w:shd w:val="clear" w:fill="DCE7E9"/>
          </w:tcPr>
          <w:p>
            <w:pPr>
              <w:spacing w:after="40"/>
            </w:pPr>
            <w:r/>
            <w:r>
              <w:rPr>
                <w:b/>
                <w:color w:val="0B5D6E"/>
                <w:sz w:val="16"/>
              </w:rPr>
              <w:t>COLUMN</w:t>
            </w:r>
          </w:p>
        </w:tc>
        <w:tc>
          <w:tcPr>
            <w:tcW w:type="dxa" w:w="6048"/>
            <w:shd w:val="clear" w:fill="DCE7E9"/>
          </w:tcPr>
          <w:p>
            <w:pPr>
              <w:spacing w:after="40"/>
            </w:pPr>
            <w:r/>
            <w:r>
              <w:rPr>
                <w:b/>
                <w:color w:val="0B5D6E"/>
                <w:sz w:val="16"/>
              </w:rPr>
              <w:t>PURPOSE</w:t>
            </w:r>
          </w:p>
        </w:tc>
      </w:tr>
      <w:tr>
        <w:tc>
          <w:tcPr>
            <w:tcW w:type="dxa" w:w="2736"/>
          </w:tcPr>
          <w:p>
            <w:pPr>
              <w:spacing w:after="40"/>
            </w:pPr>
            <w:r/>
            <w:r>
              <w:rPr>
                <w:rStyle w:val="CodeChar"/>
                <w:sz w:val="15"/>
              </w:rPr>
              <w:t>contentHash</w:t>
            </w:r>
          </w:p>
        </w:tc>
        <w:tc>
          <w:tcPr>
            <w:tcW w:type="dxa" w:w="6048"/>
          </w:tcPr>
          <w:p>
            <w:pPr>
              <w:spacing w:after="40"/>
            </w:pPr>
            <w:r/>
            <w:r>
              <w:rPr>
                <w:sz w:val="18"/>
              </w:rPr>
              <w:t>Stable SHA-256 over canonicalised JSON — detects drift and identical regeneration</w:t>
            </w:r>
          </w:p>
        </w:tc>
      </w:tr>
      <w:tr>
        <w:tc>
          <w:tcPr>
            <w:tcW w:type="dxa" w:w="2736"/>
            <w:shd w:val="clear" w:fill="F2F6F6"/>
          </w:tcPr>
          <w:p>
            <w:pPr>
              <w:spacing w:after="40"/>
            </w:pPr>
            <w:r/>
            <w:r>
              <w:rPr>
                <w:rStyle w:val="CodeChar"/>
                <w:sz w:val="15"/>
              </w:rPr>
              <w:t>version</w:t>
            </w:r>
          </w:p>
        </w:tc>
        <w:tc>
          <w:tcPr>
            <w:tcW w:type="dxa" w:w="6048"/>
            <w:shd w:val="clear" w:fill="F2F6F6"/>
          </w:tcPr>
          <w:p>
            <w:pPr>
              <w:spacing w:after="40"/>
            </w:pPr>
            <w:r/>
            <w:r>
              <w:rPr>
                <w:sz w:val="18"/>
              </w:rPr>
              <w:t>Monotonic; incremented on every edit, never reset. Approvals bind to a version</w:t>
            </w:r>
          </w:p>
        </w:tc>
      </w:tr>
      <w:tr>
        <w:tc>
          <w:tcPr>
            <w:tcW w:type="dxa" w:w="2736"/>
          </w:tcPr>
          <w:p>
            <w:pPr>
              <w:spacing w:after="40"/>
            </w:pPr>
            <w:r/>
            <w:r>
              <w:rPr>
                <w:rStyle w:val="CodeChar"/>
                <w:sz w:val="15"/>
              </w:rPr>
              <w:t>schemaVersion</w:t>
            </w:r>
          </w:p>
        </w:tc>
        <w:tc>
          <w:tcPr>
            <w:tcW w:type="dxa" w:w="6048"/>
          </w:tcPr>
          <w:p>
            <w:pPr>
              <w:spacing w:after="40"/>
            </w:pPr>
            <w:r/>
            <w:r>
              <w:rPr>
                <w:sz w:val="18"/>
              </w:rPr>
              <w:t>Engine output contract the row was produced against</w:t>
            </w:r>
          </w:p>
        </w:tc>
      </w:tr>
      <w:tr>
        <w:tc>
          <w:tcPr>
            <w:tcW w:type="dxa" w:w="2736"/>
            <w:shd w:val="clear" w:fill="F2F6F6"/>
          </w:tcPr>
          <w:p>
            <w:pPr>
              <w:spacing w:after="40"/>
            </w:pPr>
            <w:r/>
            <w:r>
              <w:rPr>
                <w:rStyle w:val="CodeChar"/>
                <w:sz w:val="15"/>
              </w:rPr>
              <w:t>generationRunId</w:t>
            </w:r>
          </w:p>
        </w:tc>
        <w:tc>
          <w:tcPr>
            <w:tcW w:type="dxa" w:w="6048"/>
            <w:shd w:val="clear" w:fill="F2F6F6"/>
          </w:tcPr>
          <w:p>
            <w:pPr>
              <w:spacing w:after="40"/>
            </w:pPr>
            <w:r/>
            <w:r>
              <w:rPr>
                <w:sz w:val="18"/>
              </w:rPr>
              <w:t>Links back to model, temperature and job</w:t>
            </w:r>
          </w:p>
        </w:tc>
      </w:tr>
      <w:tr>
        <w:tc>
          <w:tcPr>
            <w:tcW w:type="dxa" w:w="2736"/>
          </w:tcPr>
          <w:p>
            <w:pPr>
              <w:spacing w:after="40"/>
            </w:pPr>
            <w:r/>
            <w:r>
              <w:rPr>
                <w:rStyle w:val="CodeChar"/>
                <w:sz w:val="15"/>
              </w:rPr>
              <w:t>approvalStatus</w:t>
            </w:r>
            <w:r>
              <w:rPr>
                <w:sz w:val="18"/>
              </w:rPr>
              <w:t xml:space="preserve"> + </w:t>
            </w:r>
            <w:r>
              <w:rPr>
                <w:rStyle w:val="CodeChar"/>
                <w:sz w:val="15"/>
              </w:rPr>
              <w:t>approvalInvalidated</w:t>
            </w:r>
          </w:p>
        </w:tc>
        <w:tc>
          <w:tcPr>
            <w:tcW w:type="dxa" w:w="6048"/>
          </w:tcPr>
          <w:p>
            <w:pPr>
              <w:spacing w:after="40"/>
            </w:pPr>
            <w:r/>
            <w:r>
              <w:rPr>
                <w:sz w:val="18"/>
              </w:rPr>
              <w:t>Together derive the six-state artefact lifecycle without a data migration</w:t>
            </w:r>
          </w:p>
        </w:tc>
      </w:tr>
      <w:tr>
        <w:tc>
          <w:tcPr>
            <w:tcW w:type="dxa" w:w="2736"/>
            <w:shd w:val="clear" w:fill="F2F6F6"/>
          </w:tcPr>
          <w:p>
            <w:pPr>
              <w:spacing w:after="40"/>
            </w:pPr>
            <w:r/>
            <w:r>
              <w:rPr>
                <w:rStyle w:val="CodeChar"/>
                <w:sz w:val="15"/>
              </w:rPr>
              <w:t>seq</w:t>
            </w:r>
            <w:r>
              <w:rPr>
                <w:sz w:val="18"/>
              </w:rPr>
              <w:t xml:space="preserve"> / </w:t>
            </w:r>
            <w:r>
              <w:rPr>
                <w:rStyle w:val="CodeChar"/>
                <w:sz w:val="15"/>
              </w:rPr>
              <w:t>humanId</w:t>
            </w:r>
          </w:p>
        </w:tc>
        <w:tc>
          <w:tcPr>
            <w:tcW w:type="dxa" w:w="6048"/>
            <w:shd w:val="clear" w:fill="F2F6F6"/>
          </w:tcPr>
          <w:p>
            <w:pPr>
              <w:spacing w:after="40"/>
            </w:pPr>
            <w:r/>
            <w:r>
              <w:rPr>
                <w:sz w:val="18"/>
              </w:rPr>
              <w:t xml:space="preserve">Test cases only — </w:t>
            </w:r>
            <w:r>
              <w:rPr>
                <w:rStyle w:val="CodeChar"/>
                <w:sz w:val="15"/>
              </w:rPr>
              <w:t>TC-{int}</w:t>
            </w:r>
            <w:r>
              <w:rPr>
                <w:sz w:val="18"/>
              </w:rPr>
              <w:t xml:space="preserve"> from a CAS-allocated per-project sequence; stable across edits</w:t>
            </w:r>
          </w:p>
        </w:tc>
      </w:tr>
    </w:tbl>
    <w:p>
      <w:pPr>
        <w:spacing w:after="80"/>
      </w:pPr>
    </w:p>
    <w:p>
      <w:r>
        <w:rPr>
          <w:rStyle w:val="CodeChar"/>
        </w:rPr>
        <w:t>SequencesService</w:t>
      </w:r>
      <w:r>
        <w:t xml:space="preserve"> allocates identifier blocks with an optimistic compare-and-swap (</w:t>
      </w:r>
      <w:r>
        <w:rPr>
          <w:rStyle w:val="CodeChar"/>
        </w:rPr>
        <w:t>UPDATE ... WHERE next_value = :expected</w:t>
      </w:r>
      <w:r>
        <w:t xml:space="preserve">, 25 attempts), so two parallel generation jobs can never mint overlapping </w:t>
      </w:r>
      <w:r>
        <w:rPr>
          <w:rStyle w:val="CodeChar"/>
        </w:rPr>
        <w:t>TC-</w:t>
      </w:r>
      <w:r>
        <w:t xml:space="preserve"> numbers on either database driver.</w:t>
      </w:r>
    </w:p>
    <w:p>
      <w:pPr>
        <w:pStyle w:val="Heading1"/>
      </w:pPr>
      <w:r>
        <w:rPr>
          <w:rFonts w:ascii="Consolas" w:hAnsi="Consolas"/>
          <w:color w:val="0B5D6E"/>
          <w:sz w:val="26"/>
        </w:rPr>
        <w:t xml:space="preserve">08   </w:t>
      </w:r>
      <w:r>
        <w:rPr>
          <w:rFonts w:ascii="Cambria" w:hAnsi="Cambria"/>
          <w:color w:val="0E1618"/>
          <w:sz w:val="38"/>
        </w:rPr>
        <w:t>State machines</w:t>
      </w:r>
    </w:p>
    <w:p>
      <w:pPr>
        <w:pStyle w:val="Lede"/>
      </w:pPr>
      <w:r>
        <w:t>Status is never assigned as a free-form string. Every mutation goes through an explicit transition map; an illegal move raises 409 invalid_state_transition with the allowed set attached.</w:t>
      </w:r>
    </w:p>
    <w:p>
      <w:pPr>
        <w:keepNext/>
        <w:spacing w:before="120" w:after="0"/>
        <w:jc w:val="center"/>
      </w:pPr>
      <w:r>
        <w:drawing>
          <wp:inline xmlns:a="http://schemas.openxmlformats.org/drawingml/2006/main" xmlns:pic="http://schemas.openxmlformats.org/drawingml/2006/picture">
            <wp:extent cx="5029200" cy="2668011"/>
            <wp:docPr id="8" name="Picture 8"/>
            <wp:cNvGraphicFramePr>
              <a:graphicFrameLocks noChangeAspect="1"/>
            </wp:cNvGraphicFramePr>
            <a:graphic>
              <a:graphicData uri="http://schemas.openxmlformats.org/drawingml/2006/picture">
                <pic:pic>
                  <pic:nvPicPr>
                    <pic:cNvPr id="0" name="06-state-job.png"/>
                    <pic:cNvPicPr/>
                  </pic:nvPicPr>
                  <pic:blipFill>
                    <a:blip r:embed="rId16"/>
                    <a:stretch>
                      <a:fillRect/>
                    </a:stretch>
                  </pic:blipFill>
                  <pic:spPr>
                    <a:xfrm>
                      <a:off x="0" y="0"/>
                      <a:ext cx="5029200" cy="2668011"/>
                    </a:xfrm>
                    <a:prstGeom prst="rect"/>
                  </pic:spPr>
                </pic:pic>
              </a:graphicData>
            </a:graphic>
          </wp:inline>
        </w:drawing>
      </w:r>
    </w:p>
    <w:p>
      <w:pPr>
        <w:pStyle w:val="Caption"/>
      </w:pPr>
      <w:r>
        <w:t>Figure 7 — Generation job. Five terminal states; completed_with_warnings is reached when a worker returns non-fatal warnings.</w:t>
      </w:r>
    </w:p>
    <w:p>
      <w:pPr>
        <w:keepNext/>
        <w:spacing w:before="120" w:after="0"/>
        <w:jc w:val="center"/>
      </w:pPr>
      <w:r>
        <w:drawing>
          <wp:inline xmlns:a="http://schemas.openxmlformats.org/drawingml/2006/main" xmlns:pic="http://schemas.openxmlformats.org/drawingml/2006/picture">
            <wp:extent cx="5029200" cy="2531614"/>
            <wp:docPr id="9" name="Picture 9"/>
            <wp:cNvGraphicFramePr>
              <a:graphicFrameLocks noChangeAspect="1"/>
            </wp:cNvGraphicFramePr>
            <a:graphic>
              <a:graphicData uri="http://schemas.openxmlformats.org/drawingml/2006/picture">
                <pic:pic>
                  <pic:nvPicPr>
                    <pic:cNvPr id="0" name="07-state-execution.png"/>
                    <pic:cNvPicPr/>
                  </pic:nvPicPr>
                  <pic:blipFill>
                    <a:blip r:embed="rId17"/>
                    <a:stretch>
                      <a:fillRect/>
                    </a:stretch>
                  </pic:blipFill>
                  <pic:spPr>
                    <a:xfrm>
                      <a:off x="0" y="0"/>
                      <a:ext cx="5029200" cy="2531614"/>
                    </a:xfrm>
                    <a:prstGeom prst="rect"/>
                  </pic:spPr>
                </pic:pic>
              </a:graphicData>
            </a:graphic>
          </wp:inline>
        </w:drawing>
      </w:r>
    </w:p>
    <w:p>
      <w:pPr>
        <w:pStyle w:val="Caption"/>
      </w:pPr>
      <w:r>
        <w:t>Figure 8 — Execution run. The terminal outcome derives from metrics, not the process exit code: outcomeFromMetrics() returns failed when no counts exist, so an empty metrics object can never be reported as a green run.</w:t>
      </w:r>
    </w:p>
    <w:p>
      <w:pPr>
        <w:keepNext/>
        <w:spacing w:before="120" w:after="0"/>
        <w:jc w:val="center"/>
      </w:pPr>
      <w:r>
        <w:drawing>
          <wp:inline xmlns:a="http://schemas.openxmlformats.org/drawingml/2006/main" xmlns:pic="http://schemas.openxmlformats.org/drawingml/2006/picture">
            <wp:extent cx="5486400" cy="1687637"/>
            <wp:docPr id="10" name="Picture 10"/>
            <wp:cNvGraphicFramePr>
              <a:graphicFrameLocks noChangeAspect="1"/>
            </wp:cNvGraphicFramePr>
            <a:graphic>
              <a:graphicData uri="http://schemas.openxmlformats.org/drawingml/2006/picture">
                <pic:pic>
                  <pic:nvPicPr>
                    <pic:cNvPr id="0" name="08-state-validation.png"/>
                    <pic:cNvPicPr/>
                  </pic:nvPicPr>
                  <pic:blipFill>
                    <a:blip r:embed="rId18"/>
                    <a:stretch>
                      <a:fillRect/>
                    </a:stretch>
                  </pic:blipFill>
                  <pic:spPr>
                    <a:xfrm>
                      <a:off x="0" y="0"/>
                      <a:ext cx="5486400" cy="1687637"/>
                    </a:xfrm>
                    <a:prstGeom prst="rect"/>
                  </pic:spPr>
                </pic:pic>
              </a:graphicData>
            </a:graphic>
          </wp:inline>
        </w:drawing>
      </w:r>
    </w:p>
    <w:p>
      <w:pPr>
        <w:pStyle w:val="Caption"/>
      </w:pPr>
      <w:r>
        <w:t>Figure 9 — Validation. The overridden state is reachable only through an authorised role supplying a written reason, recorded as a validation_exception approval.</w:t>
      </w:r>
    </w:p>
    <w:p>
      <w:pPr>
        <w:pStyle w:val="Heading2"/>
      </w:pPr>
      <w:r>
        <w:t>Artefact lifecycle</w:t>
      </w:r>
    </w:p>
    <w:p>
      <w:r>
        <w:t xml:space="preserve">The six-state artefact lifecycle — draft, under review, approved, rejected, superseded, archived — is derived rather than stored, computed by </w:t>
      </w:r>
      <w:r>
        <w:rPr>
          <w:rStyle w:val="CodeChar"/>
        </w:rPr>
        <w:t>deriveArtefactState()</w:t>
      </w:r>
      <w:r>
        <w:t xml:space="preserve"> from </w:t>
      </w:r>
      <w:r>
        <w:rPr>
          <w:rStyle w:val="CodeChar"/>
        </w:rPr>
        <w:t>approvalStatus</w:t>
      </w:r>
      <w:r>
        <w:t xml:space="preserve">, </w:t>
      </w:r>
      <w:r>
        <w:rPr>
          <w:rStyle w:val="CodeChar"/>
        </w:rPr>
        <w:t>approvalInvalidated</w:t>
      </w:r>
      <w:r>
        <w:t xml:space="preserve">, </w:t>
      </w:r>
      <w:r>
        <w:rPr>
          <w:rStyle w:val="CodeChar"/>
        </w:rPr>
        <w:t>status</w:t>
      </w:r>
      <w:r>
        <w:t xml:space="preserve"> and </w:t>
      </w:r>
      <w:r>
        <w:rPr>
          <w:rStyle w:val="CodeChar"/>
        </w:rPr>
        <w:t>archived</w:t>
      </w:r>
      <w:r>
        <w:t>. Existing rows needed no migration to gain it.</w:t>
      </w:r>
    </w:p>
    <w:p>
      <w:pPr>
        <w:pStyle w:val="Heading1"/>
      </w:pPr>
      <w:r>
        <w:rPr>
          <w:rFonts w:ascii="Consolas" w:hAnsi="Consolas"/>
          <w:color w:val="0B5D6E"/>
          <w:sz w:val="26"/>
        </w:rPr>
        <w:t xml:space="preserve">09   </w:t>
      </w:r>
      <w:r>
        <w:rPr>
          <w:rFonts w:ascii="Cambria" w:hAnsi="Cambria"/>
          <w:color w:val="0E1618"/>
          <w:sz w:val="38"/>
        </w:rPr>
        <w:t>The validation gate</w:t>
      </w:r>
    </w:p>
    <w:p>
      <w:pPr>
        <w:pStyle w:val="Lede"/>
      </w:pPr>
      <w:r>
        <w:t>The component the core principle rests on. It inspects the actual generated bytes and never the model's claims about them.</w:t>
      </w:r>
    </w:p>
    <w:p>
      <w:pPr>
        <w:keepNext/>
        <w:spacing w:before="120" w:after="0"/>
        <w:jc w:val="center"/>
      </w:pPr>
      <w:r>
        <w:drawing>
          <wp:inline xmlns:a="http://schemas.openxmlformats.org/drawingml/2006/main" xmlns:pic="http://schemas.openxmlformats.org/drawingml/2006/picture">
            <wp:extent cx="4023360" cy="5559840"/>
            <wp:docPr id="11" name="Picture 11"/>
            <wp:cNvGraphicFramePr>
              <a:graphicFrameLocks noChangeAspect="1"/>
            </wp:cNvGraphicFramePr>
            <a:graphic>
              <a:graphicData uri="http://schemas.openxmlformats.org/drawingml/2006/picture">
                <pic:pic>
                  <pic:nvPicPr>
                    <pic:cNvPr id="0" name="09-validation-gate.png"/>
                    <pic:cNvPicPr/>
                  </pic:nvPicPr>
                  <pic:blipFill>
                    <a:blip r:embed="rId19"/>
                    <a:stretch>
                      <a:fillRect/>
                    </a:stretch>
                  </pic:blipFill>
                  <pic:spPr>
                    <a:xfrm>
                      <a:off x="0" y="0"/>
                      <a:ext cx="4023360" cy="5559840"/>
                    </a:xfrm>
                    <a:prstGeom prst="rect"/>
                  </pic:spPr>
                </pic:pic>
              </a:graphicData>
            </a:graphic>
          </wp:inline>
        </w:drawing>
      </w:r>
    </w:p>
    <w:p>
      <w:pPr>
        <w:pStyle w:val="Caption"/>
      </w:pPr>
      <w:r>
        <w:t>Figure 10 — Validation gate. Ordering is a security property: pytest --collect-only imports the module, executing anything at module level, so it runs only after the static checks pass and only against a throw-away temp mirror.</w:t>
      </w:r>
    </w:p>
    <w:p>
      <w:pPr>
        <w:pStyle w:val="Heading2"/>
      </w:pPr>
      <w:r>
        <w:t>What the forbidden-construct check catches</w:t>
      </w:r>
    </w:p>
    <w:tbl>
      <w:tblPr>
        <w:tblStyle w:val="TableGrid"/>
        <w:tblW w:type="auto" w:w="0"/>
        <w:jc w:val="center"/>
        <w:tblLayout w:type="fixed"/>
        <w:tblLook w:firstColumn="1" w:firstRow="1" w:lastColumn="0" w:lastRow="0" w:noHBand="0" w:noVBand="1" w:val="04A0"/>
        <w:tblLayout w:type="fixed"/>
      </w:tblPr>
      <w:tblGrid>
        <w:gridCol w:w="4706"/>
        <w:gridCol w:w="4706"/>
      </w:tblGrid>
      <w:tr>
        <w:tc>
          <w:tcPr>
            <w:tcW w:type="dxa" w:w="2160"/>
            <w:shd w:val="clear" w:fill="DCE7E9"/>
          </w:tcPr>
          <w:p>
            <w:pPr>
              <w:spacing w:after="40"/>
            </w:pPr>
            <w:r/>
            <w:r>
              <w:rPr>
                <w:b/>
                <w:color w:val="0B5D6E"/>
                <w:sz w:val="16"/>
              </w:rPr>
              <w:t>CLASS</w:t>
            </w:r>
          </w:p>
        </w:tc>
        <w:tc>
          <w:tcPr>
            <w:tcW w:type="dxa" w:w="6624"/>
            <w:shd w:val="clear" w:fill="DCE7E9"/>
          </w:tcPr>
          <w:p>
            <w:pPr>
              <w:spacing w:after="40"/>
            </w:pPr>
            <w:r/>
            <w:r>
              <w:rPr>
                <w:b/>
                <w:color w:val="0B5D6E"/>
                <w:sz w:val="16"/>
              </w:rPr>
              <w:t>BLOCKED</w:t>
            </w:r>
          </w:p>
        </w:tc>
      </w:tr>
      <w:tr>
        <w:tc>
          <w:tcPr>
            <w:tcW w:type="dxa" w:w="2160"/>
          </w:tcPr>
          <w:p>
            <w:pPr>
              <w:spacing w:after="40"/>
            </w:pPr>
            <w:r/>
            <w:r>
              <w:rPr>
                <w:sz w:val="18"/>
              </w:rPr>
              <w:t>Modules</w:t>
            </w:r>
          </w:p>
        </w:tc>
        <w:tc>
          <w:tcPr>
            <w:tcW w:type="dxa" w:w="6624"/>
          </w:tcPr>
          <w:p>
            <w:pPr>
              <w:spacing w:after="40"/>
            </w:pPr>
            <w:r/>
            <w:r>
              <w:rPr>
                <w:rStyle w:val="CodeChar"/>
                <w:sz w:val="15"/>
              </w:rPr>
              <w:t>subprocess</w:t>
            </w:r>
            <w:r>
              <w:rPr>
                <w:sz w:val="18"/>
              </w:rPr>
              <w:t xml:space="preserve"> </w:t>
            </w:r>
            <w:r>
              <w:rPr>
                <w:rStyle w:val="CodeChar"/>
                <w:sz w:val="15"/>
              </w:rPr>
              <w:t>socket</w:t>
            </w:r>
            <w:r>
              <w:rPr>
                <w:sz w:val="18"/>
              </w:rPr>
              <w:t xml:space="preserve"> </w:t>
            </w:r>
            <w:r>
              <w:rPr>
                <w:rStyle w:val="CodeChar"/>
                <w:sz w:val="15"/>
              </w:rPr>
              <w:t>ctypes</w:t>
            </w:r>
            <w:r>
              <w:rPr>
                <w:sz w:val="18"/>
              </w:rPr>
              <w:t xml:space="preserve"> </w:t>
            </w:r>
            <w:r>
              <w:rPr>
                <w:rStyle w:val="CodeChar"/>
                <w:sz w:val="15"/>
              </w:rPr>
              <w:t>importlib</w:t>
            </w:r>
            <w:r>
              <w:rPr>
                <w:sz w:val="18"/>
              </w:rPr>
              <w:t xml:space="preserve"> </w:t>
            </w:r>
            <w:r>
              <w:rPr>
                <w:rStyle w:val="CodeChar"/>
                <w:sz w:val="15"/>
              </w:rPr>
              <w:t>runpy</w:t>
            </w:r>
            <w:r>
              <w:rPr>
                <w:sz w:val="18"/>
              </w:rPr>
              <w:t xml:space="preserve"> </w:t>
            </w:r>
            <w:r>
              <w:rPr>
                <w:rStyle w:val="CodeChar"/>
                <w:sz w:val="15"/>
              </w:rPr>
              <w:t>multiprocessing</w:t>
            </w:r>
          </w:p>
        </w:tc>
      </w:tr>
      <w:tr>
        <w:tc>
          <w:tcPr>
            <w:tcW w:type="dxa" w:w="2160"/>
            <w:shd w:val="clear" w:fill="F2F6F6"/>
          </w:tcPr>
          <w:p>
            <w:pPr>
              <w:spacing w:after="40"/>
            </w:pPr>
            <w:r/>
            <w:r>
              <w:rPr>
                <w:sz w:val="18"/>
              </w:rPr>
              <w:t>Shell and deletion</w:t>
            </w:r>
          </w:p>
        </w:tc>
        <w:tc>
          <w:tcPr>
            <w:tcW w:type="dxa" w:w="6624"/>
            <w:shd w:val="clear" w:fill="F2F6F6"/>
          </w:tcPr>
          <w:p>
            <w:pPr>
              <w:spacing w:after="40"/>
            </w:pPr>
            <w:r/>
            <w:r>
              <w:rPr>
                <w:rStyle w:val="CodeChar"/>
                <w:sz w:val="15"/>
              </w:rPr>
              <w:t>os.system</w:t>
            </w:r>
            <w:r>
              <w:rPr>
                <w:sz w:val="18"/>
              </w:rPr>
              <w:t xml:space="preserve"> </w:t>
            </w:r>
            <w:r>
              <w:rPr>
                <w:rStyle w:val="CodeChar"/>
                <w:sz w:val="15"/>
              </w:rPr>
              <w:t>os.popen</w:t>
            </w:r>
            <w:r>
              <w:rPr>
                <w:sz w:val="18"/>
              </w:rPr>
              <w:t xml:space="preserve"> </w:t>
            </w:r>
            <w:r>
              <w:rPr>
                <w:rStyle w:val="CodeChar"/>
                <w:sz w:val="15"/>
              </w:rPr>
              <w:t>os.remove</w:t>
            </w:r>
            <w:r>
              <w:rPr>
                <w:sz w:val="18"/>
              </w:rPr>
              <w:t xml:space="preserve"> </w:t>
            </w:r>
            <w:r>
              <w:rPr>
                <w:rStyle w:val="CodeChar"/>
                <w:sz w:val="15"/>
              </w:rPr>
              <w:t>os.unlink</w:t>
            </w:r>
            <w:r>
              <w:rPr>
                <w:sz w:val="18"/>
              </w:rPr>
              <w:t xml:space="preserve"> </w:t>
            </w:r>
            <w:r>
              <w:rPr>
                <w:rStyle w:val="CodeChar"/>
                <w:sz w:val="15"/>
              </w:rPr>
              <w:t>os.rmdir</w:t>
            </w:r>
            <w:r>
              <w:rPr>
                <w:sz w:val="18"/>
              </w:rPr>
              <w:t xml:space="preserve"> </w:t>
            </w:r>
            <w:r>
              <w:rPr>
                <w:rStyle w:val="CodeChar"/>
                <w:sz w:val="15"/>
              </w:rPr>
              <w:t>shutil.rmtree</w:t>
            </w:r>
          </w:p>
        </w:tc>
      </w:tr>
      <w:tr>
        <w:tc>
          <w:tcPr>
            <w:tcW w:type="dxa" w:w="2160"/>
          </w:tcPr>
          <w:p>
            <w:pPr>
              <w:spacing w:after="40"/>
            </w:pPr>
            <w:r/>
            <w:r>
              <w:rPr>
                <w:sz w:val="18"/>
              </w:rPr>
              <w:t>Dynamic code</w:t>
            </w:r>
          </w:p>
        </w:tc>
        <w:tc>
          <w:tcPr>
            <w:tcW w:type="dxa" w:w="6624"/>
          </w:tcPr>
          <w:p>
            <w:pPr>
              <w:spacing w:after="40"/>
            </w:pPr>
            <w:r/>
            <w:r>
              <w:rPr>
                <w:rStyle w:val="CodeChar"/>
                <w:sz w:val="15"/>
              </w:rPr>
              <w:t>eval</w:t>
            </w:r>
            <w:r>
              <w:rPr>
                <w:sz w:val="18"/>
              </w:rPr>
              <w:t xml:space="preserve"> </w:t>
            </w:r>
            <w:r>
              <w:rPr>
                <w:rStyle w:val="CodeChar"/>
                <w:sz w:val="15"/>
              </w:rPr>
              <w:t>exec</w:t>
            </w:r>
            <w:r>
              <w:rPr>
                <w:sz w:val="18"/>
              </w:rPr>
              <w:t xml:space="preserve"> </w:t>
            </w:r>
            <w:r>
              <w:rPr>
                <w:rStyle w:val="CodeChar"/>
                <w:sz w:val="15"/>
              </w:rPr>
              <w:t>compile</w:t>
            </w:r>
            <w:r>
              <w:rPr>
                <w:sz w:val="18"/>
              </w:rPr>
              <w:t xml:space="preserve"> </w:t>
            </w:r>
            <w:r>
              <w:rPr>
                <w:rStyle w:val="CodeChar"/>
                <w:sz w:val="15"/>
              </w:rPr>
              <w:t>__import__</w:t>
            </w:r>
            <w:r>
              <w:rPr>
                <w:sz w:val="18"/>
              </w:rPr>
              <w:t xml:space="preserve"> </w:t>
            </w:r>
            <w:r>
              <w:rPr>
                <w:rStyle w:val="CodeChar"/>
                <w:sz w:val="15"/>
              </w:rPr>
              <w:t>pickle.load[s]</w:t>
            </w:r>
          </w:p>
        </w:tc>
      </w:tr>
      <w:tr>
        <w:tc>
          <w:tcPr>
            <w:tcW w:type="dxa" w:w="2160"/>
            <w:shd w:val="clear" w:fill="F2F6F6"/>
          </w:tcPr>
          <w:p>
            <w:pPr>
              <w:spacing w:after="40"/>
            </w:pPr>
            <w:r/>
            <w:r>
              <w:rPr>
                <w:sz w:val="18"/>
              </w:rPr>
              <w:t>Static-analysis evasion</w:t>
            </w:r>
          </w:p>
        </w:tc>
        <w:tc>
          <w:tcPr>
            <w:tcW w:type="dxa" w:w="6624"/>
            <w:shd w:val="clear" w:fill="F2F6F6"/>
          </w:tcPr>
          <w:p>
            <w:pPr>
              <w:spacing w:after="40"/>
            </w:pPr>
            <w:r/>
            <w:r>
              <w:rPr>
                <w:rStyle w:val="CodeChar"/>
                <w:sz w:val="15"/>
              </w:rPr>
              <w:t>getattr</w:t>
            </w:r>
            <w:r>
              <w:rPr>
                <w:sz w:val="18"/>
              </w:rPr>
              <w:t xml:space="preserve"> </w:t>
            </w:r>
            <w:r>
              <w:rPr>
                <w:rStyle w:val="CodeChar"/>
                <w:sz w:val="15"/>
              </w:rPr>
              <w:t>setattr</w:t>
            </w:r>
            <w:r>
              <w:rPr>
                <w:sz w:val="18"/>
              </w:rPr>
              <w:t xml:space="preserve"> </w:t>
            </w:r>
            <w:r>
              <w:rPr>
                <w:rStyle w:val="CodeChar"/>
                <w:sz w:val="15"/>
              </w:rPr>
              <w:t>delattr</w:t>
            </w:r>
            <w:r>
              <w:rPr>
                <w:sz w:val="18"/>
              </w:rPr>
              <w:t xml:space="preserve"> </w:t>
            </w:r>
            <w:r>
              <w:rPr>
                <w:rStyle w:val="CodeChar"/>
                <w:sz w:val="15"/>
              </w:rPr>
              <w:t>globals</w:t>
            </w:r>
            <w:r>
              <w:rPr>
                <w:sz w:val="18"/>
              </w:rPr>
              <w:t xml:space="preserve"> </w:t>
            </w:r>
            <w:r>
              <w:rPr>
                <w:rStyle w:val="CodeChar"/>
                <w:sz w:val="15"/>
              </w:rPr>
              <w:t>locals</w:t>
            </w:r>
            <w:r>
              <w:rPr>
                <w:sz w:val="18"/>
              </w:rPr>
              <w:t xml:space="preserve"> </w:t>
            </w:r>
            <w:r>
              <w:rPr>
                <w:rStyle w:val="CodeChar"/>
                <w:sz w:val="15"/>
              </w:rPr>
              <w:t>vars</w:t>
            </w:r>
            <w:r>
              <w:rPr>
                <w:sz w:val="18"/>
              </w:rPr>
              <w:t xml:space="preserve"> — because </w:t>
            </w:r>
            <w:r>
              <w:rPr>
                <w:rStyle w:val="CodeChar"/>
                <w:sz w:val="15"/>
              </w:rPr>
              <w:t>getattr(os, 'sys'+'tem')</w:t>
            </w:r>
            <w:r>
              <w:rPr>
                <w:sz w:val="18"/>
              </w:rPr>
              <w:t xml:space="preserve"> defeats name-based analysis</w:t>
            </w:r>
          </w:p>
        </w:tc>
      </w:tr>
      <w:tr>
        <w:tc>
          <w:tcPr>
            <w:tcW w:type="dxa" w:w="2160"/>
          </w:tcPr>
          <w:p>
            <w:pPr>
              <w:spacing w:after="40"/>
            </w:pPr>
            <w:r/>
            <w:r>
              <w:rPr>
                <w:sz w:val="18"/>
              </w:rPr>
              <w:t>Filesystem mutation</w:t>
            </w:r>
          </w:p>
        </w:tc>
        <w:tc>
          <w:tcPr>
            <w:tcW w:type="dxa" w:w="6624"/>
          </w:tcPr>
          <w:p>
            <w:pPr>
              <w:spacing w:after="40"/>
            </w:pPr>
            <w:r/>
            <w:r>
              <w:rPr>
                <w:rStyle w:val="CodeChar"/>
                <w:sz w:val="15"/>
              </w:rPr>
              <w:t>write_text</w:t>
            </w:r>
            <w:r>
              <w:rPr>
                <w:sz w:val="18"/>
              </w:rPr>
              <w:t xml:space="preserve"> </w:t>
            </w:r>
            <w:r>
              <w:rPr>
                <w:rStyle w:val="CodeChar"/>
                <w:sz w:val="15"/>
              </w:rPr>
              <w:t>write_bytes</w:t>
            </w:r>
            <w:r>
              <w:rPr>
                <w:sz w:val="18"/>
              </w:rPr>
              <w:t xml:space="preserve"> </w:t>
            </w:r>
            <w:r>
              <w:rPr>
                <w:rStyle w:val="CodeChar"/>
                <w:sz w:val="15"/>
              </w:rPr>
              <w:t>unlink</w:t>
            </w:r>
            <w:r>
              <w:rPr>
                <w:sz w:val="18"/>
              </w:rPr>
              <w:t xml:space="preserve"> </w:t>
            </w:r>
            <w:r>
              <w:rPr>
                <w:rStyle w:val="CodeChar"/>
                <w:sz w:val="15"/>
              </w:rPr>
              <w:t>rename</w:t>
            </w:r>
            <w:r>
              <w:rPr>
                <w:sz w:val="18"/>
              </w:rPr>
              <w:t xml:space="preserve"> </w:t>
            </w:r>
            <w:r>
              <w:rPr>
                <w:rStyle w:val="CodeChar"/>
                <w:sz w:val="15"/>
              </w:rPr>
              <w:t>chmod</w:t>
            </w:r>
            <w:r>
              <w:rPr>
                <w:sz w:val="18"/>
              </w:rPr>
              <w:t xml:space="preserve"> </w:t>
            </w:r>
            <w:r>
              <w:rPr>
                <w:rStyle w:val="CodeChar"/>
                <w:sz w:val="15"/>
              </w:rPr>
              <w:t>symlink_to</w:t>
            </w:r>
            <w:r>
              <w:rPr>
                <w:sz w:val="18"/>
              </w:rPr>
              <w:t xml:space="preserve"> — flagged on any receiver, since </w:t>
            </w:r>
            <w:r>
              <w:rPr>
                <w:rStyle w:val="CodeChar"/>
                <w:sz w:val="15"/>
              </w:rPr>
              <w:t>Path(x).write_text()</w:t>
            </w:r>
            <w:r>
              <w:rPr>
                <w:sz w:val="18"/>
              </w:rPr>
              <w:t xml:space="preserve"> cannot be statically resolved</w:t>
            </w:r>
          </w:p>
        </w:tc>
      </w:tr>
      <w:tr>
        <w:tc>
          <w:tcPr>
            <w:tcW w:type="dxa" w:w="2160"/>
            <w:shd w:val="clear" w:fill="F2F6F6"/>
          </w:tcPr>
          <w:p>
            <w:pPr>
              <w:spacing w:after="40"/>
            </w:pPr>
            <w:r/>
            <w:r>
              <w:rPr>
                <w:sz w:val="18"/>
              </w:rPr>
              <w:t>Sandboxed writes</w:t>
            </w:r>
          </w:p>
        </w:tc>
        <w:tc>
          <w:tcPr>
            <w:tcW w:type="dxa" w:w="6624"/>
            <w:shd w:val="clear" w:fill="F2F6F6"/>
          </w:tcPr>
          <w:p>
            <w:pPr>
              <w:spacing w:after="40"/>
            </w:pPr>
            <w:r/>
            <w:r>
              <w:rPr>
                <w:sz w:val="18"/>
              </w:rPr>
              <w:t xml:space="preserve">Write-mode </w:t>
            </w:r>
            <w:r>
              <w:rPr>
                <w:rStyle w:val="CodeChar"/>
                <w:sz w:val="15"/>
              </w:rPr>
              <w:t>open()</w:t>
            </w:r>
            <w:r>
              <w:rPr>
                <w:sz w:val="18"/>
              </w:rPr>
              <w:t xml:space="preserve"> outside </w:t>
            </w:r>
            <w:r>
              <w:rPr>
                <w:rStyle w:val="CodeChar"/>
                <w:sz w:val="15"/>
              </w:rPr>
              <w:t>artifacts/</w:t>
            </w:r>
            <w:r>
              <w:rPr>
                <w:sz w:val="18"/>
              </w:rPr>
              <w:t xml:space="preserve">, </w:t>
            </w:r>
            <w:r>
              <w:rPr>
                <w:rStyle w:val="CodeChar"/>
                <w:sz w:val="15"/>
              </w:rPr>
              <w:t>reports/</w:t>
            </w:r>
            <w:r>
              <w:rPr>
                <w:sz w:val="18"/>
              </w:rPr>
              <w:t xml:space="preserve">, </w:t>
            </w:r>
            <w:r>
              <w:rPr>
                <w:rStyle w:val="CodeChar"/>
                <w:sz w:val="15"/>
              </w:rPr>
              <w:t>automation/</w:t>
            </w:r>
            <w:r>
              <w:rPr>
                <w:sz w:val="18"/>
              </w:rPr>
              <w:t>. A dynamic path or mode is itself an error — unverifiable means refused</w:t>
            </w:r>
          </w:p>
        </w:tc>
      </w:tr>
      <w:tr>
        <w:tc>
          <w:tcPr>
            <w:tcW w:type="dxa" w:w="2160"/>
          </w:tcPr>
          <w:p>
            <w:pPr>
              <w:spacing w:after="40"/>
            </w:pPr>
            <w:r/>
            <w:r>
              <w:rPr>
                <w:sz w:val="18"/>
              </w:rPr>
              <w:t>Encoded payloads</w:t>
            </w:r>
          </w:p>
        </w:tc>
        <w:tc>
          <w:tcPr>
            <w:tcW w:type="dxa" w:w="6624"/>
          </w:tcPr>
          <w:p>
            <w:pPr>
              <w:spacing w:after="40"/>
            </w:pPr>
            <w:r/>
            <w:r>
              <w:rPr>
                <w:rStyle w:val="CodeChar"/>
                <w:sz w:val="15"/>
              </w:rPr>
              <w:t>rm -rf</w:t>
            </w:r>
            <w:r>
              <w:rPr>
                <w:sz w:val="18"/>
              </w:rPr>
              <w:t xml:space="preserve"> string literals; </w:t>
            </w:r>
            <w:r>
              <w:rPr>
                <w:rStyle w:val="CodeChar"/>
                <w:sz w:val="15"/>
              </w:rPr>
              <w:t>b64decode</w:t>
            </w:r>
            <w:r>
              <w:rPr>
                <w:sz w:val="18"/>
              </w:rPr>
              <w:t xml:space="preserve"> combined with </w:t>
            </w:r>
            <w:r>
              <w:rPr>
                <w:rStyle w:val="CodeChar"/>
                <w:sz w:val="15"/>
              </w:rPr>
              <w:t>exec</w:t>
            </w:r>
            <w:r>
              <w:rPr>
                <w:sz w:val="18"/>
              </w:rPr>
              <w:t>/</w:t>
            </w:r>
            <w:r>
              <w:rPr>
                <w:rStyle w:val="CodeChar"/>
                <w:sz w:val="15"/>
              </w:rPr>
              <w:t>eval</w:t>
            </w:r>
            <w:r>
              <w:rPr>
                <w:sz w:val="18"/>
              </w:rPr>
              <w:t xml:space="preserve"> on one line</w:t>
            </w:r>
          </w:p>
        </w:tc>
      </w:tr>
    </w:tbl>
    <w:p>
      <w:pPr>
        <w:spacing w:after="80"/>
      </w:pPr>
    </w:p>
    <w:p>
      <w:r>
        <w:t xml:space="preserve">Aliased imports are resolved before matching, so </w:t>
      </w:r>
      <w:r>
        <w:rPr>
          <w:rStyle w:val="CodeChar"/>
        </w:rPr>
        <w:t>import os as o; o.system(...)</w:t>
      </w:r>
      <w:r>
        <w:t xml:space="preserve"> and </w:t>
      </w:r>
      <w:r>
        <w:rPr>
          <w:rStyle w:val="CodeChar"/>
        </w:rPr>
        <w:t>from os import system as run</w:t>
      </w:r>
      <w:r>
        <w:t xml:space="preserve"> are both caught. If the file fails to parse, a regex fallback pass still scans it — broken syntax cannot smuggle a dangerous call past review.</w:t>
      </w:r>
    </w:p>
    <w:p>
      <w:pPr>
        <w:pStyle w:val="Heading1"/>
      </w:pPr>
      <w:r>
        <w:rPr>
          <w:rFonts w:ascii="Consolas" w:hAnsi="Consolas"/>
          <w:color w:val="0B5D6E"/>
          <w:sz w:val="26"/>
        </w:rPr>
        <w:t xml:space="preserve">10   </w:t>
      </w:r>
      <w:r>
        <w:rPr>
          <w:rFonts w:ascii="Cambria" w:hAnsi="Cambria"/>
          <w:color w:val="0E1618"/>
          <w:sz w:val="38"/>
        </w:rPr>
        <w:t>Security architecture</w:t>
      </w:r>
    </w:p>
    <w:p>
      <w:pPr>
        <w:pStyle w:val="Lede"/>
      </w:pPr>
      <w:r>
        <w:t>Untrusted input arrives from three directions — uploaded files, LLM output, and the application under test. Each has its own containment layer.</w:t>
      </w:r>
    </w:p>
    <w:p>
      <w:pPr>
        <w:keepNext/>
        <w:spacing w:before="120" w:after="0"/>
        <w:jc w:val="center"/>
      </w:pPr>
      <w:r>
        <w:drawing>
          <wp:inline xmlns:a="http://schemas.openxmlformats.org/drawingml/2006/main" xmlns:pic="http://schemas.openxmlformats.org/drawingml/2006/picture">
            <wp:extent cx="5852160" cy="3031236"/>
            <wp:docPr id="12" name="Picture 12"/>
            <wp:cNvGraphicFramePr>
              <a:graphicFrameLocks noChangeAspect="1"/>
            </wp:cNvGraphicFramePr>
            <a:graphic>
              <a:graphicData uri="http://schemas.openxmlformats.org/drawingml/2006/picture">
                <pic:pic>
                  <pic:nvPicPr>
                    <pic:cNvPr id="0" name="10-security-layers.png"/>
                    <pic:cNvPicPr/>
                  </pic:nvPicPr>
                  <pic:blipFill>
                    <a:blip r:embed="rId20"/>
                    <a:stretch>
                      <a:fillRect/>
                    </a:stretch>
                  </pic:blipFill>
                  <pic:spPr>
                    <a:xfrm>
                      <a:off x="0" y="0"/>
                      <a:ext cx="5852160" cy="3031236"/>
                    </a:xfrm>
                    <a:prstGeom prst="rect"/>
                  </pic:spPr>
                </pic:pic>
              </a:graphicData>
            </a:graphic>
          </wp:inline>
        </w:drawing>
      </w:r>
    </w:p>
    <w:p>
      <w:pPr>
        <w:pStyle w:val="Caption"/>
      </w:pPr>
      <w:r>
        <w:t>Figure 11 — Defence in depth. The domain allow-list is enforced twice: statically against URL literals in generated code, and at runtime by a Playwright route handler that aborts requests to non-listed hosts. An empty allow-list falls back to localhost, never allow-all.</w:t>
      </w:r>
    </w:p>
    <w:p>
      <w:pPr>
        <w:pStyle w:val="Heading2"/>
      </w:pPr>
      <w:r>
        <w:t>Prompt-injection posture</w:t>
      </w:r>
    </w:p>
    <w:p>
      <w:r>
        <w:t xml:space="preserve">Every agent's system prompt carries an explicit guard, and untrusted content is wrapped in delimiters — </w:t>
      </w:r>
      <w:r>
        <w:rPr>
          <w:rStyle w:val="CodeChar"/>
        </w:rPr>
        <w:t>&lt;requirement&gt;...&lt;/requirement&gt;</w:t>
      </w:r>
      <w:r>
        <w:t xml:space="preserve">, </w:t>
      </w:r>
      <w:r>
        <w:rPr>
          <w:rStyle w:val="CodeChar"/>
        </w:rPr>
        <w:t>&lt;&lt;&lt;TEST_CASES_JSON ... JSON&gt;&gt;&gt;</w:t>
      </w:r>
      <w:r>
        <w:t xml:space="preserve">, </w:t>
      </w:r>
      <w:r>
        <w:rPr>
          <w:rStyle w:val="CodeChar"/>
        </w:rPr>
        <w:t>--- error text ---</w:t>
      </w:r>
      <w:r>
        <w:t xml:space="preserve"> — with the instruction that the delimited span is data, not instructions. Requirement text, test-case text, captured error output and run metrics are all treated this way.</w:t>
      </w:r>
    </w:p>
    <w:p>
      <w:r>
        <w:t>The structural defence matters more than the prompt: an injected instruction that did succeed would still have to produce output passing a Pydantic schema, then the static gate, then a human reviewing a diff, before anything executed.</w:t>
      </w:r>
    </w:p>
    <w:p>
      <w:pPr>
        <w:pStyle w:val="Heading2"/>
      </w:pPr>
      <w:r>
        <w:t>Role-to-permission matrix</w:t>
      </w:r>
    </w:p>
    <w:tbl>
      <w:tblPr>
        <w:tblStyle w:val="TableGrid"/>
        <w:tblW w:type="auto" w:w="0"/>
        <w:jc w:val="center"/>
        <w:tblLayout w:type="fixed"/>
        <w:tblLook w:firstColumn="1" w:firstRow="1" w:lastColumn="0" w:lastRow="0" w:noHBand="0" w:noVBand="1" w:val="04A0"/>
        <w:tblLayout w:type="fixed"/>
      </w:tblPr>
      <w:tblGrid>
        <w:gridCol w:w="4706"/>
        <w:gridCol w:w="4706"/>
      </w:tblGrid>
      <w:tr>
        <w:tc>
          <w:tcPr>
            <w:tcW w:type="dxa" w:w="3744"/>
            <w:shd w:val="clear" w:fill="DCE7E9"/>
          </w:tcPr>
          <w:p>
            <w:pPr>
              <w:spacing w:after="40"/>
            </w:pPr>
            <w:r/>
            <w:r>
              <w:rPr>
                <w:b/>
                <w:color w:val="0B5D6E"/>
                <w:sz w:val="16"/>
              </w:rPr>
              <w:t>PERMISSION</w:t>
            </w:r>
          </w:p>
        </w:tc>
        <w:tc>
          <w:tcPr>
            <w:tcW w:type="dxa" w:w="5040"/>
            <w:shd w:val="clear" w:fill="DCE7E9"/>
          </w:tcPr>
          <w:p>
            <w:pPr>
              <w:spacing w:after="40"/>
            </w:pPr>
            <w:r/>
            <w:r>
              <w:rPr>
                <w:b/>
                <w:color w:val="0B5D6E"/>
                <w:sz w:val="16"/>
              </w:rPr>
              <w:t>HELD BY</w:t>
            </w:r>
          </w:p>
        </w:tc>
      </w:tr>
      <w:tr>
        <w:tc>
          <w:tcPr>
            <w:tcW w:type="dxa" w:w="3744"/>
          </w:tcPr>
          <w:p>
            <w:pPr>
              <w:spacing w:after="40"/>
            </w:pPr>
            <w:r/>
            <w:r>
              <w:rPr>
                <w:rStyle w:val="CodeChar"/>
                <w:sz w:val="15"/>
              </w:rPr>
              <w:t>approval.decide</w:t>
            </w:r>
          </w:p>
        </w:tc>
        <w:tc>
          <w:tcPr>
            <w:tcW w:type="dxa" w:w="5040"/>
          </w:tcPr>
          <w:p>
            <w:pPr>
              <w:spacing w:after="40"/>
            </w:pPr>
            <w:r/>
            <w:r>
              <w:rPr>
                <w:sz w:val="18"/>
              </w:rPr>
              <w:t>admin · qa_lead · reviewer · supervisor</w:t>
            </w:r>
          </w:p>
        </w:tc>
      </w:tr>
      <w:tr>
        <w:tc>
          <w:tcPr>
            <w:tcW w:type="dxa" w:w="3744"/>
            <w:shd w:val="clear" w:fill="F2F6F6"/>
          </w:tcPr>
          <w:p>
            <w:pPr>
              <w:spacing w:after="40"/>
            </w:pPr>
            <w:r/>
            <w:r>
              <w:rPr>
                <w:rStyle w:val="CodeChar"/>
                <w:sz w:val="15"/>
              </w:rPr>
              <w:t>git.push</w:t>
            </w:r>
            <w:r>
              <w:rPr>
                <w:sz w:val="18"/>
              </w:rPr>
              <w:t xml:space="preserve"> · </w:t>
            </w:r>
            <w:r>
              <w:rPr>
                <w:rStyle w:val="CodeChar"/>
                <w:sz w:val="15"/>
              </w:rPr>
              <w:t>ci.trigger</w:t>
            </w:r>
          </w:p>
        </w:tc>
        <w:tc>
          <w:tcPr>
            <w:tcW w:type="dxa" w:w="5040"/>
            <w:shd w:val="clear" w:fill="F2F6F6"/>
          </w:tcPr>
          <w:p>
            <w:pPr>
              <w:spacing w:after="40"/>
            </w:pPr>
            <w:r/>
            <w:r>
              <w:rPr>
                <w:sz w:val="18"/>
              </w:rPr>
              <w:t>admin · qa_lead · automation_engineer · devops</w:t>
            </w:r>
          </w:p>
        </w:tc>
      </w:tr>
      <w:tr>
        <w:tc>
          <w:tcPr>
            <w:tcW w:type="dxa" w:w="3744"/>
          </w:tcPr>
          <w:p>
            <w:pPr>
              <w:spacing w:after="40"/>
            </w:pPr>
            <w:r/>
            <w:r>
              <w:rPr>
                <w:rStyle w:val="CodeChar"/>
                <w:sz w:val="15"/>
              </w:rPr>
              <w:t>generation.run</w:t>
            </w:r>
            <w:r>
              <w:rPr>
                <w:sz w:val="18"/>
              </w:rPr>
              <w:t xml:space="preserve"> · </w:t>
            </w:r>
            <w:r>
              <w:rPr>
                <w:rStyle w:val="CodeChar"/>
                <w:sz w:val="15"/>
              </w:rPr>
              <w:t>artefact.edit</w:t>
            </w:r>
            <w:r>
              <w:rPr>
                <w:sz w:val="18"/>
              </w:rPr>
              <w:t xml:space="preserve"> · </w:t>
            </w:r>
            <w:r>
              <w:rPr>
                <w:rStyle w:val="CodeChar"/>
                <w:sz w:val="15"/>
              </w:rPr>
              <w:t>execution.run</w:t>
            </w:r>
            <w:r>
              <w:rPr>
                <w:sz w:val="18"/>
              </w:rPr>
              <w:t xml:space="preserve"> · </w:t>
            </w:r>
            <w:r>
              <w:rPr>
                <w:rStyle w:val="CodeChar"/>
                <w:sz w:val="15"/>
              </w:rPr>
              <w:t>execution.control</w:t>
            </w:r>
            <w:r>
              <w:rPr>
                <w:sz w:val="18"/>
              </w:rPr>
              <w:t xml:space="preserve"> · </w:t>
            </w:r>
            <w:r>
              <w:rPr>
                <w:rStyle w:val="CodeChar"/>
                <w:sz w:val="15"/>
              </w:rPr>
              <w:t>project.write</w:t>
            </w:r>
          </w:p>
        </w:tc>
        <w:tc>
          <w:tcPr>
            <w:tcW w:type="dxa" w:w="5040"/>
          </w:tcPr>
          <w:p>
            <w:pPr>
              <w:spacing w:after="40"/>
            </w:pPr>
            <w:r/>
            <w:r>
              <w:rPr>
                <w:sz w:val="18"/>
              </w:rPr>
              <w:t>admin · qa_lead · qa_engineer · automation_engineer · supervisor · devops</w:t>
            </w:r>
          </w:p>
        </w:tc>
      </w:tr>
      <w:tr>
        <w:tc>
          <w:tcPr>
            <w:tcW w:type="dxa" w:w="3744"/>
            <w:shd w:val="clear" w:fill="F2F6F6"/>
          </w:tcPr>
          <w:p>
            <w:pPr>
              <w:spacing w:after="40"/>
            </w:pPr>
            <w:r/>
            <w:r>
              <w:rPr>
                <w:rStyle w:val="CodeChar"/>
                <w:sz w:val="15"/>
              </w:rPr>
              <w:t>classification.override</w:t>
            </w:r>
          </w:p>
        </w:tc>
        <w:tc>
          <w:tcPr>
            <w:tcW w:type="dxa" w:w="5040"/>
            <w:shd w:val="clear" w:fill="F2F6F6"/>
          </w:tcPr>
          <w:p>
            <w:pPr>
              <w:spacing w:after="40"/>
            </w:pPr>
            <w:r/>
            <w:r>
              <w:rPr>
                <w:sz w:val="18"/>
              </w:rPr>
              <w:t>the above, plus developer and reviewer</w:t>
            </w:r>
          </w:p>
        </w:tc>
      </w:tr>
      <w:tr>
        <w:tc>
          <w:tcPr>
            <w:tcW w:type="dxa" w:w="3744"/>
          </w:tcPr>
          <w:p>
            <w:pPr>
              <w:spacing w:after="40"/>
            </w:pPr>
            <w:r/>
            <w:r>
              <w:rPr>
                <w:rStyle w:val="CodeChar"/>
                <w:sz w:val="15"/>
              </w:rPr>
              <w:t>report.export</w:t>
            </w:r>
          </w:p>
        </w:tc>
        <w:tc>
          <w:tcPr>
            <w:tcW w:type="dxa" w:w="5040"/>
          </w:tcPr>
          <w:p>
            <w:pPr>
              <w:spacing w:after="40"/>
            </w:pPr>
            <w:r/>
            <w:r>
              <w:rPr>
                <w:sz w:val="18"/>
              </w:rPr>
              <w:t>every role except viewer</w:t>
            </w:r>
          </w:p>
        </w:tc>
      </w:tr>
      <w:tr>
        <w:tc>
          <w:tcPr>
            <w:tcW w:type="dxa" w:w="3744"/>
            <w:shd w:val="clear" w:fill="F2F6F6"/>
          </w:tcPr>
          <w:p>
            <w:pPr>
              <w:spacing w:after="40"/>
            </w:pPr>
            <w:r/>
            <w:r>
              <w:rPr>
                <w:rStyle w:val="CodeChar"/>
                <w:sz w:val="15"/>
              </w:rPr>
              <w:t>admin.manage</w:t>
            </w:r>
          </w:p>
        </w:tc>
        <w:tc>
          <w:tcPr>
            <w:tcW w:type="dxa" w:w="5040"/>
            <w:shd w:val="clear" w:fill="F2F6F6"/>
          </w:tcPr>
          <w:p>
            <w:pPr>
              <w:spacing w:after="40"/>
            </w:pPr>
            <w:r/>
            <w:r>
              <w:rPr>
                <w:sz w:val="18"/>
              </w:rPr>
              <w:t>admin only</w:t>
            </w:r>
          </w:p>
        </w:tc>
      </w:tr>
    </w:tbl>
    <w:p>
      <w:pPr>
        <w:spacing w:after="80"/>
      </w:pPr>
    </w:p>
    <w:p>
      <w:r>
        <w:rPr>
          <w:rStyle w:val="CodeChar"/>
        </w:rPr>
        <w:t>viewer</w:t>
      </w:r>
      <w:r>
        <w:t xml:space="preserve"> holds no permissions — read-only by construction. </w:t>
      </w:r>
      <w:r>
        <w:rPr>
          <w:rStyle w:val="CodeChar"/>
        </w:rPr>
        <w:t>admin</w:t>
      </w:r>
      <w:r>
        <w:t xml:space="preserve"> short-circuits every check.</w:t>
      </w:r>
    </w:p>
    <w:p>
      <w:pPr>
        <w:pStyle w:val="Heading1"/>
      </w:pPr>
      <w:r>
        <w:rPr>
          <w:rFonts w:ascii="Consolas" w:hAnsi="Consolas"/>
          <w:color w:val="0B5D6E"/>
          <w:sz w:val="26"/>
        </w:rPr>
        <w:t xml:space="preserve">11   </w:t>
      </w:r>
      <w:r>
        <w:rPr>
          <w:rFonts w:ascii="Cambria" w:hAnsi="Cambria"/>
          <w:color w:val="0E1618"/>
          <w:sz w:val="38"/>
        </w:rPr>
        <w:t>Deployment</w:t>
      </w:r>
    </w:p>
    <w:p>
      <w:pPr>
        <w:pStyle w:val="Lede"/>
      </w:pPr>
      <w:r>
        <w:t>Two supported topologies, plus a CI pipeline that deliberately runs no model.</w:t>
      </w:r>
    </w:p>
    <w:p>
      <w:pPr>
        <w:pStyle w:val="Heading2"/>
      </w:pPr>
      <w:r>
        <w:t>Docker Compose — PostgreSQL</w:t>
      </w:r>
    </w:p>
    <w:p>
      <w:r>
        <w:rPr>
          <w:rStyle w:val="CodeChar"/>
        </w:rPr>
        <w:t>postgres</w:t>
      </w:r>
      <w:r>
        <w:t xml:space="preserve"> then </w:t>
      </w:r>
      <w:r>
        <w:rPr>
          <w:rStyle w:val="CodeChar"/>
        </w:rPr>
        <w:t>engine</w:t>
      </w:r>
      <w:r>
        <w:t xml:space="preserve"> then </w:t>
      </w:r>
      <w:r>
        <w:rPr>
          <w:rStyle w:val="CodeChar"/>
        </w:rPr>
        <w:t>backend</w:t>
      </w:r>
      <w:r>
        <w:t xml:space="preserve"> then </w:t>
      </w:r>
      <w:r>
        <w:rPr>
          <w:rStyle w:val="CodeChar"/>
        </w:rPr>
        <w:t>frontend</w:t>
      </w:r>
      <w:r>
        <w:t>, each gated on the previous service's healthcheck. Ollama stays on the host (</w:t>
      </w:r>
      <w:r>
        <w:rPr>
          <w:rStyle w:val="CodeChar"/>
        </w:rPr>
        <w:t>host.docker.internal:11434</w:t>
      </w:r>
      <w:r>
        <w:t xml:space="preserve">) so local models are reused without being baked into an image. The engine image is built from </w:t>
      </w:r>
      <w:r>
        <w:rPr>
          <w:rStyle w:val="CodeChar"/>
        </w:rPr>
        <w:t>mcr.microsoft.com/playwright/python</w:t>
      </w:r>
      <w:r>
        <w:t xml:space="preserve"> and copies the reused V1 packages (</w:t>
      </w:r>
      <w:r>
        <w:rPr>
          <w:rStyle w:val="CodeChar"/>
        </w:rPr>
        <w:t>app/ agents/ graph/ tools/ automation/ sample_app/</w:t>
      </w:r>
      <w:r>
        <w:t>) alongside the service.</w:t>
      </w:r>
    </w:p>
    <w:p>
      <w:pPr>
        <w:pStyle w:val="Heading2"/>
      </w:pPr>
      <w:r>
        <w:t>Local development — SQLite, no Docker</w:t>
      </w:r>
    </w:p>
    <w:p>
      <w:r>
        <w:rPr>
          <w:rStyle w:val="CodeChar"/>
        </w:rPr>
        <w:t>DB_DRIVER=sqlite</w:t>
      </w:r>
      <w:r>
        <w:t xml:space="preserve"> switches TypeORM to </w:t>
      </w:r>
      <w:r>
        <w:rPr>
          <w:rStyle w:val="CodeChar"/>
        </w:rPr>
        <w:t>better-sqlite3</w:t>
      </w:r>
      <w:r>
        <w:t xml:space="preserve"> against a local file. A </w:t>
      </w:r>
      <w:r>
        <w:rPr>
          <w:rStyle w:val="CodeChar"/>
        </w:rPr>
        <w:t>DATETIME_TYPE</w:t>
      </w:r>
      <w:r>
        <w:t xml:space="preserve"> shim resolves the </w:t>
      </w:r>
      <w:r>
        <w:rPr>
          <w:rStyle w:val="CodeChar"/>
        </w:rPr>
        <w:t>timestamp</w:t>
      </w:r>
      <w:r>
        <w:t>/</w:t>
      </w:r>
      <w:r>
        <w:rPr>
          <w:rStyle w:val="CodeChar"/>
        </w:rPr>
        <w:t>datetime</w:t>
      </w:r>
      <w:r>
        <w:t xml:space="preserve"> divergence between drivers at module load. </w:t>
      </w:r>
      <w:r>
        <w:rPr>
          <w:rStyle w:val="CodeChar"/>
        </w:rPr>
        <w:t>synchronize: true</w:t>
      </w:r>
      <w:r>
        <w:t xml:space="preserve"> creates the schema on boot — appropriate for the current stage, and the thing to replace with migrations before any shared deployment.</w:t>
      </w:r>
    </w:p>
    <w:p>
      <w:pPr>
        <w:pStyle w:val="Heading2"/>
      </w:pPr>
      <w:r>
        <w:t>CI — GitHub Actions</w:t>
      </w:r>
    </w:p>
    <w:p>
      <w:r>
        <w:t xml:space="preserve">Two deliberately separated suites. </w:t>
      </w:r>
      <w:r>
        <w:rPr>
          <w:b/>
        </w:rPr>
        <w:t>smoke</w:t>
      </w:r>
      <w:r>
        <w:t xml:space="preserve"> always runs against the bundled </w:t>
      </w:r>
      <w:r>
        <w:rPr>
          <w:rStyle w:val="CodeChar"/>
        </w:rPr>
        <w:t>sample_app</w:t>
      </w:r>
      <w:r>
        <w:t xml:space="preserve"> started inside the runner. </w:t>
      </w:r>
      <w:r>
        <w:rPr>
          <w:b/>
        </w:rPr>
        <w:t>generated</w:t>
      </w:r>
      <w:r>
        <w:t xml:space="preserve"> runs only when the repository defines </w:t>
      </w:r>
      <w:r>
        <w:rPr>
          <w:rStyle w:val="CodeChar"/>
        </w:rPr>
        <w:t>QA_TARGET_BASE_URL</w:t>
      </w:r>
      <w:r>
        <w:t xml:space="preserve"> plus credential secrets — otherwise AI-generated tests would target the wrong host and fail by construction. JUnit XML, self-contained HTML, screenshots and traces upload on every run, pass or fail. No Ollama step exists in CI; generation is a local activity.</w:t>
      </w:r>
    </w:p>
    <w:p>
      <w:pPr>
        <w:pStyle w:val="Heading2"/>
      </w:pPr>
      <w:r>
        <w:t>The demo target</w:t>
      </w:r>
    </w:p>
    <w:p>
      <w:r>
        <w:rPr>
          <w:rStyle w:val="CodeChar"/>
        </w:rPr>
        <w:t>sample_app/</w:t>
      </w:r>
      <w:r>
        <w:t xml:space="preserve"> is a self-contained FastAPI application with three deliberately seeded defects toggled by </w:t>
      </w:r>
      <w:r>
        <w:rPr>
          <w:rStyle w:val="CodeChar"/>
        </w:rPr>
        <w:t>SAMPLE_APP_DEFECTS</w:t>
      </w:r>
      <w:r>
        <w:t xml:space="preserve">: </w:t>
      </w:r>
      <w:r>
        <w:rPr>
          <w:rStyle w:val="CodeChar"/>
        </w:rPr>
        <w:t>login_message</w:t>
      </w:r>
      <w:r>
        <w:t xml:space="preserve"> (wrong error text), </w:t>
      </w:r>
      <w:r>
        <w:rPr>
          <w:rStyle w:val="CodeChar"/>
        </w:rPr>
        <w:t>duplicate_add</w:t>
      </w:r>
      <w:r>
        <w:t xml:space="preserve"> (inserts twice), </w:t>
      </w:r>
      <w:r>
        <w:rPr>
          <w:rStyle w:val="CodeChar"/>
        </w:rPr>
        <w:t>delete_noop</w:t>
      </w:r>
      <w:r>
        <w:t xml:space="preserve"> (silently does nothing). These are the ground truth for measuring the system's defect-detection rate — a controlled experiment built into the repository.</w:t>
      </w:r>
    </w:p>
    <w:p>
      <w:pPr>
        <w:pStyle w:val="Heading1"/>
      </w:pPr>
      <w:r>
        <w:rPr>
          <w:rFonts w:ascii="Consolas" w:hAnsi="Consolas"/>
          <w:color w:val="0B5D6E"/>
          <w:sz w:val="26"/>
        </w:rPr>
        <w:t xml:space="preserve">12   </w:t>
      </w:r>
      <w:r>
        <w:rPr>
          <w:rFonts w:ascii="Cambria" w:hAnsi="Cambria"/>
          <w:color w:val="0E1618"/>
          <w:sz w:val="38"/>
        </w:rPr>
        <w:t>Codebase map</w:t>
      </w:r>
    </w:p>
    <w:tbl>
      <w:tblPr>
        <w:tblStyle w:val="TableGrid"/>
        <w:tblW w:type="auto" w:w="0"/>
        <w:jc w:val="center"/>
        <w:tblLayout w:type="fixed"/>
        <w:tblLook w:firstColumn="1" w:firstRow="1" w:lastColumn="0" w:lastRow="0" w:noHBand="0" w:noVBand="1" w:val="04A0"/>
        <w:tblLayout w:type="fixed"/>
      </w:tblPr>
      <w:tblGrid>
        <w:gridCol w:w="3137"/>
        <w:gridCol w:w="3137"/>
        <w:gridCol w:w="3137"/>
      </w:tblGrid>
      <w:tr>
        <w:tc>
          <w:tcPr>
            <w:tcW w:type="dxa" w:w="2520"/>
            <w:shd w:val="clear" w:fill="DCE7E9"/>
          </w:tcPr>
          <w:p>
            <w:pPr>
              <w:spacing w:after="40"/>
            </w:pPr>
            <w:r/>
            <w:r>
              <w:rPr>
                <w:b/>
                <w:color w:val="0B5D6E"/>
                <w:sz w:val="16"/>
              </w:rPr>
              <w:t>PATH</w:t>
            </w:r>
          </w:p>
        </w:tc>
        <w:tc>
          <w:tcPr>
            <w:tcW w:type="dxa" w:w="5040"/>
            <w:shd w:val="clear" w:fill="DCE7E9"/>
          </w:tcPr>
          <w:p>
            <w:pPr>
              <w:spacing w:after="40"/>
            </w:pPr>
            <w:r/>
            <w:r>
              <w:rPr>
                <w:b/>
                <w:color w:val="0B5D6E"/>
                <w:sz w:val="16"/>
              </w:rPr>
              <w:t>CONTAINS</w:t>
            </w:r>
          </w:p>
        </w:tc>
        <w:tc>
          <w:tcPr>
            <w:tcW w:type="dxa" w:w="1224"/>
            <w:shd w:val="clear" w:fill="DCE7E9"/>
          </w:tcPr>
          <w:p>
            <w:pPr>
              <w:spacing w:after="40"/>
            </w:pPr>
            <w:r/>
            <w:r>
              <w:rPr>
                <w:b/>
                <w:color w:val="0B5D6E"/>
                <w:sz w:val="16"/>
              </w:rPr>
              <w:t>SCALE</w:t>
            </w:r>
          </w:p>
        </w:tc>
      </w:tr>
      <w:tr>
        <w:tc>
          <w:tcPr>
            <w:tcW w:type="dxa" w:w="2520"/>
          </w:tcPr>
          <w:p>
            <w:pPr>
              <w:spacing w:after="40"/>
            </w:pPr>
            <w:r/>
            <w:r>
              <w:rPr>
                <w:rStyle w:val="CodeChar"/>
                <w:sz w:val="15"/>
              </w:rPr>
              <w:t>frontend/src/</w:t>
            </w:r>
          </w:p>
        </w:tc>
        <w:tc>
          <w:tcPr>
            <w:tcW w:type="dxa" w:w="5040"/>
          </w:tcPr>
          <w:p>
            <w:pPr>
              <w:spacing w:after="40"/>
            </w:pPr>
            <w:r/>
            <w:r>
              <w:rPr>
                <w:sz w:val="18"/>
              </w:rPr>
              <w:t>19 pages, 8 feature folders, 12 UI primitives, socket and query layer</w:t>
            </w:r>
          </w:p>
        </w:tc>
        <w:tc>
          <w:tcPr>
            <w:tcW w:type="dxa" w:w="1224"/>
          </w:tcPr>
          <w:p>
            <w:pPr>
              <w:spacing w:after="40"/>
            </w:pPr>
            <w:r/>
            <w:r>
              <w:rPr>
                <w:sz w:val="18"/>
              </w:rPr>
              <w:t>~10k LOC</w:t>
            </w:r>
          </w:p>
        </w:tc>
      </w:tr>
      <w:tr>
        <w:tc>
          <w:tcPr>
            <w:tcW w:type="dxa" w:w="2520"/>
            <w:shd w:val="clear" w:fill="F2F6F6"/>
          </w:tcPr>
          <w:p>
            <w:pPr>
              <w:spacing w:after="40"/>
            </w:pPr>
            <w:r/>
            <w:r>
              <w:rPr>
                <w:rStyle w:val="CodeChar"/>
                <w:sz w:val="15"/>
              </w:rPr>
              <w:t>backend/src/modules/</w:t>
            </w:r>
          </w:p>
        </w:tc>
        <w:tc>
          <w:tcPr>
            <w:tcW w:type="dxa" w:w="5040"/>
            <w:shd w:val="clear" w:fill="F2F6F6"/>
          </w:tcPr>
          <w:p>
            <w:pPr>
              <w:spacing w:after="40"/>
            </w:pPr>
            <w:r/>
            <w:r>
              <w:rPr>
                <w:sz w:val="18"/>
              </w:rPr>
              <w:t>18 NestJS feature modules (controller, service, DTOs)</w:t>
            </w:r>
          </w:p>
        </w:tc>
        <w:tc>
          <w:tcPr>
            <w:tcW w:type="dxa" w:w="1224"/>
            <w:shd w:val="clear" w:fill="F2F6F6"/>
          </w:tcPr>
          <w:p>
            <w:pPr>
              <w:spacing w:after="40"/>
            </w:pPr>
            <w:r/>
            <w:r>
              <w:rPr>
                <w:sz w:val="18"/>
              </w:rPr>
              <w:t>~9k LOC</w:t>
            </w:r>
          </w:p>
        </w:tc>
      </w:tr>
      <w:tr>
        <w:tc>
          <w:tcPr>
            <w:tcW w:type="dxa" w:w="2520"/>
          </w:tcPr>
          <w:p>
            <w:pPr>
              <w:spacing w:after="40"/>
            </w:pPr>
            <w:r/>
            <w:r>
              <w:rPr>
                <w:rStyle w:val="CodeChar"/>
                <w:sz w:val="15"/>
              </w:rPr>
              <w:t>backend/src/entities/</w:t>
            </w:r>
          </w:p>
        </w:tc>
        <w:tc>
          <w:tcPr>
            <w:tcW w:type="dxa" w:w="5040"/>
          </w:tcPr>
          <w:p>
            <w:pPr>
              <w:spacing w:after="40"/>
            </w:pPr>
            <w:r/>
            <w:r>
              <w:rPr>
                <w:sz w:val="18"/>
              </w:rPr>
              <w:t>24 TypeORM entities</w:t>
            </w:r>
          </w:p>
        </w:tc>
        <w:tc>
          <w:tcPr>
            <w:tcW w:type="dxa" w:w="1224"/>
          </w:tcPr>
          <w:p>
            <w:pPr>
              <w:spacing w:after="40"/>
            </w:pPr>
            <w:r/>
            <w:r>
              <w:rPr>
                <w:sz w:val="18"/>
              </w:rPr>
              <w:t>~1.4k LOC</w:t>
            </w:r>
          </w:p>
        </w:tc>
      </w:tr>
      <w:tr>
        <w:tc>
          <w:tcPr>
            <w:tcW w:type="dxa" w:w="2520"/>
            <w:shd w:val="clear" w:fill="F2F6F6"/>
          </w:tcPr>
          <w:p>
            <w:pPr>
              <w:spacing w:after="40"/>
            </w:pPr>
            <w:r/>
            <w:r>
              <w:rPr>
                <w:rStyle w:val="CodeChar"/>
                <w:sz w:val="15"/>
              </w:rPr>
              <w:t>backend/src/common/</w:t>
            </w:r>
          </w:p>
        </w:tc>
        <w:tc>
          <w:tcPr>
            <w:tcW w:type="dxa" w:w="5040"/>
            <w:shd w:val="clear" w:fill="F2F6F6"/>
          </w:tcPr>
          <w:p>
            <w:pPr>
              <w:spacing w:after="40"/>
            </w:pPr>
            <w:r/>
            <w:r>
              <w:rPr>
                <w:sz w:val="18"/>
              </w:rPr>
              <w:t>Guards, RBAC matrix, state machines, error contract, redaction, correlation, hashing</w:t>
            </w:r>
          </w:p>
        </w:tc>
        <w:tc>
          <w:tcPr>
            <w:tcW w:type="dxa" w:w="1224"/>
            <w:shd w:val="clear" w:fill="F2F6F6"/>
          </w:tcPr>
          <w:p>
            <w:pPr>
              <w:spacing w:after="40"/>
            </w:pPr>
            <w:r/>
            <w:r>
              <w:rPr>
                <w:sz w:val="18"/>
              </w:rPr>
              <w:t>~1k LOC</w:t>
            </w:r>
          </w:p>
        </w:tc>
      </w:tr>
      <w:tr>
        <w:tc>
          <w:tcPr>
            <w:tcW w:type="dxa" w:w="2520"/>
          </w:tcPr>
          <w:p>
            <w:pPr>
              <w:spacing w:after="40"/>
            </w:pPr>
            <w:r/>
            <w:r>
              <w:rPr>
                <w:rStyle w:val="CodeChar"/>
                <w:sz w:val="15"/>
              </w:rPr>
              <w:t>engine/service/</w:t>
            </w:r>
          </w:p>
        </w:tc>
        <w:tc>
          <w:tcPr>
            <w:tcW w:type="dxa" w:w="5040"/>
          </w:tcPr>
          <w:p>
            <w:pPr>
              <w:spacing w:after="40"/>
            </w:pPr>
            <w:r/>
            <w:r>
              <w:rPr>
                <w:sz w:val="18"/>
              </w:rPr>
              <w:t>FastAPI app, execution runner, event bus, step-event plugin, report adapter</w:t>
            </w:r>
          </w:p>
        </w:tc>
        <w:tc>
          <w:tcPr>
            <w:tcW w:type="dxa" w:w="1224"/>
          </w:tcPr>
          <w:p>
            <w:pPr>
              <w:spacing w:after="40"/>
            </w:pPr>
            <w:r/>
            <w:r>
              <w:rPr>
                <w:sz w:val="18"/>
              </w:rPr>
              <w:t>~1.2k LOC</w:t>
            </w:r>
          </w:p>
        </w:tc>
      </w:tr>
      <w:tr>
        <w:tc>
          <w:tcPr>
            <w:tcW w:type="dxa" w:w="2520"/>
            <w:shd w:val="clear" w:fill="F2F6F6"/>
          </w:tcPr>
          <w:p>
            <w:pPr>
              <w:spacing w:after="40"/>
            </w:pPr>
            <w:r/>
            <w:r>
              <w:rPr>
                <w:rStyle w:val="CodeChar"/>
                <w:sz w:val="15"/>
              </w:rPr>
              <w:t>engine/parsers/</w:t>
            </w:r>
            <w:r>
              <w:rPr>
                <w:sz w:val="18"/>
              </w:rPr>
              <w:t xml:space="preserve">, </w:t>
            </w:r>
            <w:r>
              <w:rPr>
                <w:rStyle w:val="CodeChar"/>
                <w:sz w:val="15"/>
              </w:rPr>
              <w:t>engine/contracts/</w:t>
            </w:r>
          </w:p>
        </w:tc>
        <w:tc>
          <w:tcPr>
            <w:tcW w:type="dxa" w:w="5040"/>
            <w:shd w:val="clear" w:fill="F2F6F6"/>
          </w:tcPr>
          <w:p>
            <w:pPr>
              <w:spacing w:after="40"/>
            </w:pPr>
            <w:r/>
            <w:r>
              <w:rPr>
                <w:sz w:val="18"/>
              </w:rPr>
              <w:t>Excel ingestion with sheet/row provenance; versioned Pydantic schemas</w:t>
            </w:r>
          </w:p>
        </w:tc>
        <w:tc>
          <w:tcPr>
            <w:tcW w:type="dxa" w:w="1224"/>
            <w:shd w:val="clear" w:fill="F2F6F6"/>
          </w:tcPr>
          <w:p>
            <w:pPr>
              <w:spacing w:after="40"/>
            </w:pPr>
            <w:r/>
            <w:r>
              <w:rPr>
                <w:sz w:val="18"/>
              </w:rPr>
              <w:t>~200 LOC</w:t>
            </w:r>
          </w:p>
        </w:tc>
      </w:tr>
      <w:tr>
        <w:tc>
          <w:tcPr>
            <w:tcW w:type="dxa" w:w="2520"/>
          </w:tcPr>
          <w:p>
            <w:pPr>
              <w:spacing w:after="40"/>
            </w:pPr>
            <w:r/>
            <w:r>
              <w:rPr>
                <w:rStyle w:val="CodeChar"/>
                <w:sz w:val="15"/>
              </w:rPr>
              <w:t>agents/</w:t>
            </w:r>
          </w:p>
        </w:tc>
        <w:tc>
          <w:tcPr>
            <w:tcW w:type="dxa" w:w="5040"/>
          </w:tcPr>
          <w:p>
            <w:pPr>
              <w:spacing w:after="40"/>
            </w:pPr>
            <w:r/>
            <w:r>
              <w:rPr>
                <w:sz w:val="18"/>
              </w:rPr>
              <w:t>Six LLM agents, each with a versioned prompt and bounded retries</w:t>
            </w:r>
          </w:p>
        </w:tc>
        <w:tc>
          <w:tcPr>
            <w:tcW w:type="dxa" w:w="1224"/>
          </w:tcPr>
          <w:p>
            <w:pPr>
              <w:spacing w:after="40"/>
            </w:pPr>
            <w:r/>
            <w:r>
              <w:rPr>
                <w:sz w:val="18"/>
              </w:rPr>
              <w:t>~1.6k LOC</w:t>
            </w:r>
          </w:p>
        </w:tc>
      </w:tr>
      <w:tr>
        <w:tc>
          <w:tcPr>
            <w:tcW w:type="dxa" w:w="2520"/>
            <w:shd w:val="clear" w:fill="F2F6F6"/>
          </w:tcPr>
          <w:p>
            <w:pPr>
              <w:spacing w:after="40"/>
            </w:pPr>
            <w:r/>
            <w:r>
              <w:rPr>
                <w:rStyle w:val="CodeChar"/>
                <w:sz w:val="15"/>
              </w:rPr>
              <w:t>tools/</w:t>
            </w:r>
          </w:p>
        </w:tc>
        <w:tc>
          <w:tcPr>
            <w:tcW w:type="dxa" w:w="5040"/>
            <w:shd w:val="clear" w:fill="F2F6F6"/>
          </w:tcPr>
          <w:p>
            <w:pPr>
              <w:spacing w:after="40"/>
            </w:pPr>
            <w:r/>
            <w:r>
              <w:rPr>
                <w:sz w:val="18"/>
              </w:rPr>
              <w:t>Static validation, document ingestion, Playwright runner, git, GitHub Actions</w:t>
            </w:r>
          </w:p>
        </w:tc>
        <w:tc>
          <w:tcPr>
            <w:tcW w:type="dxa" w:w="1224"/>
            <w:shd w:val="clear" w:fill="F2F6F6"/>
          </w:tcPr>
          <w:p>
            <w:pPr>
              <w:spacing w:after="40"/>
            </w:pPr>
            <w:r/>
            <w:r>
              <w:rPr>
                <w:sz w:val="18"/>
              </w:rPr>
              <w:t>~1.7k LOC</w:t>
            </w:r>
          </w:p>
        </w:tc>
      </w:tr>
      <w:tr>
        <w:tc>
          <w:tcPr>
            <w:tcW w:type="dxa" w:w="2520"/>
          </w:tcPr>
          <w:p>
            <w:pPr>
              <w:spacing w:after="40"/>
            </w:pPr>
            <w:r/>
            <w:r>
              <w:rPr>
                <w:rStyle w:val="CodeChar"/>
                <w:sz w:val="15"/>
              </w:rPr>
              <w:t>app/</w:t>
            </w:r>
          </w:p>
        </w:tc>
        <w:tc>
          <w:tcPr>
            <w:tcW w:type="dxa" w:w="5040"/>
          </w:tcPr>
          <w:p>
            <w:pPr>
              <w:spacing w:after="40"/>
            </w:pPr>
            <w:r/>
            <w:r>
              <w:rPr>
                <w:sz w:val="18"/>
              </w:rPr>
              <w:t>V1 FastAPI service — config, LLM factory, security, ORM, services, 11 routers</w:t>
            </w:r>
          </w:p>
        </w:tc>
        <w:tc>
          <w:tcPr>
            <w:tcW w:type="dxa" w:w="1224"/>
          </w:tcPr>
          <w:p>
            <w:pPr>
              <w:spacing w:after="40"/>
            </w:pPr>
            <w:r/>
            <w:r>
              <w:rPr>
                <w:sz w:val="18"/>
              </w:rPr>
              <w:t>~4.3k LOC</w:t>
            </w:r>
          </w:p>
        </w:tc>
      </w:tr>
      <w:tr>
        <w:tc>
          <w:tcPr>
            <w:tcW w:type="dxa" w:w="2520"/>
            <w:shd w:val="clear" w:fill="F2F6F6"/>
          </w:tcPr>
          <w:p>
            <w:pPr>
              <w:spacing w:after="40"/>
            </w:pPr>
            <w:r/>
            <w:r>
              <w:rPr>
                <w:rStyle w:val="CodeChar"/>
                <w:sz w:val="15"/>
              </w:rPr>
              <w:t>graph/</w:t>
            </w:r>
          </w:p>
        </w:tc>
        <w:tc>
          <w:tcPr>
            <w:tcW w:type="dxa" w:w="5040"/>
            <w:shd w:val="clear" w:fill="F2F6F6"/>
          </w:tcPr>
          <w:p>
            <w:pPr>
              <w:spacing w:after="40"/>
            </w:pPr>
            <w:r/>
            <w:r>
              <w:rPr>
                <w:sz w:val="18"/>
              </w:rPr>
              <w:t>LangGraph workflow: 10 nodes, 2 interrupt() human gates, in-memory checkpointer</w:t>
            </w:r>
          </w:p>
        </w:tc>
        <w:tc>
          <w:tcPr>
            <w:tcW w:type="dxa" w:w="1224"/>
            <w:shd w:val="clear" w:fill="F2F6F6"/>
          </w:tcPr>
          <w:p>
            <w:pPr>
              <w:spacing w:after="40"/>
            </w:pPr>
            <w:r/>
            <w:r>
              <w:rPr>
                <w:sz w:val="18"/>
              </w:rPr>
              <w:t>~1.2k LOC</w:t>
            </w:r>
          </w:p>
        </w:tc>
      </w:tr>
      <w:tr>
        <w:tc>
          <w:tcPr>
            <w:tcW w:type="dxa" w:w="2520"/>
          </w:tcPr>
          <w:p>
            <w:pPr>
              <w:spacing w:after="40"/>
            </w:pPr>
            <w:r/>
            <w:r>
              <w:rPr>
                <w:rStyle w:val="CodeChar"/>
                <w:sz w:val="15"/>
              </w:rPr>
              <w:t>automation/</w:t>
            </w:r>
          </w:p>
        </w:tc>
        <w:tc>
          <w:tcPr>
            <w:tcW w:type="dxa" w:w="5040"/>
          </w:tcPr>
          <w:p>
            <w:pPr>
              <w:spacing w:after="40"/>
            </w:pPr>
            <w:r/>
            <w:r>
              <w:rPr>
                <w:sz w:val="18"/>
              </w:rPr>
              <w:t>Instrumented BasePage, page objects, fixtures, generated tests and manifest</w:t>
            </w:r>
          </w:p>
        </w:tc>
        <w:tc>
          <w:tcPr>
            <w:tcW w:type="dxa" w:w="1224"/>
          </w:tcPr>
          <w:p>
            <w:pPr>
              <w:spacing w:after="40"/>
            </w:pPr>
            <w:r/>
            <w:r>
              <w:rPr>
                <w:sz w:val="18"/>
              </w:rPr>
              <w:t>~600 LOC</w:t>
            </w:r>
          </w:p>
        </w:tc>
      </w:tr>
      <w:tr>
        <w:tc>
          <w:tcPr>
            <w:tcW w:type="dxa" w:w="2520"/>
            <w:shd w:val="clear" w:fill="F2F6F6"/>
          </w:tcPr>
          <w:p>
            <w:pPr>
              <w:spacing w:after="40"/>
            </w:pPr>
            <w:r/>
            <w:r>
              <w:rPr>
                <w:rStyle w:val="CodeChar"/>
                <w:sz w:val="15"/>
              </w:rPr>
              <w:t>tests/unit/</w:t>
            </w:r>
          </w:p>
        </w:tc>
        <w:tc>
          <w:tcPr>
            <w:tcW w:type="dxa" w:w="5040"/>
            <w:shd w:val="clear" w:fill="F2F6F6"/>
          </w:tcPr>
          <w:p>
            <w:pPr>
              <w:spacing w:after="40"/>
            </w:pPr>
            <w:r/>
            <w:r>
              <w:rPr>
                <w:sz w:val="18"/>
              </w:rPr>
              <w:t>13 Python suites — validation, security gates, ingestion, results, CI import</w:t>
            </w:r>
          </w:p>
        </w:tc>
        <w:tc>
          <w:tcPr>
            <w:tcW w:type="dxa" w:w="1224"/>
            <w:shd w:val="clear" w:fill="F2F6F6"/>
          </w:tcPr>
          <w:p>
            <w:pPr>
              <w:spacing w:after="40"/>
            </w:pPr>
            <w:r/>
            <w:r>
              <w:rPr>
                <w:sz w:val="18"/>
              </w:rPr>
              <w:t>2.3k LOC</w:t>
            </w:r>
          </w:p>
        </w:tc>
      </w:tr>
    </w:tbl>
    <w:p>
      <w:pPr>
        <w:spacing w:after="80"/>
      </w:pPr>
    </w:p>
    <w:p>
      <w:pPr>
        <w:pStyle w:val="Heading2"/>
      </w:pPr>
      <w:r>
        <w:t>Test coverage by tier</w:t>
      </w:r>
    </w:p>
    <w:tbl>
      <w:tblPr>
        <w:tblStyle w:val="TableGrid"/>
        <w:tblW w:type="auto" w:w="0"/>
        <w:jc w:val="center"/>
        <w:tblLayout w:type="fixed"/>
        <w:tblLook w:firstColumn="1" w:firstRow="1" w:lastColumn="0" w:lastRow="0" w:noHBand="0" w:noVBand="1" w:val="04A0"/>
        <w:tblLayout w:type="fixed"/>
      </w:tblPr>
      <w:tblGrid>
        <w:gridCol w:w="4706"/>
        <w:gridCol w:w="4706"/>
      </w:tblGrid>
      <w:tr>
        <w:tc>
          <w:tcPr>
            <w:tcW w:type="dxa" w:w="1440"/>
            <w:shd w:val="clear" w:fill="DCE7E9"/>
          </w:tcPr>
          <w:p>
            <w:pPr>
              <w:spacing w:after="40"/>
            </w:pPr>
            <w:r/>
            <w:r>
              <w:rPr>
                <w:b/>
                <w:color w:val="0B5D6E"/>
                <w:sz w:val="16"/>
              </w:rPr>
              <w:t>TIER</w:t>
            </w:r>
          </w:p>
        </w:tc>
        <w:tc>
          <w:tcPr>
            <w:tcW w:type="dxa" w:w="7344"/>
            <w:shd w:val="clear" w:fill="DCE7E9"/>
          </w:tcPr>
          <w:p>
            <w:pPr>
              <w:spacing w:after="40"/>
            </w:pPr>
            <w:r/>
            <w:r>
              <w:rPr>
                <w:b/>
                <w:color w:val="0B5D6E"/>
                <w:sz w:val="16"/>
              </w:rPr>
              <w:t>COVERAGE</w:t>
            </w:r>
          </w:p>
        </w:tc>
      </w:tr>
      <w:tr>
        <w:tc>
          <w:tcPr>
            <w:tcW w:type="dxa" w:w="1440"/>
          </w:tcPr>
          <w:p>
            <w:pPr>
              <w:spacing w:after="40"/>
            </w:pPr>
            <w:r/>
            <w:r>
              <w:rPr>
                <w:sz w:val="18"/>
              </w:rPr>
              <w:t>Python</w:t>
            </w:r>
          </w:p>
        </w:tc>
        <w:tc>
          <w:tcPr>
            <w:tcW w:type="dxa" w:w="7344"/>
          </w:tcPr>
          <w:p>
            <w:pPr>
              <w:spacing w:after="40"/>
            </w:pPr>
            <w:r/>
            <w:r>
              <w:rPr>
                <w:sz w:val="18"/>
              </w:rPr>
              <w:t>13 unit suites. Heaviest around the security gates (</w:t>
            </w:r>
            <w:r>
              <w:rPr>
                <w:rStyle w:val="CodeChar"/>
                <w:sz w:val="15"/>
              </w:rPr>
              <w:t>test_security_gates.py</w:t>
            </w:r>
            <w:r>
              <w:rPr>
                <w:sz w:val="18"/>
              </w:rPr>
              <w:t>, 349 lines) and export/CI import (459 lines).</w:t>
            </w:r>
          </w:p>
        </w:tc>
      </w:tr>
      <w:tr>
        <w:tc>
          <w:tcPr>
            <w:tcW w:type="dxa" w:w="1440"/>
            <w:shd w:val="clear" w:fill="F2F6F6"/>
          </w:tcPr>
          <w:p>
            <w:pPr>
              <w:spacing w:after="40"/>
            </w:pPr>
            <w:r/>
            <w:r>
              <w:rPr>
                <w:sz w:val="18"/>
              </w:rPr>
              <w:t>Backend</w:t>
            </w:r>
          </w:p>
        </w:tc>
        <w:tc>
          <w:tcPr>
            <w:tcW w:type="dxa" w:w="7344"/>
            <w:shd w:val="clear" w:fill="F2F6F6"/>
          </w:tcPr>
          <w:p>
            <w:pPr>
              <w:spacing w:after="40"/>
            </w:pPr>
            <w:r/>
            <w:r>
              <w:rPr>
                <w:sz w:val="18"/>
              </w:rPr>
              <w:t>3 Jest specs — state machines, approvals, execution logger — plus 2 supertest e2e specs.</w:t>
            </w:r>
          </w:p>
        </w:tc>
      </w:tr>
      <w:tr>
        <w:tc>
          <w:tcPr>
            <w:tcW w:type="dxa" w:w="1440"/>
          </w:tcPr>
          <w:p>
            <w:pPr>
              <w:spacing w:after="40"/>
            </w:pPr>
            <w:r/>
            <w:r>
              <w:rPr>
                <w:sz w:val="18"/>
              </w:rPr>
              <w:t>Frontend</w:t>
            </w:r>
          </w:p>
        </w:tc>
        <w:tc>
          <w:tcPr>
            <w:tcW w:type="dxa" w:w="7344"/>
          </w:tcPr>
          <w:p>
            <w:pPr>
              <w:spacing w:after="40"/>
            </w:pPr>
            <w:r/>
            <w:r>
              <w:rPr>
                <w:sz w:val="18"/>
              </w:rPr>
              <w:t>3 Vitest specs — the timeline reducer, token refresh, login page. The reducer is pure precisely so ordering and dedup are testable without a socket.</w:t>
            </w:r>
          </w:p>
        </w:tc>
      </w:tr>
    </w:tbl>
    <w:p>
      <w:pPr>
        <w:spacing w:after="80"/>
      </w:pPr>
    </w:p>
    <w:p>
      <w:pPr>
        <w:pStyle w:val="Heading1"/>
      </w:pPr>
      <w:r>
        <w:rPr>
          <w:rFonts w:ascii="Consolas" w:hAnsi="Consolas"/>
          <w:color w:val="0B5D6E"/>
          <w:sz w:val="26"/>
        </w:rPr>
        <w:t xml:space="preserve">13   </w:t>
      </w:r>
      <w:r>
        <w:rPr>
          <w:rFonts w:ascii="Cambria" w:hAnsi="Cambria"/>
          <w:color w:val="0E1618"/>
          <w:sz w:val="38"/>
        </w:rPr>
        <w:t>Architectural observations</w:t>
      </w:r>
    </w:p>
    <w:p>
      <w:pPr>
        <w:pStyle w:val="Lede"/>
      </w:pPr>
      <w:r>
        <w:t>Things worth knowing about the current state of the architecture, found while reading it.</w:t>
      </w:r>
    </w:p>
    <w:tbl>
      <w:tblPr>
        <w:tblStyle w:val="TableGrid"/>
        <w:tblW w:type="auto" w:w="0"/>
        <w:tblLook w:firstColumn="1" w:firstRow="1" w:lastColumn="0" w:lastRow="0" w:noHBand="0" w:noVBand="1" w:val="04A0"/>
      </w:tblPr>
      <w:tblGrid>
        <w:gridCol w:w="9412"/>
      </w:tblGrid>
      <w:tr>
        <w:tc>
          <w:tcPr>
            <w:tcW w:type="dxa" w:w="9412"/>
            <w:shd w:val="clear" w:fill="FBEEEC"/>
          </w:tcPr>
          <w:p>
            <w:r/>
            <w:r>
              <w:rPr>
                <w:b/>
                <w:color w:val="AE3B2F"/>
                <w:sz w:val="21"/>
              </w:rPr>
              <w:t>Committed example files contain real-looking secrets</w:t>
            </w:r>
          </w:p>
          <w:p>
            <w:pPr>
              <w:spacing w:before="80"/>
            </w:pPr>
            <w:r>
              <w:rPr>
                <w:rStyle w:val="CodeChar"/>
                <w:sz w:val="16"/>
              </w:rPr>
              <w:t>.env.example</w:t>
            </w:r>
            <w:r>
              <w:rPr>
                <w:sz w:val="19"/>
              </w:rPr>
              <w:t xml:space="preserve"> carries a populated </w:t>
            </w:r>
            <w:r>
              <w:rPr>
                <w:rStyle w:val="CodeChar"/>
                <w:sz w:val="16"/>
              </w:rPr>
              <w:t>QA_TEST_PASSWORD</w:t>
            </w:r>
            <w:r>
              <w:rPr>
                <w:sz w:val="19"/>
              </w:rPr>
              <w:t xml:space="preserve"> and a personal account email; </w:t>
            </w:r>
            <w:r>
              <w:rPr>
                <w:rStyle w:val="CodeChar"/>
                <w:sz w:val="16"/>
              </w:rPr>
              <w:t>.env.v2.example</w:t>
            </w:r>
            <w:r>
              <w:rPr>
                <w:sz w:val="19"/>
              </w:rPr>
              <w:t xml:space="preserve"> carries populated </w:t>
            </w:r>
            <w:r>
              <w:rPr>
                <w:rStyle w:val="CodeChar"/>
                <w:sz w:val="16"/>
              </w:rPr>
              <w:t>JWT_ACCESS_SECRET</w:t>
            </w:r>
            <w:r>
              <w:rPr>
                <w:sz w:val="19"/>
              </w:rPr>
              <w:t xml:space="preserve">, </w:t>
            </w:r>
            <w:r>
              <w:rPr>
                <w:rStyle w:val="CodeChar"/>
                <w:sz w:val="16"/>
              </w:rPr>
              <w:t>JWT_REFRESH_SECRET</w:t>
            </w:r>
            <w:r>
              <w:rPr>
                <w:sz w:val="19"/>
              </w:rPr>
              <w:t xml:space="preserve"> and </w:t>
            </w:r>
            <w:r>
              <w:rPr>
                <w:rStyle w:val="CodeChar"/>
                <w:sz w:val="16"/>
              </w:rPr>
              <w:t>SEED_ADMIN_PASSWORD</w:t>
            </w:r>
            <w:r>
              <w:rPr>
                <w:sz w:val="19"/>
              </w:rPr>
              <w:t>. Both files are tracked in git and both are headed “Never commit real secrets”.</w:t>
            </w:r>
          </w:p>
          <w:p>
            <w:pPr>
              <w:spacing w:before="80"/>
            </w:pPr>
            <w:r>
              <w:rPr>
                <w:sz w:val="19"/>
              </w:rPr>
              <w:t>If any of these are live values, they should be rotated and the files reduced to placeholders. This is the one finding worth acting on before anything else.</w:t>
            </w:r>
          </w:p>
          <w:p>
            <w:pPr>
              <w:spacing w:before="100"/>
            </w:pPr>
            <w:r>
              <w:rPr>
                <w:rFonts w:ascii="Consolas" w:hAnsi="Consolas"/>
                <w:color w:val="5E7378"/>
                <w:sz w:val="16"/>
              </w:rPr>
              <w:t>.env.example  ·  .env.v2.example</w:t>
            </w:r>
          </w:p>
        </w:tc>
      </w:tr>
    </w:tbl>
    <w:p>
      <w:pPr>
        <w:spacing w:after="80"/>
      </w:pPr>
    </w:p>
    <w:tbl>
      <w:tblPr>
        <w:tblStyle w:val="TableGrid"/>
        <w:tblW w:type="auto" w:w="0"/>
        <w:tblLook w:firstColumn="1" w:firstRow="1" w:lastColumn="0" w:lastRow="0" w:noHBand="0" w:noVBand="1" w:val="04A0"/>
      </w:tblPr>
      <w:tblGrid>
        <w:gridCol w:w="9412"/>
      </w:tblGrid>
      <w:tr>
        <w:tc>
          <w:tcPr>
            <w:tcW w:type="dxa" w:w="9412"/>
            <w:shd w:val="clear" w:fill="FBEEEC"/>
          </w:tcPr>
          <w:p>
            <w:r/>
            <w:r>
              <w:rPr>
                <w:b/>
                <w:color w:val="AE3B2F"/>
                <w:sz w:val="21"/>
              </w:rPr>
              <w:t>A page object calls BasePage helpers with the wrong keyword arguments</w:t>
            </w:r>
          </w:p>
          <w:p>
            <w:pPr>
              <w:spacing w:before="80"/>
            </w:pPr>
            <w:r>
              <w:rPr>
                <w:rStyle w:val="CodeChar"/>
                <w:sz w:val="16"/>
              </w:rPr>
              <w:t>SampleLoginPage.login()</w:t>
            </w:r>
            <w:r>
              <w:rPr>
                <w:sz w:val="19"/>
              </w:rPr>
              <w:t xml:space="preserve"> calls </w:t>
            </w:r>
            <w:r>
              <w:rPr>
                <w:rStyle w:val="CodeChar"/>
                <w:sz w:val="16"/>
              </w:rPr>
              <w:t>self.fill(..., name="Username")</w:t>
            </w:r>
            <w:r>
              <w:rPr>
                <w:sz w:val="19"/>
              </w:rPr>
              <w:t xml:space="preserve">, </w:t>
            </w:r>
            <w:r>
              <w:rPr>
                <w:rStyle w:val="CodeChar"/>
                <w:sz w:val="16"/>
              </w:rPr>
              <w:t>self.click(..., type="Submit")</w:t>
            </w:r>
            <w:r>
              <w:rPr>
                <w:sz w:val="19"/>
              </w:rPr>
              <w:t xml:space="preserve"> and </w:t>
            </w:r>
            <w:r>
              <w:rPr>
                <w:rStyle w:val="CodeChar"/>
                <w:sz w:val="16"/>
              </w:rPr>
              <w:t>self.assert_contains_text(..., name=...)</w:t>
            </w:r>
            <w:r>
              <w:rPr>
                <w:sz w:val="19"/>
              </w:rPr>
              <w:t xml:space="preserve">. The base class defines these as </w:t>
            </w:r>
            <w:r>
              <w:rPr>
                <w:rStyle w:val="CodeChar"/>
                <w:sz w:val="16"/>
              </w:rPr>
              <w:t>fill(locator, value, label="")</w:t>
            </w:r>
            <w:r>
              <w:rPr>
                <w:sz w:val="19"/>
              </w:rPr>
              <w:t xml:space="preserve">, </w:t>
            </w:r>
            <w:r>
              <w:rPr>
                <w:rStyle w:val="CodeChar"/>
                <w:sz w:val="16"/>
              </w:rPr>
              <w:t>click(locator, label="")</w:t>
            </w:r>
            <w:r>
              <w:rPr>
                <w:sz w:val="19"/>
              </w:rPr>
              <w:t xml:space="preserve"> and </w:t>
            </w:r>
            <w:r>
              <w:rPr>
                <w:rStyle w:val="CodeChar"/>
                <w:sz w:val="16"/>
              </w:rPr>
              <w:t>assert_contains_text(locator, text, label="")</w:t>
            </w:r>
            <w:r>
              <w:rPr>
                <w:sz w:val="19"/>
              </w:rPr>
              <w:t>.</w:t>
            </w:r>
          </w:p>
          <w:p>
            <w:pPr>
              <w:spacing w:before="80"/>
            </w:pPr>
            <w:r>
              <w:rPr>
                <w:sz w:val="19"/>
              </w:rPr>
              <w:t xml:space="preserve">Every one of those calls raises </w:t>
            </w:r>
            <w:r>
              <w:rPr>
                <w:rStyle w:val="CodeChar"/>
                <w:sz w:val="16"/>
              </w:rPr>
              <w:t>TypeError: unexpected keyword argument</w:t>
            </w:r>
            <w:r>
              <w:rPr>
                <w:sz w:val="19"/>
              </w:rPr>
              <w:t xml:space="preserve"> at runtime — the login flow cannot execute. </w:t>
            </w:r>
            <w:r>
              <w:rPr>
                <w:rStyle w:val="CodeChar"/>
                <w:sz w:val="16"/>
              </w:rPr>
              <w:t>label=</w:t>
            </w:r>
            <w:r>
              <w:rPr>
                <w:sz w:val="19"/>
              </w:rPr>
              <w:t xml:space="preserve"> is the intended keyword. Both files are currently modified in the working tree.</w:t>
            </w:r>
          </w:p>
          <w:p>
            <w:pPr>
              <w:spacing w:before="100"/>
            </w:pPr>
            <w:r>
              <w:rPr>
                <w:rFonts w:ascii="Consolas" w:hAnsi="Consolas"/>
                <w:color w:val="5E7378"/>
                <w:sz w:val="16"/>
              </w:rPr>
              <w:t>automation/pages/sample_login_page.py:29-32  ·  automation/pages/base_page.py:79-100</w:t>
            </w:r>
          </w:p>
        </w:tc>
      </w:tr>
    </w:tbl>
    <w:p>
      <w:pPr>
        <w:spacing w:after="80"/>
      </w:pPr>
    </w:p>
    <w:tbl>
      <w:tblPr>
        <w:tblStyle w:val="TableGrid"/>
        <w:tblW w:type="auto" w:w="0"/>
        <w:tblLook w:firstColumn="1" w:firstRow="1" w:lastColumn="0" w:lastRow="0" w:noHBand="0" w:noVBand="1" w:val="04A0"/>
      </w:tblPr>
      <w:tblGrid>
        <w:gridCol w:w="9412"/>
      </w:tblGrid>
      <w:tr>
        <w:tc>
          <w:tcPr>
            <w:tcW w:type="dxa" w:w="9412"/>
            <w:shd w:val="clear" w:fill="FAF3E8"/>
          </w:tcPr>
          <w:p>
            <w:r/>
            <w:r>
              <w:rPr>
                <w:b/>
                <w:color w:val="A9660F"/>
                <w:sz w:val="21"/>
              </w:rPr>
              <w:t>The LangGraph orchestrator is orphaned from the running system</w:t>
            </w:r>
          </w:p>
          <w:p>
            <w:pPr>
              <w:spacing w:before="80"/>
            </w:pPr>
            <w:r>
              <w:rPr>
                <w:rStyle w:val="CodeChar"/>
                <w:sz w:val="16"/>
              </w:rPr>
              <w:t>graph/workflow.py</w:t>
            </w:r>
            <w:r>
              <w:rPr>
                <w:sz w:val="19"/>
              </w:rPr>
              <w:t xml:space="preserve"> implements the full pipeline as a compiled state graph with two </w:t>
            </w:r>
            <w:r>
              <w:rPr>
                <w:rStyle w:val="CodeChar"/>
                <w:sz w:val="16"/>
              </w:rPr>
              <w:t>interrupt()</w:t>
            </w:r>
            <w:r>
              <w:rPr>
                <w:sz w:val="19"/>
              </w:rPr>
              <w:t xml:space="preserve"> human gates and a checkpointer for resume. It is well-built — and the only thing that imports it is </w:t>
            </w:r>
            <w:r>
              <w:rPr>
                <w:rStyle w:val="CodeChar"/>
                <w:sz w:val="16"/>
              </w:rPr>
              <w:t>scripts/demo.py</w:t>
            </w:r>
            <w:r>
              <w:rPr>
                <w:sz w:val="19"/>
              </w:rPr>
              <w:t>.</w:t>
            </w:r>
          </w:p>
          <w:p>
            <w:pPr>
              <w:spacing w:before="80"/>
            </w:pPr>
            <w:r>
              <w:rPr>
                <w:sz w:val="19"/>
              </w:rPr>
              <w:t xml:space="preserve">The V2/V3 runtime re-implements that orchestration imperatively across </w:t>
            </w:r>
            <w:r>
              <w:rPr>
                <w:rStyle w:val="CodeChar"/>
                <w:sz w:val="16"/>
              </w:rPr>
              <w:t>JobsService</w:t>
            </w:r>
            <w:r>
              <w:rPr>
                <w:sz w:val="19"/>
              </w:rPr>
              <w:t xml:space="preserve">, </w:t>
            </w:r>
            <w:r>
              <w:rPr>
                <w:rStyle w:val="CodeChar"/>
                <w:sz w:val="16"/>
              </w:rPr>
              <w:t>ApprovalsService</w:t>
            </w:r>
            <w:r>
              <w:rPr>
                <w:sz w:val="19"/>
              </w:rPr>
              <w:t xml:space="preserve"> and </w:t>
            </w:r>
            <w:r>
              <w:rPr>
                <w:rStyle w:val="CodeChar"/>
                <w:sz w:val="16"/>
              </w:rPr>
              <w:t>ExecutionsService</w:t>
            </w:r>
            <w:r>
              <w:rPr>
                <w:sz w:val="19"/>
              </w:rPr>
              <w:t xml:space="preserve">. The workflow logic now exists twice, in two languages, with only one of them live. Worth an explicit decision: retire </w:t>
            </w:r>
            <w:r>
              <w:rPr>
                <w:rStyle w:val="CodeChar"/>
                <w:sz w:val="16"/>
              </w:rPr>
              <w:t>graph/</w:t>
            </w:r>
            <w:r>
              <w:rPr>
                <w:sz w:val="19"/>
              </w:rPr>
              <w:t>, or document it as the V1 reference implementation it has become.</w:t>
            </w:r>
          </w:p>
          <w:p>
            <w:pPr>
              <w:spacing w:before="100"/>
            </w:pPr>
            <w:r>
              <w:rPr>
                <w:rFonts w:ascii="Consolas" w:hAnsi="Consolas"/>
                <w:color w:val="5E7378"/>
                <w:sz w:val="16"/>
              </w:rPr>
              <w:t>graph/workflow.py  ·  graph/nodes.py  ·  scripts/demo.py</w:t>
            </w:r>
          </w:p>
        </w:tc>
      </w:tr>
    </w:tbl>
    <w:p>
      <w:pPr>
        <w:spacing w:after="80"/>
      </w:pPr>
    </w:p>
    <w:tbl>
      <w:tblPr>
        <w:tblStyle w:val="TableGrid"/>
        <w:tblW w:type="auto" w:w="0"/>
        <w:tblLook w:firstColumn="1" w:firstRow="1" w:lastColumn="0" w:lastRow="0" w:noHBand="0" w:noVBand="1" w:val="04A0"/>
      </w:tblPr>
      <w:tblGrid>
        <w:gridCol w:w="9412"/>
      </w:tblGrid>
      <w:tr>
        <w:tc>
          <w:tcPr>
            <w:tcW w:type="dxa" w:w="9412"/>
            <w:shd w:val="clear" w:fill="FAF3E8"/>
          </w:tcPr>
          <w:p>
            <w:r/>
            <w:r>
              <w:rPr>
                <w:b/>
                <w:color w:val="A9660F"/>
                <w:sz w:val="21"/>
              </w:rPr>
              <w:t>Redis is provisioned but never used</w:t>
            </w:r>
          </w:p>
          <w:p>
            <w:pPr>
              <w:spacing w:before="80"/>
            </w:pPr>
            <w:r>
              <w:rPr>
                <w:rStyle w:val="CodeChar"/>
                <w:sz w:val="16"/>
              </w:rPr>
              <w:t>docker-compose.yml</w:t>
            </w:r>
            <w:r>
              <w:rPr>
                <w:sz w:val="19"/>
              </w:rPr>
              <w:t xml:space="preserve"> starts </w:t>
            </w:r>
            <w:r>
              <w:rPr>
                <w:rStyle w:val="CodeChar"/>
                <w:sz w:val="16"/>
              </w:rPr>
              <w:t>redis:7</w:t>
            </w:r>
            <w:r>
              <w:rPr>
                <w:sz w:val="19"/>
              </w:rPr>
              <w:t xml:space="preserve"> on 6379. No source file in </w:t>
            </w:r>
            <w:r>
              <w:rPr>
                <w:rStyle w:val="CodeChar"/>
                <w:sz w:val="16"/>
              </w:rPr>
              <w:t>backend/src</w:t>
            </w:r>
            <w:r>
              <w:rPr>
                <w:sz w:val="19"/>
              </w:rPr>
              <w:t xml:space="preserve">, </w:t>
            </w:r>
            <w:r>
              <w:rPr>
                <w:rStyle w:val="CodeChar"/>
                <w:sz w:val="16"/>
              </w:rPr>
              <w:t>engine</w:t>
            </w:r>
            <w:r>
              <w:rPr>
                <w:sz w:val="19"/>
              </w:rPr>
              <w:t xml:space="preserve">, </w:t>
            </w:r>
            <w:r>
              <w:rPr>
                <w:rStyle w:val="CodeChar"/>
                <w:sz w:val="16"/>
              </w:rPr>
              <w:t>app</w:t>
            </w:r>
            <w:r>
              <w:rPr>
                <w:sz w:val="19"/>
              </w:rPr>
              <w:t xml:space="preserve">, </w:t>
            </w:r>
            <w:r>
              <w:rPr>
                <w:rStyle w:val="CodeChar"/>
                <w:sz w:val="16"/>
              </w:rPr>
              <w:t>agents</w:t>
            </w:r>
            <w:r>
              <w:rPr>
                <w:sz w:val="19"/>
              </w:rPr>
              <w:t xml:space="preserve"> or </w:t>
            </w:r>
            <w:r>
              <w:rPr>
                <w:rStyle w:val="CodeChar"/>
                <w:sz w:val="16"/>
              </w:rPr>
              <w:t>tools</w:t>
            </w:r>
            <w:r>
              <w:rPr>
                <w:sz w:val="19"/>
              </w:rPr>
              <w:t xml:space="preserve"> references it. Job queueing, event sequencing and the idempotency cache are all in-process.</w:t>
            </w:r>
          </w:p>
          <w:p>
            <w:pPr>
              <w:spacing w:before="80"/>
            </w:pPr>
            <w:r>
              <w:rPr>
                <w:sz w:val="19"/>
              </w:rPr>
              <w:t xml:space="preserve">That in-process design is what currently bounds the system to a single backend instance and a single engine instance — </w:t>
            </w:r>
            <w:r>
              <w:rPr>
                <w:rStyle w:val="CodeChar"/>
                <w:sz w:val="16"/>
              </w:rPr>
              <w:t>activeRuns</w:t>
            </w:r>
            <w:r>
              <w:rPr>
                <w:sz w:val="19"/>
              </w:rPr>
              <w:t>, the seq counters and the idempotency cache are per-process. Redis is presumably the intended path to horizontal scale; today it is a stub.</w:t>
            </w:r>
          </w:p>
          <w:p>
            <w:pPr>
              <w:spacing w:before="100"/>
            </w:pPr>
            <w:r>
              <w:rPr>
                <w:rFonts w:ascii="Consolas" w:hAnsi="Consolas"/>
                <w:color w:val="5E7378"/>
                <w:sz w:val="16"/>
              </w:rPr>
              <w:t>docker-compose.yml:19-21</w:t>
            </w:r>
          </w:p>
        </w:tc>
      </w:tr>
    </w:tbl>
    <w:p>
      <w:pPr>
        <w:spacing w:after="80"/>
      </w:pPr>
    </w:p>
    <w:tbl>
      <w:tblPr>
        <w:tblStyle w:val="TableGrid"/>
        <w:tblW w:type="auto" w:w="0"/>
        <w:tblLook w:firstColumn="1" w:firstRow="1" w:lastColumn="0" w:lastRow="0" w:noHBand="0" w:noVBand="1" w:val="04A0"/>
      </w:tblPr>
      <w:tblGrid>
        <w:gridCol w:w="9412"/>
      </w:tblGrid>
      <w:tr>
        <w:tc>
          <w:tcPr>
            <w:tcW w:type="dxa" w:w="9412"/>
            <w:shd w:val="clear" w:fill="EDF4F5"/>
          </w:tcPr>
          <w:p>
            <w:r/>
            <w:r>
              <w:rPr>
                <w:b/>
                <w:color w:val="0B5D6E"/>
                <w:sz w:val="21"/>
              </w:rPr>
              <w:t>Two complete API surfaces coexist</w:t>
            </w:r>
          </w:p>
          <w:p>
            <w:pPr>
              <w:spacing w:before="80"/>
            </w:pPr>
            <w:r>
              <w:rPr>
                <w:rStyle w:val="CodeChar"/>
                <w:sz w:val="16"/>
              </w:rPr>
              <w:t>app/main.py</w:t>
            </w:r>
            <w:r>
              <w:rPr>
                <w:sz w:val="19"/>
              </w:rPr>
              <w:t xml:space="preserve"> still assembles a full FastAPI application with 11 routers covering projects, requirements, generation, automation, approvals, executions, git/CI, findings, reports and export. Nothing in the V2 stack calls it.</w:t>
            </w:r>
          </w:p>
          <w:p>
            <w:pPr>
              <w:spacing w:before="80"/>
            </w:pPr>
            <w:r>
              <w:rPr>
                <w:sz w:val="19"/>
              </w:rPr>
              <w:t xml:space="preserve">The engine reuses the V1 libraries — </w:t>
            </w:r>
            <w:r>
              <w:rPr>
                <w:rStyle w:val="CodeChar"/>
                <w:sz w:val="16"/>
              </w:rPr>
              <w:t>agents/</w:t>
            </w:r>
            <w:r>
              <w:rPr>
                <w:sz w:val="19"/>
              </w:rPr>
              <w:t xml:space="preserve">, </w:t>
            </w:r>
            <w:r>
              <w:rPr>
                <w:rStyle w:val="CodeChar"/>
                <w:sz w:val="16"/>
              </w:rPr>
              <w:t>app.services</w:t>
            </w:r>
            <w:r>
              <w:rPr>
                <w:sz w:val="19"/>
              </w:rPr>
              <w:t xml:space="preserve">, </w:t>
            </w:r>
            <w:r>
              <w:rPr>
                <w:rStyle w:val="CodeChar"/>
                <w:sz w:val="16"/>
              </w:rPr>
              <w:t>app.models.schemas</w:t>
            </w:r>
            <w:r>
              <w:rPr>
                <w:sz w:val="19"/>
              </w:rPr>
              <w:t xml:space="preserve">, </w:t>
            </w:r>
            <w:r>
              <w:rPr>
                <w:rStyle w:val="CodeChar"/>
                <w:sz w:val="16"/>
              </w:rPr>
              <w:t>tools/</w:t>
            </w:r>
            <w:r>
              <w:rPr>
                <w:sz w:val="19"/>
              </w:rPr>
              <w:t xml:space="preserve"> — not the V1 HTTP API. That library reuse is clean and deliberate. The parallel HTTP surface is the part that has no consumer.</w:t>
            </w:r>
          </w:p>
          <w:p>
            <w:pPr>
              <w:spacing w:before="100"/>
            </w:pPr>
            <w:r>
              <w:rPr>
                <w:rFonts w:ascii="Consolas" w:hAnsi="Consolas"/>
                <w:color w:val="5E7378"/>
                <w:sz w:val="16"/>
              </w:rPr>
              <w:t>app/main.py  ·  app/api/*.py</w:t>
            </w:r>
          </w:p>
        </w:tc>
      </w:tr>
    </w:tbl>
    <w:p>
      <w:pPr>
        <w:spacing w:after="80"/>
      </w:pPr>
    </w:p>
    <w:tbl>
      <w:tblPr>
        <w:tblStyle w:val="TableGrid"/>
        <w:tblW w:type="auto" w:w="0"/>
        <w:tblLook w:firstColumn="1" w:firstRow="1" w:lastColumn="0" w:lastRow="0" w:noHBand="0" w:noVBand="1" w:val="04A0"/>
      </w:tblPr>
      <w:tblGrid>
        <w:gridCol w:w="9412"/>
      </w:tblGrid>
      <w:tr>
        <w:tc>
          <w:tcPr>
            <w:tcW w:type="dxa" w:w="9412"/>
            <w:shd w:val="clear" w:fill="EDF4F5"/>
          </w:tcPr>
          <w:p>
            <w:r/>
            <w:r>
              <w:rPr>
                <w:b/>
                <w:color w:val="0B5D6E"/>
                <w:sz w:val="21"/>
              </w:rPr>
              <w:t>Honest degradation is applied consistently</w:t>
            </w:r>
          </w:p>
          <w:p>
            <w:pPr>
              <w:spacing w:before="80"/>
            </w:pPr>
            <w:r>
              <w:rPr>
                <w:sz w:val="19"/>
              </w:rPr>
              <w:t>Worth calling out as a strength, because it is unusual to find applied this evenly. When PDF rendering is unavailable, exports return Markdown or HTML with the correct content type rather than mislabelled bytes. When no tests are collected, the run reports an error carrying the pytest output instead of an all-zero success. When the LLM is unreachable, reports still render with a deterministic narrative explicitly labelled “auto-generated (no LLM)”. Measured metrics and AI narrative are labelled distinctly in every report.</w:t>
            </w:r>
          </w:p>
          <w:p>
            <w:pPr>
              <w:spacing w:before="100"/>
            </w:pPr>
            <w:r>
              <w:rPr>
                <w:rFonts w:ascii="Consolas" w:hAnsi="Consolas"/>
                <w:color w:val="5E7378"/>
                <w:sz w:val="16"/>
              </w:rPr>
              <w:t>reports.service.ts · test-plans.service.ts · engine/service/execution.py · app/services/report_service.py</w:t>
            </w:r>
          </w:p>
        </w:tc>
      </w:tr>
    </w:tbl>
    <w:p>
      <w:pPr>
        <w:spacing w:after="80"/>
      </w:pPr>
    </w:p>
    <w:tbl>
      <w:tblPr>
        <w:tblStyle w:val="TableGrid"/>
        <w:tblW w:type="auto" w:w="0"/>
        <w:tblLook w:firstColumn="1" w:firstRow="1" w:lastColumn="0" w:lastRow="0" w:noHBand="0" w:noVBand="1" w:val="04A0"/>
      </w:tblPr>
      <w:tblGrid>
        <w:gridCol w:w="9412"/>
      </w:tblGrid>
      <w:tr>
        <w:tc>
          <w:tcPr>
            <w:tcW w:type="dxa" w:w="9412"/>
            <w:shd w:val="clear" w:fill="EDF4F5"/>
          </w:tcPr>
          <w:p>
            <w:r/>
            <w:r>
              <w:rPr>
                <w:b/>
                <w:color w:val="0B5D6E"/>
                <w:sz w:val="21"/>
              </w:rPr>
              <w:t>Schema is created by synchronize: true</w:t>
            </w:r>
          </w:p>
          <w:p>
            <w:pPr>
              <w:spacing w:before="80"/>
            </w:pPr>
            <w:r>
              <w:rPr>
                <w:sz w:val="19"/>
              </w:rPr>
              <w:t>TypeORM auto-creates the schema on boot for both drivers. Fine for the current stage; it needs replacing with generated migrations before any deployment where data must survive an entity change.</w:t>
            </w:r>
          </w:p>
          <w:p>
            <w:pPr>
              <w:spacing w:before="100"/>
            </w:pPr>
            <w:r>
              <w:rPr>
                <w:rFonts w:ascii="Consolas" w:hAnsi="Consolas"/>
                <w:color w:val="5E7378"/>
                <w:sz w:val="16"/>
              </w:rPr>
              <w:t>backend/src/database/database.module.ts</w:t>
            </w:r>
          </w:p>
        </w:tc>
      </w:tr>
    </w:tbl>
    <w:p>
      <w:pPr>
        <w:spacing w:after="80"/>
      </w:pPr>
    </w:p>
    <w:p>
      <w:pPr>
        <w:spacing w:before="280"/>
      </w:pPr>
      <w:r>
        <w:rPr>
          <w:rFonts w:ascii="Consolas" w:hAnsi="Consolas"/>
          <w:color w:val="5E7378"/>
          <w:sz w:val="16"/>
        </w:rPr>
        <w:t>Derived from a full read of the repository at branch feature/ai-qa-agent-v3, HEAD a8ceed47. Diagrams rendered with Mermaid.</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0E161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40"/>
      <w:outlineLvl w:val="0"/>
    </w:pPr>
    <w:rPr>
      <w:rFonts w:asciiTheme="majorHAnsi" w:eastAsiaTheme="majorEastAsia" w:hAnsiTheme="majorHAnsi" w:cstheme="majorBidi" w:ascii="Cambria" w:hAnsi="Cambria"/>
      <w:b w:val="0"/>
      <w:bCs/>
      <w:color w:val="0B5D6E"/>
      <w:sz w:val="38"/>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0E1618"/>
      <w:sz w:val="27"/>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E161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val="0"/>
      <w:color w:val="0E161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80"/>
      <w:jc w:val="center"/>
    </w:pPr>
    <w:rPr>
      <w:rFonts w:ascii="Calibri" w:hAnsi="Calibri"/>
      <w:b/>
      <w:bCs/>
      <w:i w:val="0"/>
      <w:color w:val="5E73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Char">
    <w:name w:val="CodeChar"/>
    <w:rPr>
      <w:rFonts w:ascii="Consolas" w:hAnsi="Consolas"/>
      <w:color w:val="0B5D6E"/>
      <w:sz w:val="18"/>
    </w:rPr>
  </w:style>
  <w:style w:type="paragraph" w:customStyle="1" w:styleId="Lede">
    <w:name w:val="Lede"/>
    <w:basedOn w:val="Normal"/>
    <w:pPr>
      <w:spacing w:after="220"/>
    </w:pPr>
    <w:rPr>
      <w:rFonts w:ascii="Cambria" w:hAnsi="Cambria"/>
      <w:color w:val="5E7378"/>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