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RANZCP Psychiatry Training Redesign — Sectioned Evidence Report</w:t>
      </w:r>
    </w:p>
    <w:p>
      <w:r>
        <w:rPr>
          <w:b/>
        </w:rPr>
        <w:t xml:space="preserve">Version 6.0 — 17 June 2026</w:t>
      </w:r>
    </w:p>
    <w:p>
      <w:r>
        <w:rPr>
          <w:i/>
        </w:rPr>
        <w:t xml:space="preserve">A synthesis of the medical-education and educational literature informing the redesign, organised by design domain. Each section opens with a short narrative on how the references bear on the redesign, followed by a reference table.</w:t>
      </w:r>
    </w:p>
    <w:p>
      <w:pPr>
        <w:pStyle w:val="Heading2"/>
      </w:pPr>
      <w:r>
        <w:t xml:space="preserve">How to read the tables</w:t>
      </w:r>
    </w:p>
    <w:p>
      <w:pPr>
        <w:ind w:left="360"/>
      </w:pPr>
      <w:r>
        <w:t xml:space="preserve">•  </w:t>
      </w:r>
      <w:r>
        <w:rPr>
          <w:b/>
        </w:rPr>
        <w:t xml:space="preserve">Link</w:t>
      </w:r>
      <w:r>
        <w:t xml:space="preserve"> — DOI (doi.org/…) or PubMed for articles; ISBN for books; institutional site link.</w:t>
      </w:r>
    </w:p>
    <w:p>
      <w:pPr>
        <w:ind w:left="360"/>
      </w:pPr>
      <w:r>
        <w:t xml:space="preserve">•  </w:t>
      </w:r>
      <w:r>
        <w:rPr>
          <w:b/>
        </w:rPr>
        <w:t xml:space="preserve">Category</w:t>
      </w:r>
      <w:r>
        <w:t xml:space="preserve"> — one of four:</w:t>
      </w:r>
    </w:p>
    <w:p>
      <w:pPr>
        <w:ind w:left="360"/>
      </w:pPr>
      <w:r>
        <w:t xml:space="preserve">•  </w:t>
      </w:r>
      <w:r>
        <w:rPr>
          <w:b/>
        </w:rPr>
        <w:t xml:space="preserve">Evidence</w:t>
      </w:r>
      <w:r>
        <w:t xml:space="preserve"> — empirical studies, trials, systematic reviews.</w:t>
      </w:r>
    </w:p>
    <w:p>
      <w:pPr>
        <w:ind w:left="360"/>
      </w:pPr>
      <w:r>
        <w:t xml:space="preserve">•  </w:t>
      </w:r>
      <w:r>
        <w:rPr>
          <w:b/>
        </w:rPr>
        <w:t xml:space="preserve">Theory</w:t>
      </w:r>
      <w:r>
        <w:t xml:space="preserve"> — conceptual frameworks, models, and theoretical/critique pieces.</w:t>
      </w:r>
    </w:p>
    <w:p>
      <w:pPr>
        <w:ind w:left="360"/>
      </w:pPr>
      <w:r>
        <w:t xml:space="preserve">•  </w:t>
      </w:r>
      <w:r>
        <w:rPr>
          <w:b/>
        </w:rPr>
        <w:t xml:space="preserve">RANZCP internal</w:t>
      </w:r>
      <w:r>
        <w:t xml:space="preserve"> — the College's own program documents.</w:t>
      </w:r>
    </w:p>
    <w:p>
      <w:pPr>
        <w:ind w:left="360"/>
      </w:pPr>
      <w:r>
        <w:t xml:space="preserve">•  </w:t>
      </w:r>
      <w:r>
        <w:rPr>
          <w:b/>
        </w:rPr>
        <w:t xml:space="preserve">Regulatory/AMC</w:t>
      </w:r>
      <w:r>
        <w:t xml:space="preserve"> — external accreditation standards and conditions.</w:t>
      </w:r>
    </w:p>
    <w:p>
      <w:pPr>
        <w:pBdr>
          <w:bottom w:val="single" w:sz="4" w:space="1" w:color="CCCCCC"/>
        </w:pBdr>
      </w:pPr>
    </w:p>
    <w:p>
      <w:pPr>
        <w:pStyle w:val="Heading1"/>
      </w:pPr>
      <w:r>
        <w:t xml:space="preserve">1. Competency Framework &amp; Its Critics</w:t>
      </w:r>
    </w:p>
    <w:p>
      <w:r>
        <w:t xml:space="preserve">The redesign sits inside a competency-based architecture the College has already adopted, and which the AMC review reaffirmed by aligning graduate outcomes to </w:t>
      </w:r>
      <w:r>
        <w:rPr>
          <w:b/>
        </w:rPr>
        <w:t xml:space="preserve">CanMEDS 2015</w:t>
      </w:r>
      <w:r>
        <w:t xml:space="preserve">. The framework references below define that architecture; the critique references map its documented failure modes — reductionism, unmeasurable competencies, administrative burden — so the committee designs </w:t>
      </w:r>
      <w:r>
        <w:rPr>
          <w:i/>
        </w:rPr>
        <w:t xml:space="preserve">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Snell, Sherbino (eds). </w:t>
            </w:r>
            <w:r>
              <w:rPr>
                <w:i/>
                <w:sz w:val="17"/>
                <w:szCs w:val="17"/>
              </w:rPr>
              <w:t xml:space="preserve">CanMEDS 2015 Physician Competency Framework.</w:t>
            </w:r>
            <w:r>
              <w:rPr>
                <w:sz w:val="17"/>
                <w:szCs w:val="17"/>
              </w:rPr>
              <w:t xml:space="preserve"> RCPSC; 2015</w:t>
            </w:r>
          </w:p>
        </w:tc>
        <w:tc>
          <w:tcPr>
            <w:tcW w:w="1248" w:type="dxa"/>
          </w:tcPr>
          <w:p>
            <w:pPr>
              <w:spacing w:before="20" w:after="20" w:line="240" w:lineRule="auto"/>
            </w:pPr>
            <w:r>
              <w:rPr>
                <w:sz w:val="17"/>
                <w:szCs w:val="17"/>
              </w:rPr>
              <w:t xml:space="preserve">ISBN 978-1-926588-28-5</w:t>
            </w:r>
          </w:p>
        </w:tc>
        <w:tc>
          <w:tcPr>
            <w:tcW w:w="4320" w:type="dxa"/>
          </w:tcPr>
          <w:p>
            <w:pPr>
              <w:spacing w:before="20" w:after="20" w:line="240" w:lineRule="auto"/>
            </w:pPr>
            <w:r>
              <w:rPr>
                <w:sz w:val="17"/>
                <w:szCs w:val="17"/>
              </w:rPr>
              <w:t xml:space="preserve">Defines competence as seven physician Roles (Medical Expert plus six "intrinsic" roles); the explicit template RANZCP graduate outcomes are being mapped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RCPSC. CanMEDS 2025 revision — current status (CanMEDS Project)</w:t>
            </w:r>
          </w:p>
        </w:tc>
        <w:tc>
          <w:tcPr>
            <w:tcW w:w="1248" w:type="dxa"/>
          </w:tcPr>
          <w:p>
            <w:pPr>
              <w:spacing w:before="20" w:after="20" w:line="240" w:lineRule="auto"/>
            </w:pPr>
            <w:hyperlink r:id="rId1000">
              <w:r>
                <w:rPr>
                  <w:rStyle w:val="Hyperlink"/>
                  <w:sz w:val="17"/>
                  <w:szCs w:val="17"/>
                </w:rPr>
                <w:t xml:space="preserve">www.royalcollege.ca/en/standards-and-accreditation/canmeds/development-and-updates.html</w:t>
              </w:r>
            </w:hyperlink>
          </w:p>
        </w:tc>
        <w:tc>
          <w:tcPr>
            <w:tcW w:w="4320" w:type="dxa"/>
          </w:tcPr>
          <w:p>
            <w:pPr>
              <w:spacing w:before="20" w:after="20" w:line="240" w:lineRule="auto"/>
            </w:pPr>
            <w:r>
              <w:rPr>
                <w:sz w:val="17"/>
                <w:szCs w:val="17"/>
              </w:rPr>
              <w:t xml:space="preserve">CanMEDS is under revision (draft due 2026): the </w:t>
            </w:r>
            <w:r>
              <w:rPr>
                <w:b/>
                <w:sz w:val="17"/>
                <w:szCs w:val="17"/>
              </w:rPr>
              <w:t xml:space="preserve">seven Roles are being retained</w:t>
            </w:r>
            <w:r>
              <w:rPr>
                <w:sz w:val="17"/>
                <w:szCs w:val="17"/>
              </w:rPr>
              <w:t xml:space="preserve">, and emerging topics (wellness, planetary &amp; Indigenous health, anti-racism, AI/data, EDI) are woven through existing Roles as competencies </w:t>
            </w:r>
            <w:r>
              <w:rPr>
                <w:b/>
                <w:sz w:val="17"/>
                <w:szCs w:val="17"/>
              </w:rPr>
              <w:t xml:space="preserve">rather than added as a new Role</w:t>
            </w:r>
            <w:r>
              <w:rPr>
                <w:sz w:val="17"/>
                <w:szCs w:val="17"/>
              </w:rPr>
              <w:t xml:space="preserve"> — so align to the seven Roles, not an eighth </w:t>
            </w:r>
            <w:r>
              <w:rPr>
                <w:i/>
                <w:sz w:val="17"/>
                <w:szCs w:val="17"/>
              </w:rPr>
              <w:t xml:space="preserve">(confirm exact wording/date).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Frank et al. Competency-based medical education: theory to practice. </w:t>
            </w:r>
            <w:r>
              <w:rPr>
                <w:i/>
                <w:sz w:val="17"/>
                <w:szCs w:val="17"/>
              </w:rPr>
              <w:t xml:space="preserve">Med Teach.</w:t>
            </w:r>
            <w:r>
              <w:rPr>
                <w:sz w:val="17"/>
                <w:szCs w:val="17"/>
              </w:rPr>
              <w:t xml:space="preserve"> 2010</w:t>
            </w:r>
          </w:p>
        </w:tc>
        <w:tc>
          <w:tcPr>
            <w:tcW w:w="1248" w:type="dxa"/>
          </w:tcPr>
          <w:p>
            <w:pPr>
              <w:spacing w:before="20" w:after="20" w:line="240" w:lineRule="auto"/>
            </w:pPr>
            <w:hyperlink r:id="rId1001">
              <w:r>
                <w:rPr>
                  <w:rStyle w:val="Hyperlink"/>
                  <w:sz w:val="17"/>
                  <w:szCs w:val="17"/>
                </w:rPr>
                <w:t xml:space="preserve">doi:10.3109/0142159X.2010.501190</w:t>
              </w:r>
            </w:hyperlink>
          </w:p>
        </w:tc>
        <w:tc>
          <w:tcPr>
            <w:tcW w:w="4320" w:type="dxa"/>
          </w:tcPr>
          <w:p>
            <w:pPr>
              <w:spacing w:before="20" w:after="20" w:line="240" w:lineRule="auto"/>
            </w:pPr>
            <w:r>
              <w:rPr>
                <w:sz w:val="17"/>
                <w:szCs w:val="17"/>
              </w:rPr>
              <w:t xml:space="preserve">The canonical statement of CBME's rationale, promises and predictable pitfalls — read it before committing, to anticipate the failure modes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ACGME. </w:t>
            </w:r>
            <w:r>
              <w:rPr>
                <w:i/>
                <w:sz w:val="17"/>
                <w:szCs w:val="17"/>
              </w:rPr>
              <w:t xml:space="preserve">The Psychiatry Milestones</w:t>
            </w:r>
            <w:r>
              <w:rPr>
                <w:sz w:val="17"/>
                <w:szCs w:val="17"/>
              </w:rPr>
              <w:t xml:space="preserve"> (2.0); 2020</w:t>
            </w:r>
          </w:p>
        </w:tc>
        <w:tc>
          <w:tcPr>
            <w:tcW w:w="1248" w:type="dxa"/>
          </w:tcPr>
          <w:p>
            <w:pPr>
              <w:spacing w:before="20" w:after="20" w:line="240" w:lineRule="auto"/>
            </w:pPr>
            <w:hyperlink r:id="rId1002">
              <w:r>
                <w:rPr>
                  <w:rStyle w:val="Hyperlink"/>
                  <w:sz w:val="17"/>
                  <w:szCs w:val="17"/>
                </w:rPr>
                <w:t xml:space="preserve">www.acgme.org/specialties/psychiatry/milestones/</w:t>
              </w:r>
            </w:hyperlink>
          </w:p>
        </w:tc>
        <w:tc>
          <w:tcPr>
            <w:tcW w:w="4320" w:type="dxa"/>
          </w:tcPr>
          <w:p>
            <w:pPr>
              <w:spacing w:before="20" w:after="20" w:line="240" w:lineRule="auto"/>
            </w:pPr>
            <w:r>
              <w:rPr>
                <w:sz w:val="17"/>
                <w:szCs w:val="17"/>
              </w:rPr>
              <w:t xml:space="preserve">Behaviourally-anchored novice→expert developmental trajectories per competency, validated for psychiatry residents; a defensible model for progression decisions.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Touchie &amp; ten Cate. The promise, perils, problems and progress of CBME. </w:t>
            </w:r>
            <w:r>
              <w:rPr>
                <w:i/>
                <w:sz w:val="17"/>
                <w:szCs w:val="17"/>
              </w:rPr>
              <w:t xml:space="preserve">Med Educ.</w:t>
            </w:r>
            <w:r>
              <w:rPr>
                <w:sz w:val="17"/>
                <w:szCs w:val="17"/>
              </w:rPr>
              <w:t xml:space="preserve"> 2016</w:t>
            </w:r>
          </w:p>
        </w:tc>
        <w:tc>
          <w:tcPr>
            <w:tcW w:w="1248" w:type="dxa"/>
          </w:tcPr>
          <w:p>
            <w:pPr>
              <w:spacing w:before="20" w:after="20" w:line="240" w:lineRule="auto"/>
            </w:pPr>
            <w:hyperlink r:id="rId1003">
              <w:r>
                <w:rPr>
                  <w:rStyle w:val="Hyperlink"/>
                  <w:sz w:val="17"/>
                  <w:szCs w:val="17"/>
                </w:rPr>
                <w:t xml:space="preserve">doi:10.1111/medu.12839</w:t>
              </w:r>
            </w:hyperlink>
          </w:p>
        </w:tc>
        <w:tc>
          <w:tcPr>
            <w:tcW w:w="4320" w:type="dxa"/>
          </w:tcPr>
          <w:p>
            <w:pPr>
              <w:spacing w:before="20" w:after="20" w:line="240" w:lineRule="auto"/>
            </w:pPr>
            <w:r>
              <w:rPr>
                <w:sz w:val="17"/>
                <w:szCs w:val="17"/>
              </w:rPr>
              <w:t xml:space="preserve">From CBME proponents, a candid catalogue of the documented harms — assessment burden, reductionism, gaming — useful as a standing risk register.</w:t>
            </w:r>
          </w:p>
        </w:tc>
        <w:tc>
          <w:tcPr>
            <w:tcW w:w="1152" w:type="dxa"/>
          </w:tcPr>
          <w:p>
            <w:pPr>
              <w:spacing w:before="20" w:after="20" w:line="240" w:lineRule="auto"/>
            </w:pPr>
            <w:r>
              <w:rPr>
                <w:sz w:val="17"/>
                <w:szCs w:val="17"/>
              </w:rPr>
              <w:t xml:space="preserve">Theory/Evidence</w:t>
            </w:r>
          </w:p>
        </w:tc>
      </w:tr>
      <w:tr>
        <w:tc>
          <w:tcPr>
            <w:tcW w:w="2880" w:type="dxa"/>
          </w:tcPr>
          <w:p>
            <w:pPr>
              <w:spacing w:before="20" w:after="20" w:line="240" w:lineRule="auto"/>
            </w:pPr>
            <w:r>
              <w:rPr>
                <w:sz w:val="17"/>
                <w:szCs w:val="17"/>
              </w:rPr>
              <w:t xml:space="preserve">Van Melle et al. A Core Components Framework for Evaluating CBME.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A fidelity framework for judging whether a CBME rollout is implemented as intended — because most "CBME failed" stories are really implementation failures.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Talbot. Monkey see, monkey do: a critique of the competency model. </w:t>
            </w:r>
            <w:r>
              <w:rPr>
                <w:i/>
                <w:sz w:val="17"/>
                <w:szCs w:val="17"/>
              </w:rPr>
              <w:t xml:space="preserve">Med Educ.</w:t>
            </w:r>
            <w:r>
              <w:rPr>
                <w:sz w:val="17"/>
                <w:szCs w:val="17"/>
              </w:rPr>
              <w:t xml:space="preserve"> 2004</w:t>
            </w:r>
          </w:p>
        </w:tc>
        <w:tc>
          <w:tcPr>
            <w:tcW w:w="1248" w:type="dxa"/>
          </w:tcPr>
          <w:p>
            <w:pPr>
              <w:spacing w:before="20" w:after="20" w:line="240" w:lineRule="auto"/>
            </w:pPr>
            <w:hyperlink r:id="rId1005">
              <w:r>
                <w:rPr>
                  <w:rStyle w:val="Hyperlink"/>
                  <w:sz w:val="17"/>
                  <w:szCs w:val="17"/>
                </w:rPr>
                <w:t xml:space="preserve">doi:10.1046/j.1365-2923.2004.01794.x</w:t>
              </w:r>
            </w:hyperlink>
          </w:p>
        </w:tc>
        <w:tc>
          <w:tcPr>
            <w:tcW w:w="4320" w:type="dxa"/>
          </w:tcPr>
          <w:p>
            <w:pPr>
              <w:spacing w:before="20" w:after="20" w:line="240" w:lineRule="auto"/>
            </w:pPr>
            <w:r>
              <w:rPr>
                <w:sz w:val="17"/>
                <w:szCs w:val="17"/>
              </w:rPr>
              <w:t xml:space="preserve">The classic philosophical critique: competency models fragment holistic professional practice into atomised, checkable units and lose the whole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Lurie, Mooney, Lyness. Measurement of the general ACGME competencies: systematic review. </w:t>
            </w:r>
            <w:r>
              <w:rPr>
                <w:i/>
                <w:sz w:val="17"/>
                <w:szCs w:val="17"/>
              </w:rPr>
              <w:t xml:space="preserve">Acad Med.</w:t>
            </w:r>
            <w:r>
              <w:rPr>
                <w:sz w:val="17"/>
                <w:szCs w:val="17"/>
              </w:rPr>
              <w:t xml:space="preserve"> 2009</w:t>
            </w:r>
          </w:p>
        </w:tc>
        <w:tc>
          <w:tcPr>
            <w:tcW w:w="1248" w:type="dxa"/>
          </w:tcPr>
          <w:p>
            <w:pPr>
              <w:spacing w:before="20" w:after="20" w:line="240" w:lineRule="auto"/>
            </w:pPr>
            <w:hyperlink r:id="rId1006">
              <w:r>
                <w:rPr>
                  <w:rStyle w:val="Hyperlink"/>
                  <w:sz w:val="17"/>
                  <w:szCs w:val="17"/>
                </w:rPr>
                <w:t xml:space="preserve">doi:10.1097/ACM.0b013e3181971f08</w:t>
              </w:r>
            </w:hyperlink>
          </w:p>
        </w:tc>
        <w:tc>
          <w:tcPr>
            <w:tcW w:w="4320" w:type="dxa"/>
          </w:tcPr>
          <w:p>
            <w:pPr>
              <w:spacing w:before="20" w:after="20" w:line="240" w:lineRule="auto"/>
            </w:pPr>
            <w:r>
              <w:rPr>
                <w:sz w:val="17"/>
                <w:szCs w:val="17"/>
              </w:rPr>
              <w:t xml:space="preserve">Systematic-review evidence that the competencies cannot be reliably measured as independent constructs — assessors form global judgements and back-fill the framework.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Norman, Norcini, Bordage. Competency-based education: milestones or millstones? </w:t>
            </w:r>
            <w:r>
              <w:rPr>
                <w:i/>
                <w:sz w:val="17"/>
                <w:szCs w:val="17"/>
              </w:rPr>
              <w:t xml:space="preserve">J Grad Med Educ.</w:t>
            </w:r>
            <w:r>
              <w:rPr>
                <w:sz w:val="17"/>
                <w:szCs w:val="17"/>
              </w:rPr>
              <w:t xml:space="preserve"> 2014</w:t>
            </w:r>
          </w:p>
        </w:tc>
        <w:tc>
          <w:tcPr>
            <w:tcW w:w="1248" w:type="dxa"/>
          </w:tcPr>
          <w:p>
            <w:pPr>
              <w:spacing w:before="20" w:after="20" w:line="240" w:lineRule="auto"/>
            </w:pPr>
            <w:hyperlink r:id="rId1007">
              <w:r>
                <w:rPr>
                  <w:rStyle w:val="Hyperlink"/>
                  <w:sz w:val="17"/>
                  <w:szCs w:val="17"/>
                </w:rPr>
                <w:t xml:space="preserve">doi:10.4300/JGME-D-13-00445.1</w:t>
              </w:r>
            </w:hyperlink>
          </w:p>
        </w:tc>
        <w:tc>
          <w:tcPr>
            <w:tcW w:w="4320" w:type="dxa"/>
          </w:tcPr>
          <w:p>
            <w:pPr>
              <w:spacing w:before="20" w:after="20" w:line="240" w:lineRule="auto"/>
            </w:pPr>
            <w:r>
              <w:rPr>
                <w:sz w:val="17"/>
                <w:szCs w:val="17"/>
              </w:rPr>
              <w:t xml:space="preserve">Warns the milestones/assessment machinery can become an administrative burden out of proportion to its educational yield ("millstones").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Competency-Based Fellowship Program (CBFP)</w:t>
            </w:r>
          </w:p>
        </w:tc>
        <w:tc>
          <w:tcPr>
            <w:tcW w:w="1248" w:type="dxa"/>
          </w:tcPr>
          <w:p>
            <w:pPr>
              <w:spacing w:before="20" w:after="20" w:line="240" w:lineRule="auto"/>
            </w:pPr>
            <w:hyperlink r:id="rId1008">
              <w:r>
                <w:rPr>
                  <w:rStyle w:val="Hyperlink"/>
                  <w:sz w:val="17"/>
                  <w:szCs w:val="17"/>
                </w:rPr>
                <w:t xml:space="preserve">www.ranzcp.org/pre-fellowship/about-the-training-program</w:t>
              </w:r>
            </w:hyperlink>
          </w:p>
        </w:tc>
        <w:tc>
          <w:tcPr>
            <w:tcW w:w="4320" w:type="dxa"/>
          </w:tcPr>
          <w:p>
            <w:pPr>
              <w:spacing w:before="20" w:after="20" w:line="240" w:lineRule="auto"/>
            </w:pPr>
            <w:r>
              <w:rPr>
                <w:sz w:val="17"/>
                <w:szCs w:val="17"/>
              </w:rPr>
              <w:t xml:space="preserve">The current five-year, three-stage (Basic / Proficient / Advanced) competency-based program — the architecture being redesigned.</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Program and Graduate Outcomes</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The live overhaul realigning graduate outcomes to CanMEDS 2015 in response to AMC conditions, with implementation targeted initially for ~2028 now 2030.</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Knowledge Base</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Associated knowledgebase, syllabus.</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AMC; 2023</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external accreditation standards the College is held to — including the </w:t>
            </w:r>
            <w:r>
              <w:rPr>
                <w:b/>
                <w:sz w:val="17"/>
                <w:szCs w:val="17"/>
              </w:rPr>
              <w:t xml:space="preserve">Standard 5</w:t>
            </w:r>
            <w:r>
              <w:rPr>
                <w:sz w:val="17"/>
                <w:szCs w:val="17"/>
              </w:rPr>
              <w:t xml:space="preserve"> conditions (reduce assessment burden; cultural safety; curriculum structure) that mandate and shape this redesign.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Australian Medical Council Limited. Accreditation report: The education and training programs of the Royal Australian and New Zealand College of Psychiatrists. Specialist Education Accreditation Committee; 2023.</w:t>
            </w:r>
          </w:p>
        </w:tc>
        <w:tc>
          <w:tcPr>
            <w:tcW w:w="1248" w:type="dxa"/>
          </w:tcPr>
          <w:p>
            <w:pPr>
              <w:spacing w:before="20" w:after="20" w:line="240" w:lineRule="auto"/>
            </w:pPr>
            <w:hyperlink r:id="rId1011">
              <w:r>
                <w:rPr>
                  <w:rStyle w:val="Hyperlink"/>
                  <w:sz w:val="17"/>
                  <w:szCs w:val="17"/>
                </w:rPr>
                <w:t xml:space="preserve">www.ranzcp.org/getmedia/397638ad-1fdb-43f5-8ff6-870a22b1dbdd/2023-RANZCP-Report-secured.pdf</w:t>
              </w:r>
            </w:hyperlink>
          </w:p>
        </w:tc>
        <w:tc>
          <w:tcPr>
            <w:tcW w:w="4320" w:type="dxa"/>
          </w:tcPr>
          <w:p>
            <w:pPr>
              <w:spacing w:before="20" w:after="20" w:line="240" w:lineRule="auto"/>
            </w:pPr>
            <w:r>
              <w:rPr>
                <w:sz w:val="17"/>
                <w:szCs w:val="17"/>
              </w:rPr>
              <w:t xml:space="preserve">The College's most recent accreditation report from the Australian Medical Council.</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2. Entrustable Professional Activities (EPAs)</w:t>
      </w:r>
    </w:p>
    <w:p>
      <w:r>
        <w:t xml:space="preserve">EPAs are an </w:t>
      </w:r>
      <w:r>
        <w:rPr>
          <w:b/>
        </w:rPr>
        <w:t xml:space="preserve">operational unit</w:t>
      </w:r>
      <w:r>
        <w:t xml:space="preserve"> of the competency framework — the bridge from abstract competencies to entrustable units of real clinical work, and the basis of the current RANZCP workplace-based assessment and portfolio system. The references below cover the concept and its rationale (ten Cate), the practical "how-to" of building and </w:t>
      </w:r>
      <w:r>
        <w:rPr>
          <w:i/>
        </w:rPr>
        <w:t xml:space="preserve">describing</w:t>
      </w:r>
      <w:r>
        <w:t xml:space="preserve"> EPAs (AMEE Guides 99 and 140), the entrustment/supervision scale that underpins entrustment decisions (O-SCORE), and the caution to define EPAs sparingly and validate entrustment (Krupat).</w:t>
      </w:r>
    </w:p>
    <w:p>
      <w:r>
        <w:rPr>
          <w:i/>
        </w:rPr>
        <w:t xml:space="preserve">Design implication: get the EPA descriptions and entrustment scale right — they drive the whole WBA/CCPR system — and keep the set lean to avoid the burden documented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ten Cate. Entrustability of professional activities and competency-based training. </w:t>
            </w:r>
            <w:r>
              <w:rPr>
                <w:i/>
                <w:sz w:val="17"/>
                <w:szCs w:val="17"/>
              </w:rPr>
              <w:t xml:space="preserve">Med Educ.</w:t>
            </w:r>
            <w:r>
              <w:rPr>
                <w:sz w:val="17"/>
                <w:szCs w:val="17"/>
              </w:rPr>
              <w:t xml:space="preserve"> 2005</w:t>
            </w:r>
          </w:p>
        </w:tc>
        <w:tc>
          <w:tcPr>
            <w:tcW w:w="1248" w:type="dxa"/>
          </w:tcPr>
          <w:p>
            <w:pPr>
              <w:spacing w:before="20" w:after="20" w:line="240" w:lineRule="auto"/>
            </w:pPr>
            <w:hyperlink r:id="rId1012">
              <w:r>
                <w:rPr>
                  <w:rStyle w:val="Hyperlink"/>
                  <w:sz w:val="17"/>
                  <w:szCs w:val="17"/>
                </w:rPr>
                <w:t xml:space="preserve">doi:10.1111/j.1365-2929.2005.02341.x</w:t>
              </w:r>
            </w:hyperlink>
          </w:p>
        </w:tc>
        <w:tc>
          <w:tcPr>
            <w:tcW w:w="4320" w:type="dxa"/>
          </w:tcPr>
          <w:p>
            <w:pPr>
              <w:spacing w:before="20" w:after="20" w:line="240" w:lineRule="auto"/>
            </w:pPr>
            <w:r>
              <w:rPr>
                <w:sz w:val="17"/>
                <w:szCs w:val="17"/>
              </w:rPr>
              <w:t xml:space="preserve">The origin of the EPA concept — a unit of professional work a supervisor can be trusted to delegate, translating competencies into observable, entrustable tasks.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Chen et al. Curriculum development for the workplace using EPAs: AMEE Guide No. 99. </w:t>
            </w:r>
            <w:r>
              <w:rPr>
                <w:i/>
                <w:sz w:val="17"/>
                <w:szCs w:val="17"/>
              </w:rPr>
              <w:t xml:space="preserve">Med Teach.</w:t>
            </w:r>
            <w:r>
              <w:rPr>
                <w:sz w:val="17"/>
                <w:szCs w:val="17"/>
              </w:rPr>
              <w:t xml:space="preserve"> 2015</w:t>
            </w:r>
          </w:p>
        </w:tc>
        <w:tc>
          <w:tcPr>
            <w:tcW w:w="1248" w:type="dxa"/>
          </w:tcPr>
          <w:p>
            <w:pPr>
              <w:spacing w:before="20" w:after="20" w:line="240" w:lineRule="auto"/>
            </w:pPr>
            <w:hyperlink r:id="rId1013">
              <w:r>
                <w:rPr>
                  <w:rStyle w:val="Hyperlink"/>
                  <w:sz w:val="17"/>
                  <w:szCs w:val="17"/>
                </w:rPr>
                <w:t xml:space="preserve">doi:10.3109/0142159X.2015.1060308</w:t>
              </w:r>
            </w:hyperlink>
          </w:p>
        </w:tc>
        <w:tc>
          <w:tcPr>
            <w:tcW w:w="4320" w:type="dxa"/>
          </w:tcPr>
          <w:p>
            <w:pPr>
              <w:spacing w:before="20" w:after="20" w:line="240" w:lineRule="auto"/>
            </w:pPr>
            <w:r>
              <w:rPr>
                <w:sz w:val="17"/>
                <w:szCs w:val="17"/>
              </w:rPr>
              <w:t xml:space="preserve">The practical "how-to-implement EPAs" guide — building a workplace curriculum from EPAs.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Taylor. The recommended description of an entrustable professional activity: AMEE Guide No. 140. </w:t>
            </w:r>
            <w:r>
              <w:rPr>
                <w:i/>
                <w:sz w:val="17"/>
                <w:szCs w:val="17"/>
              </w:rPr>
              <w:t xml:space="preserve">Med Teach.</w:t>
            </w:r>
            <w:r>
              <w:rPr>
                <w:sz w:val="17"/>
                <w:szCs w:val="17"/>
              </w:rPr>
              <w:t xml:space="preserve"> 2021</w:t>
            </w:r>
          </w:p>
        </w:tc>
        <w:tc>
          <w:tcPr>
            <w:tcW w:w="1248" w:type="dxa"/>
          </w:tcPr>
          <w:p>
            <w:pPr>
              <w:spacing w:before="20" w:after="20" w:line="240" w:lineRule="auto"/>
            </w:pPr>
            <w:hyperlink r:id="rId1014">
              <w:r>
                <w:rPr>
                  <w:rStyle w:val="Hyperlink"/>
                  <w:sz w:val="17"/>
                  <w:szCs w:val="17"/>
                </w:rPr>
                <w:t xml:space="preserve">doi:10.1080/0142159X.2020.1838465</w:t>
              </w:r>
            </w:hyperlink>
          </w:p>
        </w:tc>
        <w:tc>
          <w:tcPr>
            <w:tcW w:w="4320" w:type="dxa"/>
          </w:tcPr>
          <w:p>
            <w:pPr>
              <w:spacing w:before="20" w:after="20" w:line="240" w:lineRule="auto"/>
            </w:pPr>
            <w:r>
              <w:rPr>
                <w:sz w:val="17"/>
                <w:szCs w:val="17"/>
              </w:rPr>
              <w:t xml:space="preserve">The current standard for </w:t>
            </w:r>
            <w:r>
              <w:rPr>
                <w:i/>
                <w:sz w:val="17"/>
                <w:szCs w:val="17"/>
              </w:rPr>
              <w:t xml:space="preserve">how to write/describe an EPA</w:t>
            </w:r>
            <w:r>
              <w:rPr>
                <w:sz w:val="17"/>
                <w:szCs w:val="17"/>
              </w:rPr>
              <w:t xml:space="preserve">; a practical template for drafting the RANZCP EPA set.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Gofton, Dudek, Wood, Balaa, Hamstra. The Ottawa Surgical Competency Operating Room Evaluation (O-SCORE). </w:t>
            </w:r>
            <w:r>
              <w:rPr>
                <w:i/>
                <w:sz w:val="17"/>
                <w:szCs w:val="17"/>
              </w:rPr>
              <w:t xml:space="preserve">Acad Med.</w:t>
            </w:r>
            <w:r>
              <w:rPr>
                <w:sz w:val="17"/>
                <w:szCs w:val="17"/>
              </w:rPr>
              <w:t xml:space="preserve"> 2012</w:t>
            </w:r>
          </w:p>
        </w:tc>
        <w:tc>
          <w:tcPr>
            <w:tcW w:w="1248" w:type="dxa"/>
          </w:tcPr>
          <w:p>
            <w:pPr>
              <w:spacing w:before="20" w:after="20" w:line="240" w:lineRule="auto"/>
            </w:pPr>
            <w:hyperlink r:id="rId1015">
              <w:r>
                <w:rPr>
                  <w:rStyle w:val="Hyperlink"/>
                  <w:sz w:val="17"/>
                  <w:szCs w:val="17"/>
                </w:rPr>
                <w:t xml:space="preserve">doi:10.1097/ACM.0b013e3182677805</w:t>
              </w:r>
            </w:hyperlink>
          </w:p>
        </w:tc>
        <w:tc>
          <w:tcPr>
            <w:tcW w:w="4320" w:type="dxa"/>
          </w:tcPr>
          <w:p>
            <w:pPr>
              <w:spacing w:before="20" w:after="20" w:line="240" w:lineRule="auto"/>
            </w:pPr>
            <w:r>
              <w:rPr>
                <w:sz w:val="17"/>
                <w:szCs w:val="17"/>
              </w:rPr>
              <w:t xml:space="preserve">The original entrustment/supervision rating scale ("how much guidance did the trainee need?") that underpins entrustment-based WBA and the OCA/IOCA logic</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Hung, Jibson, Sadhu, Stewart, Walker, Wichser, Young. Wresting with implementation: a step-by-step guide to implementing EPAs in psychiatry residency programs. </w:t>
            </w:r>
            <w:r>
              <w:rPr>
                <w:i/>
                <w:sz w:val="17"/>
                <w:szCs w:val="17"/>
              </w:rPr>
              <w:t xml:space="preserve">Acad Psychiatry.</w:t>
            </w:r>
            <w:r>
              <w:rPr>
                <w:sz w:val="17"/>
                <w:szCs w:val="17"/>
              </w:rPr>
              <w:t xml:space="preserve"> 2021;45(2):210–216</w:t>
            </w:r>
          </w:p>
        </w:tc>
        <w:tc>
          <w:tcPr>
            <w:tcW w:w="1248" w:type="dxa"/>
          </w:tcPr>
          <w:p>
            <w:pPr>
              <w:spacing w:before="20" w:after="20" w:line="240" w:lineRule="auto"/>
            </w:pPr>
            <w:hyperlink r:id="rId1016">
              <w:r>
                <w:rPr>
                  <w:rStyle w:val="Hyperlink"/>
                  <w:sz w:val="17"/>
                  <w:szCs w:val="17"/>
                </w:rPr>
                <w:t xml:space="preserve">doi:10.1007/s40596-020-01341-7</w:t>
              </w:r>
            </w:hyperlink>
          </w:p>
        </w:tc>
        <w:tc>
          <w:tcPr>
            <w:tcW w:w="4320" w:type="dxa"/>
          </w:tcPr>
          <w:p>
            <w:pPr>
              <w:spacing w:before="20" w:after="20" w:line="240" w:lineRule="auto"/>
            </w:pPr>
            <w:r>
              <w:rPr>
                <w:sz w:val="17"/>
                <w:szCs w:val="17"/>
              </w:rPr>
              <w:t xml:space="preserve">The practical, </w:t>
            </w:r>
            <w:r>
              <w:rPr>
                <w:b/>
                <w:sz w:val="17"/>
                <w:szCs w:val="17"/>
              </w:rPr>
              <w:t xml:space="preserve">psychiatry-specific</w:t>
            </w:r>
            <w:r>
              <w:rPr>
                <w:sz w:val="17"/>
                <w:szCs w:val="17"/>
              </w:rPr>
              <w:t xml:space="preserve"> "how to implement EPAs" guide (the AADPRT 11-step toolkit): adopt/adapt the 13 end-of-training psychiatry EPAs (Young et al. 2018), choose an entrustment scale, build a multi-tool/multi-assessor assessment strategy, invest in faculty development, and link EPAs to milestones and the competence committee. The most directly applicable reference for the RANZCP EPA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3. Curriculum Design</w:t>
      </w:r>
    </w:p>
    <w:p>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 xml:space="preserve">strategic</w:t>
      </w:r>
      <w:r>
        <w:t xml:space="preserve"> choices. Together they supply the discipline to reduce the syllabus duplication the AMC flagged while keeping outcomes, teaching and the new portfolio assessment coherent.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Thomas, Kern, Hughes, Tackett, Chen (eds). </w:t>
            </w:r>
            <w:r>
              <w:rPr>
                <w:i/>
                <w:sz w:val="17"/>
                <w:szCs w:val="17"/>
              </w:rPr>
              <w:t xml:space="preserve">Curriculum Development for Medical Education: A Six-Step Approach.</w:t>
            </w:r>
            <w:r>
              <w:rPr>
                <w:sz w:val="17"/>
                <w:szCs w:val="17"/>
              </w:rPr>
              <w:t xml:space="preserve"> 4th ed; 2022</w:t>
            </w:r>
          </w:p>
        </w:tc>
        <w:tc>
          <w:tcPr>
            <w:tcW w:w="1248" w:type="dxa"/>
          </w:tcPr>
          <w:p>
            <w:pPr>
              <w:spacing w:before="20" w:after="20" w:line="240" w:lineRule="auto"/>
            </w:pPr>
            <w:r>
              <w:rPr>
                <w:sz w:val="17"/>
                <w:szCs w:val="17"/>
              </w:rPr>
              <w:t xml:space="preserve">ISBN 9781421444093</w:t>
            </w:r>
          </w:p>
        </w:tc>
        <w:tc>
          <w:tcPr>
            <w:tcW w:w="4320" w:type="dxa"/>
          </w:tcPr>
          <w:p>
            <w:pPr>
              <w:spacing w:before="20" w:after="20" w:line="240" w:lineRule="auto"/>
            </w:pPr>
            <w:r>
              <w:rPr>
                <w:sz w:val="17"/>
                <w:szCs w:val="17"/>
              </w:rPr>
              <w:t xml:space="preserve">The standard operational playbook — problem identification → targeted needs assessment → goals/objectives → educational strategies → implementation → evaluation; the scaffolding for the whole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&amp; Tang. </w:t>
            </w:r>
            <w:r>
              <w:rPr>
                <w:i/>
                <w:sz w:val="17"/>
                <w:szCs w:val="17"/>
              </w:rPr>
              <w:t xml:space="preserve">Teaching for Quality Learning at University.</w:t>
            </w:r>
            <w:r>
              <w:rPr>
                <w:sz w:val="17"/>
                <w:szCs w:val="17"/>
              </w:rPr>
              <w:t xml:space="preserve"> 5th ed; 2022</w:t>
            </w:r>
          </w:p>
        </w:tc>
        <w:tc>
          <w:tcPr>
            <w:tcW w:w="1248" w:type="dxa"/>
          </w:tcPr>
          <w:p>
            <w:pPr>
              <w:spacing w:before="20" w:after="20" w:line="240" w:lineRule="auto"/>
            </w:pPr>
            <w:r>
              <w:rPr>
                <w:sz w:val="17"/>
                <w:szCs w:val="17"/>
              </w:rPr>
              <w:t xml:space="preserve">ISBN 9780335250820</w:t>
            </w:r>
          </w:p>
        </w:tc>
        <w:tc>
          <w:tcPr>
            <w:tcW w:w="4320" w:type="dxa"/>
          </w:tcPr>
          <w:p>
            <w:pPr>
              <w:spacing w:before="20" w:after="20" w:line="240" w:lineRule="auto"/>
            </w:pPr>
            <w:r>
              <w:rPr>
                <w:sz w:val="17"/>
                <w:szCs w:val="17"/>
              </w:rPr>
              <w:t xml:space="preserve">Constructive alignment: intended outcomes, teaching/learning activities and assessment must all line up — the operational backbone of coherent course 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Enhancing teaching through constructive alignment. </w:t>
            </w:r>
            <w:r>
              <w:rPr>
                <w:i/>
                <w:sz w:val="17"/>
                <w:szCs w:val="17"/>
              </w:rPr>
              <w:t xml:space="preserve">Higher Educ.</w:t>
            </w:r>
            <w:r>
              <w:rPr>
                <w:sz w:val="17"/>
                <w:szCs w:val="17"/>
              </w:rPr>
              <w:t xml:space="preserve"> 1996</w:t>
            </w:r>
          </w:p>
        </w:tc>
        <w:tc>
          <w:tcPr>
            <w:tcW w:w="1248" w:type="dxa"/>
          </w:tcPr>
          <w:p>
            <w:pPr>
              <w:spacing w:before="20" w:after="20" w:line="240" w:lineRule="auto"/>
            </w:pPr>
            <w:hyperlink r:id="rId1017">
              <w:r>
                <w:rPr>
                  <w:rStyle w:val="Hyperlink"/>
                  <w:sz w:val="17"/>
                  <w:szCs w:val="17"/>
                </w:rPr>
                <w:t xml:space="preserve">doi:10.1007/BF00138871</w:t>
              </w:r>
            </w:hyperlink>
          </w:p>
        </w:tc>
        <w:tc>
          <w:tcPr>
            <w:tcW w:w="4320" w:type="dxa"/>
          </w:tcPr>
          <w:p>
            <w:pPr>
              <w:spacing w:before="20" w:after="20" w:line="240" w:lineRule="auto"/>
            </w:pPr>
            <w:r>
              <w:rPr>
                <w:sz w:val="17"/>
                <w:szCs w:val="17"/>
              </w:rPr>
              <w:t xml:space="preserve">The original journal statement of constructive alignment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RM, Laidlaw JM. Essential skills for a medical teacher: an introduction to teaching and learning in medicine. 3rd ed. Elsevier; 2021.</w:t>
            </w:r>
          </w:p>
        </w:tc>
        <w:tc>
          <w:tcPr>
            <w:tcW w:w="1248" w:type="dxa"/>
          </w:tcPr>
          <w:p>
            <w:pPr>
              <w:spacing w:before="20" w:after="20" w:line="240" w:lineRule="auto"/>
            </w:pPr>
            <w:hyperlink r:id="rId1018">
              <w:r>
                <w:rPr>
                  <w:rStyle w:val="Hyperlink"/>
                  <w:sz w:val="17"/>
                  <w:szCs w:val="17"/>
                </w:rPr>
                <w:t xml:space="preserve">doi:10.1111/j.1365-2923.1984.tb01024.x</w:t>
              </w:r>
            </w:hyperlink>
          </w:p>
        </w:tc>
        <w:tc>
          <w:tcPr>
            <w:tcW w:w="4320" w:type="dxa"/>
          </w:tcPr>
          <w:p>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 xml:space="preserve">strategic</w:t>
            </w:r>
            <w:r>
              <w:rPr>
                <w:sz w:val="17"/>
                <w:szCs w:val="17"/>
              </w:rPr>
              <w:t xml:space="preserve"> shape of a curriculum — e.g. how integrated and recovery/community-oriented the psychiatry program should be</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4. Pedagogy</w:t>
      </w:r>
    </w:p>
    <w:p>
      <w:r>
        <w:t xml:space="preserve">This is where the redesign should be boldest and most evidence-led — caution against leaning too much on andragogy (adult learning theory). Norman's "mythical species" is the citable basis for </w:t>
      </w:r>
      <w:r>
        <w:rPr>
          <w:i/>
        </w:rPr>
        <w:t xml:space="preserve">not</w:t>
      </w:r>
      <w:r>
        <w:t xml:space="preserve"> making adult-learning theory load-bearing: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Norman. The adult learner: a mythical species. </w:t>
            </w:r>
            <w:r>
              <w:rPr>
                <w:i/>
                <w:sz w:val="17"/>
                <w:szCs w:val="17"/>
              </w:rPr>
              <w:t xml:space="preserve">Acad Med.</w:t>
            </w:r>
            <w:r>
              <w:rPr>
                <w:sz w:val="17"/>
                <w:szCs w:val="17"/>
              </w:rPr>
              <w:t xml:space="preserve"> 1999</w:t>
            </w:r>
          </w:p>
        </w:tc>
        <w:tc>
          <w:tcPr>
            <w:tcW w:w="1248" w:type="dxa"/>
          </w:tcPr>
          <w:p>
            <w:pPr>
              <w:spacing w:before="20" w:after="20" w:line="240" w:lineRule="auto"/>
            </w:pPr>
            <w:hyperlink r:id="rId1019">
              <w:r>
                <w:rPr>
                  <w:rStyle w:val="Hyperlink"/>
                  <w:sz w:val="17"/>
                  <w:szCs w:val="17"/>
                </w:rPr>
                <w:t xml:space="preserve">doi:10.1097/00001888-199908000-00011</w:t>
              </w:r>
            </w:hyperlink>
          </w:p>
        </w:tc>
        <w:tc>
          <w:tcPr>
            <w:tcW w:w="4320" w:type="dxa"/>
          </w:tcPr>
          <w:p>
            <w:pPr>
              <w:spacing w:before="20" w:after="20" w:line="240" w:lineRule="auto"/>
            </w:pPr>
            <w:r>
              <w:rPr>
                <w:sz w:val="17"/>
                <w:szCs w:val="17"/>
              </w:rPr>
              <w:t xml:space="preserve">The supposed special traits of "adult learners" are not empirically distinct from how anyone learns — so don't make andragogy load-bearing or use it to justify under-structuring.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&amp; Deci. Self-determination theory… </w:t>
            </w:r>
            <w:r>
              <w:rPr>
                <w:i/>
                <w:sz w:val="17"/>
                <w:szCs w:val="17"/>
              </w:rPr>
              <w:t xml:space="preserve">Am Psychol.</w:t>
            </w:r>
            <w:r>
              <w:rPr>
                <w:sz w:val="17"/>
                <w:szCs w:val="17"/>
              </w:rPr>
              <w:t xml:space="preserve"> 2000 (and Deci &amp; Ryan, 1985)</w:t>
            </w:r>
          </w:p>
        </w:tc>
        <w:tc>
          <w:tcPr>
            <w:tcW w:w="1248" w:type="dxa"/>
          </w:tcPr>
          <w:p>
            <w:pPr>
              <w:spacing w:before="20" w:after="20" w:line="240" w:lineRule="auto"/>
            </w:pPr>
            <w:hyperlink r:id="rId1020">
              <w:r>
                <w:rPr>
                  <w:rStyle w:val="Hyperlink"/>
                  <w:sz w:val="17"/>
                  <w:szCs w:val="17"/>
                </w:rPr>
                <w:t xml:space="preserve">doi:10.1037/0003-066X.55.1.68</w:t>
              </w:r>
            </w:hyperlink>
          </w:p>
        </w:tc>
        <w:tc>
          <w:tcPr>
            <w:tcW w:w="4320" w:type="dxa"/>
          </w:tcPr>
          <w:p>
            <w:pPr>
              <w:spacing w:before="20" w:after="20" w:line="240" w:lineRule="auto"/>
            </w:pPr>
            <w:r>
              <w:rPr>
                <w:sz w:val="17"/>
                <w:szCs w:val="17"/>
              </w:rPr>
              <w:t xml:space="preserve">Motivation rests on three needs — autonomy, competence, relatedness; the robust, evidence-based replacement for andragogy's motivational claims.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Kusurkar, Williams. SDT in medical education: AMEE Guide No. 59. </w:t>
            </w:r>
            <w:r>
              <w:rPr>
                <w:i/>
                <w:sz w:val="17"/>
                <w:szCs w:val="17"/>
              </w:rPr>
              <w:t xml:space="preserve">Med Teach.</w:t>
            </w:r>
            <w:r>
              <w:rPr>
                <w:sz w:val="17"/>
                <w:szCs w:val="17"/>
              </w:rPr>
              <w:t xml:space="preserve"> 2011</w:t>
            </w:r>
          </w:p>
        </w:tc>
        <w:tc>
          <w:tcPr>
            <w:tcW w:w="1248" w:type="dxa"/>
          </w:tcPr>
          <w:p>
            <w:pPr>
              <w:spacing w:before="20" w:after="20" w:line="240" w:lineRule="auto"/>
            </w:pPr>
            <w:hyperlink r:id="rId1021">
              <w:r>
                <w:rPr>
                  <w:rStyle w:val="Hyperlink"/>
                  <w:sz w:val="17"/>
                  <w:szCs w:val="17"/>
                </w:rPr>
                <w:t xml:space="preserve">doi:10.3109/0142159X.2011.595435</w:t>
              </w:r>
            </w:hyperlink>
          </w:p>
        </w:tc>
        <w:tc>
          <w:tcPr>
            <w:tcW w:w="4320" w:type="dxa"/>
          </w:tcPr>
          <w:p>
            <w:pPr>
              <w:spacing w:before="20" w:after="20" w:line="240" w:lineRule="auto"/>
            </w:pPr>
            <w:r>
              <w:rPr>
                <w:sz w:val="17"/>
                <w:szCs w:val="17"/>
              </w:rPr>
              <w:t xml:space="preserve">Applies SDT to medical training and explains </w:t>
            </w:r>
            <w:r>
              <w:rPr>
                <w:i/>
                <w:sz w:val="17"/>
                <w:szCs w:val="17"/>
              </w:rPr>
              <w:t xml:space="preserve">when</w:t>
            </w:r>
            <w:r>
              <w:rPr>
                <w:sz w:val="17"/>
                <w:szCs w:val="17"/>
              </w:rPr>
              <w:t xml:space="preserve"> autonomy actually helps (once competence and relatedness are in place).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Sweller. Cognitive load during problem solving. </w:t>
            </w:r>
            <w:r>
              <w:rPr>
                <w:i/>
                <w:sz w:val="17"/>
                <w:szCs w:val="17"/>
              </w:rPr>
              <w:t xml:space="preserve">Cognitive Science.</w:t>
            </w:r>
            <w:r>
              <w:rPr>
                <w:sz w:val="17"/>
                <w:szCs w:val="17"/>
              </w:rPr>
              <w:t xml:space="preserve"> 1988</w:t>
            </w:r>
          </w:p>
        </w:tc>
        <w:tc>
          <w:tcPr>
            <w:tcW w:w="1248" w:type="dxa"/>
          </w:tcPr>
          <w:p>
            <w:pPr>
              <w:spacing w:before="20" w:after="20" w:line="240" w:lineRule="auto"/>
            </w:pPr>
            <w:hyperlink r:id="rId1022">
              <w:r>
                <w:rPr>
                  <w:rStyle w:val="Hyperlink"/>
                  <w:sz w:val="17"/>
                  <w:szCs w:val="17"/>
                </w:rPr>
                <w:t xml:space="preserve">doi:10.1207/s15516709cog1202_4</w:t>
              </w:r>
            </w:hyperlink>
          </w:p>
        </w:tc>
        <w:tc>
          <w:tcPr>
            <w:tcW w:w="4320" w:type="dxa"/>
          </w:tcPr>
          <w:p>
            <w:pPr>
              <w:spacing w:before="20" w:after="20" w:line="240" w:lineRule="auto"/>
            </w:pPr>
            <w:r>
              <w:rPr>
                <w:sz w:val="17"/>
                <w:szCs w:val="17"/>
              </w:rPr>
              <w:t xml:space="preserve">Cognitive load theory: working memory is limited, so instruction must manage intrinsic and extraneous load — the science behind sequencing complex skills like formulation.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Dunlosky et al. Improving students' learning with effective learning techniques. </w:t>
            </w:r>
            <w:r>
              <w:rPr>
                <w:i/>
                <w:sz w:val="17"/>
                <w:szCs w:val="17"/>
              </w:rPr>
              <w:t xml:space="preserve">Psychol Sci Public Interest.</w:t>
            </w:r>
            <w:r>
              <w:rPr>
                <w:sz w:val="17"/>
                <w:szCs w:val="17"/>
              </w:rPr>
              <w:t xml:space="preserve"> 2013</w:t>
            </w:r>
          </w:p>
        </w:tc>
        <w:tc>
          <w:tcPr>
            <w:tcW w:w="1248" w:type="dxa"/>
          </w:tcPr>
          <w:p>
            <w:pPr>
              <w:spacing w:before="20" w:after="20" w:line="240" w:lineRule="auto"/>
            </w:pPr>
            <w:hyperlink r:id="rId1023">
              <w:r>
                <w:rPr>
                  <w:rStyle w:val="Hyperlink"/>
                  <w:sz w:val="17"/>
                  <w:szCs w:val="17"/>
                </w:rPr>
                <w:t xml:space="preserve">doi:10.1177/1529100612453266</w:t>
              </w:r>
            </w:hyperlink>
          </w:p>
        </w:tc>
        <w:tc>
          <w:tcPr>
            <w:tcW w:w="4320" w:type="dxa"/>
          </w:tcPr>
          <w:p>
            <w:pPr>
              <w:spacing w:before="20" w:after="20" w:line="240" w:lineRule="auto"/>
            </w:pPr>
            <w:r>
              <w:rPr>
                <w:sz w:val="17"/>
                <w:szCs w:val="17"/>
              </w:rPr>
              <w:t xml:space="preserve">Ranks study techniques by evidence: retrieval practice and distributed (spaced) practice are high-utility and chronically under-used in postgraduate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Brown, Roediger, McDaniel. </w:t>
            </w:r>
            <w:r>
              <w:rPr>
                <w:i/>
                <w:sz w:val="17"/>
                <w:szCs w:val="17"/>
              </w:rPr>
              <w:t xml:space="preserve">Make It Stick: The Science of Successful Learning.</w:t>
            </w:r>
            <w:r>
              <w:rPr>
                <w:sz w:val="17"/>
                <w:szCs w:val="17"/>
              </w:rPr>
              <w:t xml:space="preserve"> Harvard UP; 2014</w:t>
            </w:r>
          </w:p>
        </w:tc>
        <w:tc>
          <w:tcPr>
            <w:tcW w:w="1248" w:type="dxa"/>
          </w:tcPr>
          <w:p>
            <w:pPr>
              <w:spacing w:before="20" w:after="20" w:line="240" w:lineRule="auto"/>
            </w:pPr>
            <w:r>
              <w:rPr>
                <w:sz w:val="17"/>
                <w:szCs w:val="17"/>
              </w:rPr>
              <w:t xml:space="preserve">ISBN 978-0674729018</w:t>
            </w:r>
          </w:p>
        </w:tc>
        <w:tc>
          <w:tcPr>
            <w:tcW w:w="4320" w:type="dxa"/>
          </w:tcPr>
          <w:p>
            <w:pPr>
              <w:spacing w:before="20" w:after="20" w:line="240" w:lineRule="auto"/>
            </w:pPr>
            <w:r>
              <w:rPr>
                <w:sz w:val="17"/>
                <w:szCs w:val="17"/>
              </w:rPr>
              <w:t xml:space="preserve">The accessible, evidence-based translation of the cognitive science of learning — retrieval, spacing, interleaving and "desirable difficulties" — for educators and trainees.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Freeman et al. Active learning increases student performance… </w:t>
            </w:r>
            <w:r>
              <w:rPr>
                <w:i/>
                <w:sz w:val="17"/>
                <w:szCs w:val="17"/>
              </w:rPr>
              <w:t xml:space="preserve">PNAS.</w:t>
            </w:r>
            <w:r>
              <w:rPr>
                <w:sz w:val="17"/>
                <w:szCs w:val="17"/>
              </w:rPr>
              <w:t xml:space="preserve"> 2014</w:t>
            </w:r>
          </w:p>
        </w:tc>
        <w:tc>
          <w:tcPr>
            <w:tcW w:w="1248" w:type="dxa"/>
          </w:tcPr>
          <w:p>
            <w:pPr>
              <w:spacing w:before="20" w:after="20" w:line="240" w:lineRule="auto"/>
            </w:pPr>
            <w:hyperlink r:id="rId1024">
              <w:r>
                <w:rPr>
                  <w:rStyle w:val="Hyperlink"/>
                  <w:sz w:val="17"/>
                  <w:szCs w:val="17"/>
                </w:rPr>
                <w:t xml:space="preserve">doi:10.1073/pnas.1319030111</w:t>
              </w:r>
            </w:hyperlink>
          </w:p>
        </w:tc>
        <w:tc>
          <w:tcPr>
            <w:tcW w:w="4320" w:type="dxa"/>
          </w:tcPr>
          <w:p>
            <w:pPr>
              <w:spacing w:before="20" w:after="20" w:line="240" w:lineRule="auto"/>
            </w:pPr>
            <w:r>
              <w:rPr>
                <w:sz w:val="17"/>
                <w:szCs w:val="17"/>
              </w:rPr>
              <w:t xml:space="preserve">Meta-analysis of 225 studies: active learning raises performance and lowers failure versus didactic lecture.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Ericsson. Deliberate practice and expert performance in medicine. </w:t>
            </w:r>
            <w:r>
              <w:rPr>
                <w:i/>
                <w:sz w:val="17"/>
                <w:szCs w:val="17"/>
              </w:rPr>
              <w:t xml:space="preserve">Acad Emerg Med.</w:t>
            </w:r>
            <w:r>
              <w:rPr>
                <w:sz w:val="17"/>
                <w:szCs w:val="17"/>
              </w:rPr>
              <w:t xml:space="preserve"> 2008; 15:988–994</w:t>
            </w:r>
          </w:p>
        </w:tc>
        <w:tc>
          <w:tcPr>
            <w:tcW w:w="1248" w:type="dxa"/>
          </w:tcPr>
          <w:p>
            <w:pPr>
              <w:spacing w:before="20" w:after="20" w:line="240" w:lineRule="auto"/>
            </w:pPr>
            <w:hyperlink r:id="rId1025">
              <w:r>
                <w:rPr>
                  <w:rStyle w:val="Hyperlink"/>
                  <w:sz w:val="17"/>
                  <w:szCs w:val="17"/>
                </w:rPr>
                <w:t xml:space="preserve">onlinelibrary.wiley.com/doi/abs/10.1111/j.1553-2712.2008.00227.x</w:t>
              </w:r>
            </w:hyperlink>
          </w:p>
        </w:tc>
        <w:tc>
          <w:tcPr>
            <w:tcW w:w="4320" w:type="dxa"/>
          </w:tcPr>
          <w:p>
            <w:pPr>
              <w:spacing w:before="20" w:after="20" w:line="240" w:lineRule="auto"/>
            </w:pPr>
            <w:r>
              <w:rPr>
                <w:sz w:val="17"/>
                <w:szCs w:val="17"/>
              </w:rPr>
              <w:t xml:space="preserve">Expertise comes from deliberate practice — structured, progressively harder tasks with immediate feedback — directly applicable to interviewing, formulation and psychotherapy.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McGaghie et al. SBME with deliberate practice vs traditional clinical education: meta-analysis. </w:t>
            </w:r>
            <w:r>
              <w:rPr>
                <w:i/>
                <w:sz w:val="17"/>
                <w:szCs w:val="17"/>
              </w:rPr>
              <w:t xml:space="preserve">Acad Med.</w:t>
            </w:r>
            <w:r>
              <w:rPr>
                <w:sz w:val="17"/>
                <w:szCs w:val="17"/>
              </w:rPr>
              <w:t xml:space="preserve"> 2011</w:t>
            </w:r>
          </w:p>
        </w:tc>
        <w:tc>
          <w:tcPr>
            <w:tcW w:w="1248" w:type="dxa"/>
          </w:tcPr>
          <w:p>
            <w:pPr>
              <w:spacing w:before="20" w:after="20" w:line="240" w:lineRule="auto"/>
            </w:pPr>
            <w:hyperlink r:id="rId1026">
              <w:r>
                <w:rPr>
                  <w:rStyle w:val="Hyperlink"/>
                  <w:sz w:val="17"/>
                  <w:szCs w:val="17"/>
                </w:rPr>
                <w:t xml:space="preserve">doi:10.1097/ACM.0b013e318217e119</w:t>
              </w:r>
            </w:hyperlink>
          </w:p>
        </w:tc>
        <w:tc>
          <w:tcPr>
            <w:tcW w:w="4320" w:type="dxa"/>
          </w:tcPr>
          <w:p>
            <w:pPr>
              <w:spacing w:before="20" w:after="20" w:line="240" w:lineRule="auto"/>
            </w:pPr>
            <w:r>
              <w:rPr>
                <w:sz w:val="17"/>
                <w:szCs w:val="17"/>
              </w:rPr>
              <w:t xml:space="preserve">Meta-analytic evidence that simulation-based education with deliberate practice outperforms traditional clinical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Lave &amp; Wenger. </w:t>
            </w:r>
            <w:r>
              <w:rPr>
                <w:i/>
                <w:sz w:val="17"/>
                <w:szCs w:val="17"/>
              </w:rPr>
              <w:t xml:space="preserve">Situated Learning: Legitimate Peripheral Participation.</w:t>
            </w:r>
            <w:r>
              <w:rPr>
                <w:sz w:val="17"/>
                <w:szCs w:val="17"/>
              </w:rPr>
              <w:t xml:space="preserve"> CUP; 1991</w:t>
            </w:r>
          </w:p>
        </w:tc>
        <w:tc>
          <w:tcPr>
            <w:tcW w:w="1248" w:type="dxa"/>
          </w:tcPr>
          <w:p>
            <w:pPr>
              <w:spacing w:before="20" w:after="20" w:line="240" w:lineRule="auto"/>
            </w:pPr>
            <w:r>
              <w:rPr>
                <w:sz w:val="17"/>
                <w:szCs w:val="17"/>
              </w:rPr>
              <w:t xml:space="preserve">ISBN 978-0521423748</w:t>
            </w:r>
          </w:p>
        </w:tc>
        <w:tc>
          <w:tcPr>
            <w:tcW w:w="4320" w:type="dxa"/>
          </w:tcPr>
          <w:p>
            <w:pPr>
              <w:spacing w:before="20" w:after="20" w:line="240" w:lineRule="auto"/>
            </w:pPr>
            <w:r>
              <w:rPr>
                <w:sz w:val="17"/>
                <w:szCs w:val="17"/>
              </w:rPr>
              <w:t xml:space="preserve">How professional identity and tacit knowledge are acquired through participation in clinical teams ("communities of practice") — especially apt for psychiatry.</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5. Assessment</w:t>
      </w:r>
    </w:p>
    <w:p>
      <w:r>
        <w:t xml:space="preserve">The most consequential — and most contested — domain. The College has previously retired the OSCE in lieu of a programmatic, portfolio-based competency review. The references here justify that direction (programmatic assessment; the OSCE critique) </w:t>
      </w:r>
      <w:r>
        <w:rPr>
          <w:i/>
        </w:rPr>
        <w:t xml:space="preserve">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van der Vleuten &amp; Schuwirth. Assessing professional competence: from methods to programmes. </w:t>
            </w:r>
            <w:r>
              <w:rPr>
                <w:i/>
                <w:sz w:val="17"/>
                <w:szCs w:val="17"/>
              </w:rPr>
              <w:t xml:space="preserve">Med Educ.</w:t>
            </w:r>
            <w:r>
              <w:rPr>
                <w:sz w:val="17"/>
                <w:szCs w:val="17"/>
              </w:rPr>
              <w:t xml:space="preserve"> 2005</w:t>
            </w:r>
          </w:p>
        </w:tc>
        <w:tc>
          <w:tcPr>
            <w:tcW w:w="1248" w:type="dxa"/>
          </w:tcPr>
          <w:p>
            <w:pPr>
              <w:spacing w:before="20" w:after="20" w:line="240" w:lineRule="auto"/>
            </w:pPr>
            <w:hyperlink r:id="rId1027">
              <w:r>
                <w:rPr>
                  <w:rStyle w:val="Hyperlink"/>
                  <w:sz w:val="17"/>
                  <w:szCs w:val="17"/>
                </w:rPr>
                <w:t xml:space="preserve">doi:10.1111/j.1365-2929.2005.02094.x</w:t>
              </w:r>
            </w:hyperlink>
          </w:p>
        </w:tc>
        <w:tc>
          <w:tcPr>
            <w:tcW w:w="4320" w:type="dxa"/>
          </w:tcPr>
          <w:p>
            <w:pPr>
              <w:spacing w:before="20" w:after="20" w:line="240" w:lineRule="auto"/>
            </w:pPr>
            <w:r>
              <w:rPr>
                <w:sz w:val="17"/>
                <w:szCs w:val="17"/>
              </w:rPr>
              <w:t xml:space="preserve">Programmatic assessment: no single instrument is adequate; competence is inferred from many low- and high-stakes data points combined by expert judgement — the conceptual basis of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Caretta-Weyer et al. The next era of assessment: Building a trustworthy assessment system.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28">
              <w:r>
                <w:rPr>
                  <w:rStyle w:val="Hyperlink"/>
                  <w:sz w:val="17"/>
                  <w:szCs w:val="17"/>
                </w:rPr>
                <w:t xml:space="preserve">doi:10.5334/pme.1110</w:t>
              </w:r>
            </w:hyperlink>
            <w:r>
              <w:rPr>
                <w:sz w:val="17"/>
                <w:szCs w:val="17"/>
              </w:rPr>
              <w:t xml:space="preserve"> </w:t>
            </w:r>
            <w:r>
              <w:rPr>
                <w:i/>
                <w:sz w:val="17"/>
                <w:szCs w:val="17"/>
              </w:rPr>
              <w:t xml:space="preserve">(confirm authors)</w:t>
            </w:r>
          </w:p>
        </w:tc>
        <w:tc>
          <w:tcPr>
            <w:tcW w:w="4320" w:type="dxa"/>
          </w:tcPr>
          <w:p>
            <w:pPr>
              <w:spacing w:before="20" w:after="20" w:line="240" w:lineRule="auto"/>
            </w:pPr>
            <w:r>
              <w:rPr>
                <w:sz w:val="17"/>
                <w:szCs w:val="17"/>
              </w:rPr>
              <w:t xml:space="preserve">The current synthesis — move from defensible single instruments to a longitudinal, multi-datapoint "trustworthy" assessment system.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Miller. The assessment of clinical skills/competence/performance. </w:t>
            </w:r>
            <w:r>
              <w:rPr>
                <w:i/>
                <w:sz w:val="17"/>
                <w:szCs w:val="17"/>
              </w:rPr>
              <w:t xml:space="preserve">Acad Med.</w:t>
            </w:r>
            <w:r>
              <w:rPr>
                <w:sz w:val="17"/>
                <w:szCs w:val="17"/>
              </w:rPr>
              <w:t xml:space="preserve"> 1990</w:t>
            </w:r>
          </w:p>
        </w:tc>
        <w:tc>
          <w:tcPr>
            <w:tcW w:w="1248" w:type="dxa"/>
          </w:tcPr>
          <w:p>
            <w:pPr>
              <w:spacing w:before="20" w:after="20" w:line="240" w:lineRule="auto"/>
            </w:pPr>
            <w:hyperlink r:id="rId1029">
              <w:r>
                <w:rPr>
                  <w:rStyle w:val="Hyperlink"/>
                  <w:sz w:val="17"/>
                  <w:szCs w:val="17"/>
                </w:rPr>
                <w:t xml:space="preserve">doi:10.1097/00001888-199009000-00045</w:t>
              </w:r>
            </w:hyperlink>
          </w:p>
        </w:tc>
        <w:tc>
          <w:tcPr>
            <w:tcW w:w="4320" w:type="dxa"/>
          </w:tcPr>
          <w:p>
            <w:pPr>
              <w:spacing w:before="20" w:after="20" w:line="240" w:lineRule="auto"/>
            </w:pPr>
            <w:r>
              <w:rPr>
                <w:sz w:val="17"/>
                <w:szCs w:val="17"/>
              </w:rPr>
              <w:t xml:space="preserve">Miller's pyramid (knows → knows how → shows how → does) aligns each method to the level of competence it can credibly reach; psychiatric competence lives at "does".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Kane. Validating the interpretations and uses of test scores. </w:t>
            </w:r>
            <w:r>
              <w:rPr>
                <w:i/>
                <w:sz w:val="17"/>
                <w:szCs w:val="17"/>
              </w:rPr>
              <w:t xml:space="preserve">J Educ Meas.</w:t>
            </w:r>
            <w:r>
              <w:rPr>
                <w:sz w:val="17"/>
                <w:szCs w:val="17"/>
              </w:rPr>
              <w:t xml:space="preserve"> 2013;50(1):1–73</w:t>
            </w:r>
          </w:p>
        </w:tc>
        <w:tc>
          <w:tcPr>
            <w:tcW w:w="1248" w:type="dxa"/>
          </w:tcPr>
          <w:p>
            <w:pPr>
              <w:spacing w:before="20" w:after="20" w:line="240" w:lineRule="auto"/>
            </w:pPr>
            <w:hyperlink r:id="rId1030">
              <w:r>
                <w:rPr>
                  <w:rStyle w:val="Hyperlink"/>
                  <w:sz w:val="17"/>
                  <w:szCs w:val="17"/>
                </w:rPr>
                <w:t xml:space="preserve">doi:10.1111/jedm.12000</w:t>
              </w:r>
            </w:hyperlink>
          </w:p>
        </w:tc>
        <w:tc>
          <w:tcPr>
            <w:tcW w:w="4320" w:type="dxa"/>
          </w:tcPr>
          <w:p>
            <w:pPr>
              <w:spacing w:before="20" w:after="20" w:line="240" w:lineRule="auto"/>
            </w:pPr>
            <w:r>
              <w:rPr>
                <w:sz w:val="17"/>
                <w:szCs w:val="17"/>
              </w:rPr>
              <w:t xml:space="preserve">The argument-based validity framework: validity is a property not of a test but of the </w:t>
            </w:r>
            <w:r>
              <w:rPr>
                <w:i/>
                <w:sz w:val="17"/>
                <w:szCs w:val="17"/>
              </w:rPr>
              <w:t xml:space="preserve">interpretation and use</w:t>
            </w:r>
            <w:r>
              <w:rPr>
                <w:sz w:val="17"/>
                <w:szCs w:val="17"/>
              </w:rPr>
              <w:t xml:space="preserve"> of its scores — build and evaluate a chain of inferences (scoring → generalisation → extrapolation → implications/decision). The standard for defending high-stakes decisions like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Brydges, Ginsburg, Hatala. A contemporary approach to validity arguments: a practical guide to Kane's framework. </w:t>
            </w:r>
            <w:r>
              <w:rPr>
                <w:i/>
                <w:sz w:val="17"/>
                <w:szCs w:val="17"/>
              </w:rPr>
              <w:t xml:space="preserve">Med Educ.</w:t>
            </w:r>
            <w:r>
              <w:rPr>
                <w:sz w:val="17"/>
                <w:szCs w:val="17"/>
              </w:rPr>
              <w:t xml:space="preserve"> 2015;49(6):560–575</w:t>
            </w:r>
          </w:p>
        </w:tc>
        <w:tc>
          <w:tcPr>
            <w:tcW w:w="1248" w:type="dxa"/>
          </w:tcPr>
          <w:p>
            <w:pPr>
              <w:spacing w:before="20" w:after="20" w:line="240" w:lineRule="auto"/>
            </w:pPr>
            <w:hyperlink r:id="rId1031">
              <w:r>
                <w:rPr>
                  <w:rStyle w:val="Hyperlink"/>
                  <w:sz w:val="17"/>
                  <w:szCs w:val="17"/>
                </w:rPr>
                <w:t xml:space="preserve">doi:10.1111/medu.12678</w:t>
              </w:r>
            </w:hyperlink>
          </w:p>
        </w:tc>
        <w:tc>
          <w:tcPr>
            <w:tcW w:w="4320" w:type="dxa"/>
          </w:tcPr>
          <w:p>
            <w:pPr>
              <w:spacing w:before="20" w:after="20" w:line="240" w:lineRule="auto"/>
            </w:pPr>
            <w:r>
              <w:rPr>
                <w:sz w:val="17"/>
                <w:szCs w:val="17"/>
              </w:rPr>
              <w:t xml:space="preserve">The medical-education "how-to" for applying Kane — the practical guide to assembling a validity argument for an assessment programme.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et al. OSCE checklists do not capture increasing levels of expertise. </w:t>
            </w:r>
            <w:r>
              <w:rPr>
                <w:i/>
                <w:sz w:val="17"/>
                <w:szCs w:val="17"/>
              </w:rPr>
              <w:t xml:space="preserve">Acad Med.</w:t>
            </w:r>
            <w:r>
              <w:rPr>
                <w:sz w:val="17"/>
                <w:szCs w:val="17"/>
              </w:rPr>
              <w:t xml:space="preserve"> 1999</w:t>
            </w:r>
          </w:p>
        </w:tc>
        <w:tc>
          <w:tcPr>
            <w:tcW w:w="1248" w:type="dxa"/>
          </w:tcPr>
          <w:p>
            <w:pPr>
              <w:spacing w:before="20" w:after="20" w:line="240" w:lineRule="auto"/>
            </w:pPr>
            <w:hyperlink r:id="rId1032">
              <w:r>
                <w:rPr>
                  <w:rStyle w:val="Hyperlink"/>
                  <w:sz w:val="17"/>
                  <w:szCs w:val="17"/>
                </w:rPr>
                <w:t xml:space="preserve">pubmed.ncbi.nlm.nih.gov/10536636/</w:t>
              </w:r>
            </w:hyperlink>
          </w:p>
        </w:tc>
        <w:tc>
          <w:tcPr>
            <w:tcW w:w="4320" w:type="dxa"/>
          </w:tcPr>
          <w:p>
            <w:pPr>
              <w:spacing w:before="20" w:after="20" w:line="240" w:lineRule="auto"/>
            </w:pPr>
            <w:r>
              <w:rPr>
                <w:sz w:val="17"/>
                <w:szCs w:val="17"/>
              </w:rPr>
              <w:t xml:space="preserve">On standardised-patient interviews, global ratings rose with expertise but checklist scores </w:t>
            </w:r>
            <w:r>
              <w:rPr>
                <w:i/>
                <w:sz w:val="17"/>
                <w:szCs w:val="17"/>
              </w:rPr>
              <w:t xml:space="preserve">fell</w:t>
            </w:r>
            <w:r>
              <w:rPr>
                <w:sz w:val="17"/>
                <w:szCs w:val="17"/>
              </w:rPr>
              <w:t xml:space="preserve"> — direct evidence that checklists can be construct-invalid for nuanced clinical skill.“On global scales, the experienced clinicians scored significantly better than did the residents and clerks, but on checklists, the experienced clinicians scored significantly worse than did the residents and clerks.”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Hodges. Validity and the OSCE. </w:t>
            </w:r>
            <w:r>
              <w:rPr>
                <w:i/>
                <w:sz w:val="17"/>
                <w:szCs w:val="17"/>
              </w:rPr>
              <w:t xml:space="preserve">Med Teach.</w:t>
            </w:r>
            <w:r>
              <w:rPr>
                <w:sz w:val="17"/>
                <w:szCs w:val="17"/>
              </w:rPr>
              <w:t xml:space="preserve"> 2003</w:t>
            </w:r>
          </w:p>
        </w:tc>
        <w:tc>
          <w:tcPr>
            <w:tcW w:w="1248" w:type="dxa"/>
          </w:tcPr>
          <w:p>
            <w:pPr>
              <w:spacing w:before="20" w:after="20" w:line="240" w:lineRule="auto"/>
            </w:pPr>
            <w:hyperlink r:id="rId1033">
              <w:r>
                <w:rPr>
                  <w:rStyle w:val="Hyperlink"/>
                  <w:sz w:val="17"/>
                  <w:szCs w:val="17"/>
                </w:rPr>
                <w:t xml:space="preserve">doi:10.1080/01421590310001002836</w:t>
              </w:r>
            </w:hyperlink>
          </w:p>
        </w:tc>
        <w:tc>
          <w:tcPr>
            <w:tcW w:w="4320" w:type="dxa"/>
          </w:tcPr>
          <w:p>
            <w:pPr>
              <w:spacing w:before="20" w:after="20" w:line="240" w:lineRule="auto"/>
            </w:pPr>
            <w:r>
              <w:rPr>
                <w:sz w:val="17"/>
                <w:szCs w:val="17"/>
              </w:rPr>
              <w:t xml:space="preserve">Argues the OSCE's celebrated objectivity was bought by fragmenting performance into discrete stations, which quietly changes what "competence" is taken to mean.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Assessment in the post-psychometric era… </w:t>
            </w:r>
            <w:r>
              <w:rPr>
                <w:i/>
                <w:sz w:val="17"/>
                <w:szCs w:val="17"/>
              </w:rPr>
              <w:t xml:space="preserve">Med Teach.</w:t>
            </w:r>
            <w:r>
              <w:rPr>
                <w:sz w:val="17"/>
                <w:szCs w:val="17"/>
              </w:rPr>
              <w:t xml:space="preserve"> 2013</w:t>
            </w:r>
          </w:p>
        </w:tc>
        <w:tc>
          <w:tcPr>
            <w:tcW w:w="1248" w:type="dxa"/>
          </w:tcPr>
          <w:p>
            <w:pPr>
              <w:spacing w:before="20" w:after="20" w:line="240" w:lineRule="auto"/>
            </w:pPr>
            <w:hyperlink r:id="rId1034">
              <w:r>
                <w:rPr>
                  <w:rStyle w:val="Hyperlink"/>
                  <w:sz w:val="17"/>
                  <w:szCs w:val="17"/>
                </w:rPr>
                <w:t xml:space="preserve">doi:10.3109/0142159X.2013.789134</w:t>
              </w:r>
            </w:hyperlink>
          </w:p>
        </w:tc>
        <w:tc>
          <w:tcPr>
            <w:tcW w:w="4320" w:type="dxa"/>
          </w:tcPr>
          <w:p>
            <w:pPr>
              <w:spacing w:before="20" w:after="20" w:line="240" w:lineRule="auto"/>
            </w:pPr>
            <w:r>
              <w:rPr>
                <w:sz w:val="17"/>
                <w:szCs w:val="17"/>
              </w:rPr>
              <w:t xml:space="preserve">The constructive turn — rehabilitate expert judgement and narrative rather than chase psychometric objectivity.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Yeates et al. A realist evaluation of OSCE authenticity. </w:t>
            </w:r>
            <w:r>
              <w:rPr>
                <w:i/>
                <w:sz w:val="17"/>
                <w:szCs w:val="17"/>
              </w:rPr>
              <w:t xml:space="preserve">Med Teach.</w:t>
            </w:r>
            <w:r>
              <w:rPr>
                <w:sz w:val="17"/>
                <w:szCs w:val="17"/>
              </w:rPr>
              <w:t xml:space="preserve"> 2025</w:t>
            </w:r>
          </w:p>
        </w:tc>
        <w:tc>
          <w:tcPr>
            <w:tcW w:w="1248" w:type="dxa"/>
          </w:tcPr>
          <w:p>
            <w:pPr>
              <w:spacing w:before="20" w:after="20" w:line="240" w:lineRule="auto"/>
            </w:pPr>
            <w:hyperlink r:id="rId1035">
              <w:r>
                <w:rPr>
                  <w:rStyle w:val="Hyperlink"/>
                  <w:sz w:val="17"/>
                  <w:szCs w:val="17"/>
                </w:rPr>
                <w:t xml:space="preserve">doi:10.1080/0142159X.2024.2339413</w:t>
              </w:r>
            </w:hyperlink>
          </w:p>
        </w:tc>
        <w:tc>
          <w:tcPr>
            <w:tcW w:w="4320" w:type="dxa"/>
          </w:tcPr>
          <w:p>
            <w:pPr>
              <w:spacing w:before="20" w:after="20" w:line="240" w:lineRule="auto"/>
            </w:pPr>
            <w:r>
              <w:rPr>
                <w:sz w:val="17"/>
                <w:szCs w:val="17"/>
              </w:rPr>
              <w:t xml:space="preserve">Realist evaluation: OSCE authenticity is conditional on design features (whole cases, time, autonomy, minimal interruption), not intrinsic to the format.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Hyde, Boursicot et al. OSCE rater cognition — multi-centre study. </w:t>
            </w:r>
            <w:r>
              <w:rPr>
                <w:i/>
                <w:sz w:val="17"/>
                <w:szCs w:val="17"/>
              </w:rPr>
              <w:t xml:space="preserve">BMC Med Educ.</w:t>
            </w:r>
            <w:r>
              <w:rPr>
                <w:sz w:val="17"/>
                <w:szCs w:val="17"/>
              </w:rPr>
              <w:t xml:space="preserve"> 2022</w:t>
            </w:r>
          </w:p>
        </w:tc>
        <w:tc>
          <w:tcPr>
            <w:tcW w:w="1248" w:type="dxa"/>
          </w:tcPr>
          <w:p>
            <w:pPr>
              <w:spacing w:before="20" w:after="20" w:line="240" w:lineRule="auto"/>
            </w:pPr>
            <w:hyperlink r:id="rId1036">
              <w:r>
                <w:rPr>
                  <w:rStyle w:val="Hyperlink"/>
                  <w:sz w:val="17"/>
                  <w:szCs w:val="17"/>
                </w:rPr>
                <w:t xml:space="preserve">doi:10.1186/s12909-021-03077-w</w:t>
              </w:r>
            </w:hyperlink>
          </w:p>
        </w:tc>
        <w:tc>
          <w:tcPr>
            <w:tcW w:w="4320" w:type="dxa"/>
          </w:tcPr>
          <w:p>
            <w:pPr>
              <w:spacing w:before="20" w:after="20" w:line="240" w:lineRule="auto"/>
            </w:pPr>
            <w:r>
              <w:rPr>
                <w:sz w:val="17"/>
                <w:szCs w:val="17"/>
              </w:rPr>
              <w:t xml:space="preserve">Multi-centre think-aloud study: examiners build idiosyncratic personal theories of performance, so the OSCE's "objectivity" is overstated.</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Boursicot et al. Performance assessment: 2020 Ottawa consensus. </w:t>
            </w:r>
            <w:r>
              <w:rPr>
                <w:i/>
                <w:sz w:val="17"/>
                <w:szCs w:val="17"/>
              </w:rPr>
              <w:t xml:space="preserve">Med Teach.</w:t>
            </w:r>
            <w:r>
              <w:rPr>
                <w:sz w:val="17"/>
                <w:szCs w:val="17"/>
              </w:rPr>
              <w:t xml:space="preserve"> 2021</w:t>
            </w:r>
          </w:p>
        </w:tc>
        <w:tc>
          <w:tcPr>
            <w:tcW w:w="1248" w:type="dxa"/>
          </w:tcPr>
          <w:p>
            <w:pPr>
              <w:spacing w:before="20" w:after="20" w:line="240" w:lineRule="auto"/>
            </w:pPr>
            <w:hyperlink r:id="rId1037">
              <w:r>
                <w:rPr>
                  <w:rStyle w:val="Hyperlink"/>
                  <w:sz w:val="17"/>
                  <w:szCs w:val="17"/>
                </w:rPr>
                <w:t xml:space="preserve">doi:10.1080/0142159X.2020.1830052</w:t>
              </w:r>
            </w:hyperlink>
          </w:p>
        </w:tc>
        <w:tc>
          <w:tcPr>
            <w:tcW w:w="4320" w:type="dxa"/>
          </w:tcPr>
          <w:p>
            <w:pPr>
              <w:spacing w:before="20" w:after="20" w:line="240" w:lineRule="auto"/>
            </w:pPr>
            <w:r>
              <w:rPr>
                <w:sz w:val="17"/>
                <w:szCs w:val="17"/>
              </w:rPr>
              <w:t xml:space="preserve">The Ottawa/AMEE consensus — positions the OSCE </w:t>
            </w:r>
            <w:r>
              <w:rPr>
                <w:i/>
                <w:sz w:val="17"/>
                <w:szCs w:val="17"/>
              </w:rPr>
              <w:t xml:space="preserve">within</w:t>
            </w:r>
            <w:r>
              <w:rPr>
                <w:sz w:val="17"/>
                <w:szCs w:val="17"/>
              </w:rPr>
              <w:t xml:space="preserve"> a programme of assessment, with WBA and entrustment as complements.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Pell, Fuller, Homer, Roberts. OSCE quality metrics: AMEE Guide No. 49. </w:t>
            </w:r>
            <w:r>
              <w:rPr>
                <w:i/>
                <w:sz w:val="17"/>
                <w:szCs w:val="17"/>
              </w:rPr>
              <w:t xml:space="preserve">Med Teach.</w:t>
            </w:r>
            <w:r>
              <w:rPr>
                <w:sz w:val="17"/>
                <w:szCs w:val="17"/>
              </w:rPr>
              <w:t xml:space="preserve"> 2010</w:t>
            </w:r>
          </w:p>
        </w:tc>
        <w:tc>
          <w:tcPr>
            <w:tcW w:w="1248" w:type="dxa"/>
          </w:tcPr>
          <w:p>
            <w:pPr>
              <w:spacing w:before="20" w:after="20" w:line="240" w:lineRule="auto"/>
            </w:pPr>
            <w:hyperlink r:id="rId1038">
              <w:r>
                <w:rPr>
                  <w:rStyle w:val="Hyperlink"/>
                  <w:sz w:val="17"/>
                  <w:szCs w:val="17"/>
                </w:rPr>
                <w:t xml:space="preserve">doi:10.1080/0142159X.2010.507716</w:t>
              </w:r>
            </w:hyperlink>
          </w:p>
        </w:tc>
        <w:tc>
          <w:tcPr>
            <w:tcW w:w="4320" w:type="dxa"/>
          </w:tcPr>
          <w:p>
            <w:pPr>
              <w:spacing w:before="20" w:after="20" w:line="240" w:lineRule="auto"/>
            </w:pPr>
            <w:r>
              <w:rPr>
                <w:sz w:val="17"/>
                <w:szCs w:val="17"/>
              </w:rPr>
              <w:t xml:space="preserve">The reference standard for judging OSCE psychometric quality and standard-setting.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Amos, Weightman, Miller. Modelling transition to Fellowship under the OSCE-replacement pathway. </w:t>
            </w:r>
            <w:r>
              <w:rPr>
                <w:i/>
                <w:sz w:val="17"/>
                <w:szCs w:val="17"/>
              </w:rPr>
              <w:t xml:space="preserve">Australas Psychiatry.</w:t>
            </w:r>
            <w:r>
              <w:rPr>
                <w:sz w:val="17"/>
                <w:szCs w:val="17"/>
              </w:rPr>
              <w:t xml:space="preserve"> 2023</w:t>
            </w:r>
          </w:p>
        </w:tc>
        <w:tc>
          <w:tcPr>
            <w:tcW w:w="1248" w:type="dxa"/>
          </w:tcPr>
          <w:p>
            <w:pPr>
              <w:spacing w:before="20" w:after="20" w:line="240" w:lineRule="auto"/>
            </w:pPr>
            <w:hyperlink r:id="rId1039">
              <w:r>
                <w:rPr>
                  <w:rStyle w:val="Hyperlink"/>
                  <w:sz w:val="17"/>
                  <w:szCs w:val="17"/>
                </w:rPr>
                <w:t xml:space="preserve">doi:10.1177/10398562231202120</w:t>
              </w:r>
            </w:hyperlink>
          </w:p>
        </w:tc>
        <w:tc>
          <w:tcPr>
            <w:tcW w:w="4320" w:type="dxa"/>
          </w:tcPr>
          <w:p>
            <w:pPr>
              <w:spacing w:before="20" w:after="20" w:line="240" w:lineRule="auto"/>
            </w:pPr>
            <w:r>
              <w:rPr>
                <w:sz w:val="17"/>
                <w:szCs w:val="17"/>
              </w:rPr>
              <w:t xml:space="preserve">Modelling study warning the WBA-based pathway may detect pre-competent trainees less reliably than the OSCE — the key "is the portfolio rigorous enough?" reference.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Amos et al. Merit, equity &amp; administrative competence in retiring the OSCE. </w:t>
            </w:r>
            <w:r>
              <w:rPr>
                <w:i/>
                <w:sz w:val="17"/>
                <w:szCs w:val="17"/>
              </w:rPr>
              <w:t xml:space="preserve">Australas Psychiatry.</w:t>
            </w:r>
            <w:r>
              <w:rPr>
                <w:sz w:val="17"/>
                <w:szCs w:val="17"/>
              </w:rPr>
              <w:t xml:space="preserve"> 2024</w:t>
            </w:r>
          </w:p>
        </w:tc>
        <w:tc>
          <w:tcPr>
            <w:tcW w:w="1248" w:type="dxa"/>
          </w:tcPr>
          <w:p>
            <w:pPr>
              <w:spacing w:before="20" w:after="20" w:line="240" w:lineRule="auto"/>
            </w:pPr>
            <w:hyperlink r:id="rId1040">
              <w:r>
                <w:rPr>
                  <w:rStyle w:val="Hyperlink"/>
                  <w:sz w:val="17"/>
                  <w:szCs w:val="17"/>
                </w:rPr>
                <w:t xml:space="preserve">doi:10.1177/10398562241233995</w:t>
              </w:r>
            </w:hyperlink>
          </w:p>
        </w:tc>
        <w:tc>
          <w:tcPr>
            <w:tcW w:w="4320" w:type="dxa"/>
          </w:tcPr>
          <w:p>
            <w:pPr>
              <w:spacing w:before="20" w:after="20" w:line="240" w:lineRule="auto"/>
            </w:pPr>
            <w:r>
              <w:rPr>
                <w:sz w:val="17"/>
                <w:szCs w:val="17"/>
              </w:rPr>
              <w:t xml:space="preserve">Companion commentary critically examining RANZCP's merit/equity/logistics rationale for retiring the OSCE.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Schuwirth L. </w:t>
            </w:r>
            <w:r>
              <w:rPr>
                <w:i/>
                <w:sz w:val="17"/>
                <w:szCs w:val="17"/>
              </w:rPr>
              <w:t xml:space="preserve">Review of the Alternative Assessment Pathway of the RANZCP.</w:t>
            </w:r>
            <w:r>
              <w:rPr>
                <w:sz w:val="17"/>
                <w:szCs w:val="17"/>
              </w:rPr>
              <w:t xml:space="preserve"> Commissioned external review; 27 Nov 2022</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commissioned review concluding the WBA-plus-portfolio pathway is a </w:t>
            </w:r>
            <w:r>
              <w:rPr>
                <w:i/>
                <w:sz w:val="17"/>
                <w:szCs w:val="17"/>
              </w:rPr>
              <w:t xml:space="preserve">more defensible</w:t>
            </w:r>
            <w:r>
              <w:rPr>
                <w:sz w:val="17"/>
                <w:szCs w:val="17"/>
              </w:rPr>
              <w:t xml:space="preserve"> assessment than the OSCE; describes and endorses the Portfolio Review Panel + PROP, and flags the Case-based Discussion resit as the weak point.</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Pearce, Reid, Chiavaroli, Zoanetti (ACER). </w:t>
            </w:r>
            <w:r>
              <w:rPr>
                <w:i/>
                <w:sz w:val="17"/>
                <w:szCs w:val="17"/>
              </w:rPr>
              <w:t xml:space="preserve">RANZCP Examination Review: Final Report.</w:t>
            </w:r>
            <w:r>
              <w:rPr>
                <w:sz w:val="17"/>
                <w:szCs w:val="17"/>
              </w:rPr>
              <w:t xml:space="preserve"> January 2020</w:t>
            </w:r>
          </w:p>
        </w:tc>
        <w:tc>
          <w:tcPr>
            <w:tcW w:w="1248" w:type="dxa"/>
          </w:tcPr>
          <w:p>
            <w:pPr>
              <w:spacing w:before="20" w:after="20" w:line="240" w:lineRule="auto"/>
            </w:pPr>
            <w:r>
              <w:rPr>
                <w:sz w:val="17"/>
                <w:szCs w:val="17"/>
              </w:rPr>
              <w:t xml:space="preserve">internal-reports/acer-ranzcp-examination-review-final-report.pdf</w:t>
            </w:r>
          </w:p>
        </w:tc>
        <w:tc>
          <w:tcPr>
            <w:tcW w:w="4320" w:type="dxa"/>
          </w:tcPr>
          <w:p>
            <w:pPr>
              <w:spacing w:before="20" w:after="20" w:line="240" w:lineRule="auto"/>
            </w:pPr>
            <w:r>
              <w:rPr>
                <w:sz w:val="17"/>
                <w:szCs w:val="17"/>
              </w:rPr>
              <w:t xml:space="preserve">ACER's gap-analysis of the MCQ, Essay-style and OSCE exams: found the exams do not assess all core psychiatric skills (the Observed Clinical Interview was dropped ~2014) and recommended integrating training and assessment and adopting programmatic thinking.</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ACER. </w:t>
            </w:r>
            <w:r>
              <w:rPr>
                <w:i/>
                <w:sz w:val="17"/>
                <w:szCs w:val="17"/>
              </w:rPr>
              <w:t xml:space="preserve">RANZCP CEQ and MEQ Review: Final Report.</w:t>
            </w:r>
            <w:r>
              <w:rPr>
                <w:sz w:val="17"/>
                <w:szCs w:val="17"/>
              </w:rPr>
              <w:t xml:space="preserve"> (year to confirm)</w:t>
            </w:r>
          </w:p>
        </w:tc>
        <w:tc>
          <w:tcPr>
            <w:tcW w:w="1248" w:type="dxa"/>
          </w:tcPr>
          <w:p>
            <w:pPr>
              <w:spacing w:before="20" w:after="20" w:line="240" w:lineRule="auto"/>
            </w:pPr>
            <w:r>
              <w:rPr>
                <w:sz w:val="17"/>
                <w:szCs w:val="17"/>
              </w:rPr>
              <w:t xml:space="preserve">internal-reports/acer-ranzcp-ceq-meq-review-final-report.pdf</w:t>
            </w:r>
          </w:p>
        </w:tc>
        <w:tc>
          <w:tcPr>
            <w:tcW w:w="4320" w:type="dxa"/>
          </w:tcPr>
          <w:p>
            <w:pPr>
              <w:spacing w:before="20" w:after="20" w:line="240" w:lineRule="auto"/>
            </w:pPr>
            <w:r>
              <w:rPr>
                <w:sz w:val="17"/>
                <w:szCs w:val="17"/>
              </w:rPr>
              <w:t xml:space="preserve">A focused ACER review of the Critical Essay (CEQ) and Modified Essay (MEQ) written components — actioning the 2020 review's recommendation to separate and reform them.</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6. Burden of Assessment</w:t>
      </w:r>
    </w:p>
    <w:p>
      <w:r>
        <w:t xml:space="preserve">A first-order design constraint and an explicit accreditation requirement: </w:t>
      </w:r>
      <w:r>
        <w:rPr>
          <w:b/>
        </w:rPr>
        <w:t xml:space="preserve">AMC Standard 5, Condition 23</w:t>
      </w:r>
      <w:r>
        <w:t xml:space="preserve"> directs the College to "systematically review the breadth of assessment methods with a view to reducing the </w:t>
      </w:r>
      <w:r>
        <w:rPr>
          <w:b/>
        </w:rPr>
        <w:t xml:space="preserve">burden of assessment</w:t>
      </w:r>
      <w:r>
        <w:t xml:space="preserve"> on trainees and their supervisors." Burden is both </w:t>
      </w:r>
      <w:r>
        <w:rPr>
          <w:i/>
        </w:rPr>
        <w:t xml:space="preserve">quantitative</w:t>
      </w:r>
      <w:r>
        <w:t xml:space="preserve"> (time, opportunity cost) and </w:t>
      </w:r>
      <w:r>
        <w:rPr>
          <w:i/>
        </w:rPr>
        <w:t xml:space="preserve">qualitative</w:t>
      </w:r>
      <w:r>
        <w:t xml:space="preserve"> (how trainees and assessors experience it); Ott's </w:t>
      </w:r>
      <w:r>
        <w:rPr>
          <w:b/>
        </w:rPr>
        <w:t xml:space="preserve">Self-Determination Theory</w:t>
      </w:r>
      <w:r>
        <w:t xml:space="preserve"> lens (threats to autonomy, relatedness, competence) is the framework RANZCP has adopted to </w:t>
      </w:r>
      <w:r>
        <w:rPr>
          <w:i/>
        </w:rPr>
        <w:t xml:space="preserve">measure</w:t>
      </w:r>
      <w:r>
        <w:t xml:space="preserve"> it, and Pearce's framing reminds us the goal is to optimise </w:t>
      </w:r>
      <w:r>
        <w:rPr>
          <w:i/>
        </w:rPr>
        <w:t xml:space="preserve">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 xml:space="preserve">unless</w:t>
      </w:r>
      <w:r>
        <w:t xml:space="preserve"> feedback is genuinely coaching, supervisors are proactive, and the volume of data points is designed for value, not documentation. </w:t>
      </w:r>
      <w:r>
        <w:rPr>
          <w:i/>
        </w:rPr>
        <w:t xml:space="preserve">Design implication: fewer, better, developmental assessments; assessor literacy and faculty development (§8); and reframe early CPD as continued formation (§13).</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Pearce. When I say … assessment burden. </w:t>
            </w:r>
            <w:r>
              <w:rPr>
                <w:i/>
                <w:sz w:val="17"/>
                <w:szCs w:val="17"/>
              </w:rPr>
              <w:t xml:space="preserve">Med Educ.</w:t>
            </w:r>
            <w:r>
              <w:rPr>
                <w:sz w:val="17"/>
                <w:szCs w:val="17"/>
              </w:rPr>
              <w:t xml:space="preserve"> 2025</w:t>
            </w:r>
          </w:p>
        </w:tc>
        <w:tc>
          <w:tcPr>
            <w:tcW w:w="1248" w:type="dxa"/>
          </w:tcPr>
          <w:p>
            <w:pPr>
              <w:spacing w:before="20" w:after="20" w:line="240" w:lineRule="auto"/>
            </w:pPr>
            <w:hyperlink r:id="rId1041">
              <w:r>
                <w:rPr>
                  <w:rStyle w:val="Hyperlink"/>
                  <w:sz w:val="17"/>
                  <w:szCs w:val="17"/>
                </w:rPr>
                <w:t xml:space="preserve">doi:10.1111/medu.15708</w:t>
              </w:r>
            </w:hyperlink>
            <w:r>
              <w:rPr>
                <w:sz w:val="17"/>
                <w:szCs w:val="17"/>
              </w:rPr>
              <w:t xml:space="preserve"> </w:t>
            </w:r>
            <w:r>
              <w:rPr>
                <w:i/>
                <w:sz w:val="17"/>
                <w:szCs w:val="17"/>
              </w:rPr>
              <w:t xml:space="preserve">(vol/pages to confirm)</w:t>
            </w:r>
          </w:p>
        </w:tc>
        <w:tc>
          <w:tcPr>
            <w:tcW w:w="4320" w:type="dxa"/>
          </w:tcPr>
          <w:p>
            <w:pPr>
              <w:spacing w:before="20" w:after="20" w:line="240" w:lineRule="auto"/>
            </w:pPr>
            <w:r>
              <w:rPr>
                <w:sz w:val="17"/>
                <w:szCs w:val="17"/>
              </w:rPr>
              <w:t xml:space="preserve">The recent conceptual framing (Jacob Pearce, ACER): burden is not simply to be </w:t>
            </w:r>
            <w:r>
              <w:rPr>
                <w:i/>
                <w:sz w:val="17"/>
                <w:szCs w:val="17"/>
              </w:rPr>
              <w:t xml:space="preserve">minimised</w:t>
            </w:r>
            <w:r>
              <w:rPr>
                <w:sz w:val="17"/>
                <w:szCs w:val="17"/>
              </w:rPr>
              <w:t xml:space="preserve">; high-quality assessment can feel burdensome yet carry real utility — optimise </w:t>
            </w:r>
            <w:r>
              <w:rPr>
                <w:i/>
                <w:sz w:val="17"/>
                <w:szCs w:val="17"/>
              </w:rPr>
              <w:t xml:space="preserve">worthwhile</w:t>
            </w:r>
            <w:r>
              <w:rPr>
                <w:sz w:val="17"/>
                <w:szCs w:val="17"/>
              </w:rPr>
              <w:t xml:space="preserve">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Ott et al. "The most crushing thing": understanding resident assessment burden in a CBME curriculum. </w:t>
            </w:r>
            <w:r>
              <w:rPr>
                <w:i/>
                <w:sz w:val="17"/>
                <w:szCs w:val="17"/>
              </w:rPr>
              <w:t xml:space="preserve">J Grad Med Educ.</w:t>
            </w:r>
            <w:r>
              <w:rPr>
                <w:sz w:val="17"/>
                <w:szCs w:val="17"/>
              </w:rPr>
              <w:t xml:space="preserve"> 2022</w:t>
            </w:r>
          </w:p>
        </w:tc>
        <w:tc>
          <w:tcPr>
            <w:tcW w:w="1248" w:type="dxa"/>
          </w:tcPr>
          <w:p>
            <w:pPr>
              <w:spacing w:before="20" w:after="20" w:line="240" w:lineRule="auto"/>
            </w:pPr>
            <w:hyperlink r:id="rId1042">
              <w:r>
                <w:rPr>
                  <w:rStyle w:val="Hyperlink"/>
                  <w:sz w:val="17"/>
                  <w:szCs w:val="17"/>
                </w:rPr>
                <w:t xml:space="preserve">doi:10.4300/JGME-D-22-00050.1</w:t>
              </w:r>
            </w:hyperlink>
          </w:p>
        </w:tc>
        <w:tc>
          <w:tcPr>
            <w:tcW w:w="4320" w:type="dxa"/>
          </w:tcPr>
          <w:p>
            <w:pPr>
              <w:spacing w:before="20" w:after="20" w:line="240" w:lineRule="auto"/>
            </w:pPr>
            <w:r>
              <w:rPr>
                <w:sz w:val="17"/>
                <w:szCs w:val="17"/>
              </w:rPr>
              <w:t xml:space="preserve">Conceptualises burden through </w:t>
            </w:r>
            <w:r>
              <w:rPr>
                <w:b/>
                <w:sz w:val="17"/>
                <w:szCs w:val="17"/>
              </w:rPr>
              <w:t xml:space="preserve">Self-Determination Theory</w:t>
            </w:r>
            <w:r>
              <w:rPr>
                <w:sz w:val="17"/>
                <w:szCs w:val="17"/>
              </w:rPr>
              <w:t xml:space="preserve"> (threats to autonomy, relatedness, competence) — the framework RANZCP adopted to measure burden.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Cheung et al. Analyzing the administrative burden of CBME. </w:t>
            </w:r>
            <w:r>
              <w:rPr>
                <w:i/>
                <w:sz w:val="17"/>
                <w:szCs w:val="17"/>
              </w:rPr>
              <w:t xml:space="preserve">Can Assoc Radiol J.</w:t>
            </w:r>
            <w:r>
              <w:rPr>
                <w:sz w:val="17"/>
                <w:szCs w:val="17"/>
              </w:rPr>
              <w:t xml:space="preserve"> 2021</w:t>
            </w:r>
          </w:p>
        </w:tc>
        <w:tc>
          <w:tcPr>
            <w:tcW w:w="1248" w:type="dxa"/>
          </w:tcPr>
          <w:p>
            <w:pPr>
              <w:spacing w:before="20" w:after="20" w:line="240" w:lineRule="auto"/>
            </w:pPr>
            <w:hyperlink r:id="rId1043">
              <w:r>
                <w:rPr>
                  <w:rStyle w:val="Hyperlink"/>
                  <w:sz w:val="17"/>
                  <w:szCs w:val="17"/>
                </w:rPr>
                <w:t xml:space="preserve">doi:10.1177/08465371211038963</w:t>
              </w:r>
            </w:hyperlink>
          </w:p>
        </w:tc>
        <w:tc>
          <w:tcPr>
            <w:tcW w:w="4320" w:type="dxa"/>
          </w:tcPr>
          <w:p>
            <w:pPr>
              <w:spacing w:before="20" w:after="20" w:line="240" w:lineRule="auto"/>
            </w:pPr>
            <w:r>
              <w:rPr>
                <w:sz w:val="17"/>
                <w:szCs w:val="17"/>
              </w:rPr>
              <w:t xml:space="preserve">Empirical: a single EPA form took ≈ 3 min 6 sec on average (but this excludes the surrounding observation, discussion and coaching time).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Szulewski et al. The assessment burden in CBME: how programs are adapting. </w:t>
            </w:r>
            <w:r>
              <w:rPr>
                <w:i/>
                <w:sz w:val="17"/>
                <w:szCs w:val="17"/>
              </w:rPr>
              <w:t xml:space="preserve">Acad Med.</w:t>
            </w:r>
            <w:r>
              <w:rPr>
                <w:sz w:val="17"/>
                <w:szCs w:val="17"/>
              </w:rPr>
              <w:t xml:space="preserve"> 2023</w:t>
            </w:r>
          </w:p>
        </w:tc>
        <w:tc>
          <w:tcPr>
            <w:tcW w:w="1248" w:type="dxa"/>
          </w:tcPr>
          <w:p>
            <w:pPr>
              <w:spacing w:before="20" w:after="20" w:line="240" w:lineRule="auto"/>
            </w:pPr>
            <w:hyperlink r:id="rId1044">
              <w:r>
                <w:rPr>
                  <w:rStyle w:val="Hyperlink"/>
                  <w:sz w:val="17"/>
                  <w:szCs w:val="17"/>
                </w:rPr>
                <w:t xml:space="preserve">doi:10.1097/ACM.0000000000005305</w:t>
              </w:r>
            </w:hyperlink>
          </w:p>
        </w:tc>
        <w:tc>
          <w:tcPr>
            <w:tcW w:w="4320" w:type="dxa"/>
          </w:tcPr>
          <w:p>
            <w:pPr>
              <w:spacing w:before="20" w:after="20" w:line="240" w:lineRule="auto"/>
            </w:pPr>
            <w:r>
              <w:rPr>
                <w:sz w:val="17"/>
                <w:szCs w:val="17"/>
              </w:rPr>
              <w:t xml:space="preserve">How 8 residency programs are adapting to assessor burden — burden can undermine CBME's intended benefits.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Schut et al. Between trust and control: programmatic assessment. </w:t>
            </w:r>
            <w:r>
              <w:rPr>
                <w:i/>
                <w:sz w:val="17"/>
                <w:szCs w:val="17"/>
              </w:rPr>
              <w:t xml:space="preserve">Med Educ.</w:t>
            </w:r>
            <w:r>
              <w:rPr>
                <w:sz w:val="17"/>
                <w:szCs w:val="17"/>
              </w:rPr>
              <w:t xml:space="preserve"> 2020</w:t>
            </w:r>
          </w:p>
        </w:tc>
        <w:tc>
          <w:tcPr>
            <w:tcW w:w="1248" w:type="dxa"/>
          </w:tcPr>
          <w:p>
            <w:pPr>
              <w:spacing w:before="20" w:after="20" w:line="240" w:lineRule="auto"/>
            </w:pPr>
            <w:hyperlink r:id="rId1045">
              <w:r>
                <w:rPr>
                  <w:rStyle w:val="Hyperlink"/>
                  <w:sz w:val="17"/>
                  <w:szCs w:val="17"/>
                </w:rPr>
                <w:t xml:space="preserve">doi:10.1111/medu.14075</w:t>
              </w:r>
            </w:hyperlink>
          </w:p>
        </w:tc>
        <w:tc>
          <w:tcPr>
            <w:tcW w:w="4320" w:type="dxa"/>
          </w:tcPr>
          <w:p>
            <w:pPr>
              <w:spacing w:before="20" w:after="20" w:line="240" w:lineRule="auto"/>
            </w:pPr>
            <w:r>
              <w:rPr>
                <w:sz w:val="17"/>
                <w:szCs w:val="17"/>
              </w:rPr>
              <w:t xml:space="preserve">Teachers can experience programmatic assessment as surveillance ("control") rather than trust — an unintended consequence to design against.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Roberts et al. Student perspectives on programmatic assessment. </w:t>
            </w:r>
            <w:r>
              <w:rPr>
                <w:i/>
                <w:sz w:val="17"/>
                <w:szCs w:val="17"/>
              </w:rPr>
              <w:t xml:space="preserve">Med Educ.</w:t>
            </w:r>
            <w:r>
              <w:rPr>
                <w:sz w:val="17"/>
                <w:szCs w:val="17"/>
              </w:rPr>
              <w:t xml:space="preserve"> 2022</w:t>
            </w:r>
          </w:p>
        </w:tc>
        <w:tc>
          <w:tcPr>
            <w:tcW w:w="1248" w:type="dxa"/>
          </w:tcPr>
          <w:p>
            <w:pPr>
              <w:spacing w:before="20" w:after="20" w:line="240" w:lineRule="auto"/>
            </w:pPr>
            <w:hyperlink r:id="rId1046">
              <w:r>
                <w:rPr>
                  <w:rStyle w:val="Hyperlink"/>
                  <w:sz w:val="17"/>
                  <w:szCs w:val="17"/>
                </w:rPr>
                <w:t xml:space="preserve">doi:10.1111/medu.14807</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Students can experience programmatic assessment as overbearing and at odds with its assessment-for-learning intent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Lockyer et al. Core principles of assessment in CBME. </w:t>
            </w:r>
            <w:r>
              <w:rPr>
                <w:i/>
                <w:sz w:val="17"/>
                <w:szCs w:val="17"/>
              </w:rPr>
              <w:t xml:space="preserve">Med Teach.</w:t>
            </w:r>
            <w:r>
              <w:rPr>
                <w:sz w:val="17"/>
                <w:szCs w:val="17"/>
              </w:rPr>
              <w:t xml:space="preserve"> 2017</w:t>
            </w:r>
          </w:p>
        </w:tc>
        <w:tc>
          <w:tcPr>
            <w:tcW w:w="1248" w:type="dxa"/>
          </w:tcPr>
          <w:p>
            <w:pPr>
              <w:spacing w:before="20" w:after="20" w:line="240" w:lineRule="auto"/>
            </w:pPr>
            <w:hyperlink r:id="rId1047">
              <w:r>
                <w:rPr>
                  <w:rStyle w:val="Hyperlink"/>
                  <w:sz w:val="17"/>
                  <w:szCs w:val="17"/>
                </w:rPr>
                <w:t xml:space="preserve">doi:10.1080/0142159X.2017.1315082</w:t>
              </w:r>
            </w:hyperlink>
          </w:p>
        </w:tc>
        <w:tc>
          <w:tcPr>
            <w:tcW w:w="4320" w:type="dxa"/>
          </w:tcPr>
          <w:p>
            <w:pPr>
              <w:spacing w:before="20" w:after="20" w:line="240" w:lineRule="auto"/>
            </w:pPr>
            <w:r>
              <w:rPr>
                <w:sz w:val="17"/>
                <w:szCs w:val="17"/>
              </w:rPr>
              <w:t xml:space="preserve">The CBME assessment consensus: "the instrument is the assessor"; assessor variance is partly a legitimate lens, not just error — grounding the assessor-literacy response to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Martin et al. The impact of entrustment assessments on feedback and learning: trainee perspectives. </w:t>
            </w:r>
            <w:r>
              <w:rPr>
                <w:i/>
                <w:sz w:val="17"/>
                <w:szCs w:val="17"/>
              </w:rPr>
              <w:t xml:space="preserve">Med Educ.</w:t>
            </w:r>
            <w:r>
              <w:rPr>
                <w:sz w:val="17"/>
                <w:szCs w:val="17"/>
              </w:rPr>
              <w:t xml:space="preserve"> 2020</w:t>
            </w:r>
          </w:p>
        </w:tc>
        <w:tc>
          <w:tcPr>
            <w:tcW w:w="1248" w:type="dxa"/>
          </w:tcPr>
          <w:p>
            <w:pPr>
              <w:spacing w:before="20" w:after="20" w:line="240" w:lineRule="auto"/>
            </w:pPr>
            <w:hyperlink r:id="rId1048">
              <w:r>
                <w:rPr>
                  <w:rStyle w:val="Hyperlink"/>
                  <w:sz w:val="17"/>
                  <w:szCs w:val="17"/>
                </w:rPr>
                <w:t xml:space="preserve">doi:10.1111/medu.14047</w:t>
              </w:r>
            </w:hyperlink>
          </w:p>
        </w:tc>
        <w:tc>
          <w:tcPr>
            <w:tcW w:w="4320" w:type="dxa"/>
          </w:tcPr>
          <w:p>
            <w:pPr>
              <w:spacing w:before="20" w:after="20" w:line="240" w:lineRule="auto"/>
            </w:pPr>
            <w:r>
              <w:rPr>
                <w:sz w:val="17"/>
                <w:szCs w:val="17"/>
              </w:rPr>
              <w:t xml:space="preserve">Tensions of EPA/entrustment assessment: standardisation vs flexibility, learning vs performing, "assessment fatigue"; trainees value verbal feedback over scores.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Ahn et al. Only as strong as the weakest link: resident perspectives on EPAs. </w:t>
            </w:r>
            <w:r>
              <w:rPr>
                <w:i/>
                <w:sz w:val="17"/>
                <w:szCs w:val="17"/>
              </w:rPr>
              <w:t xml:space="preserve">J Grad Med Educ.</w:t>
            </w:r>
            <w:r>
              <w:rPr>
                <w:sz w:val="17"/>
                <w:szCs w:val="17"/>
              </w:rPr>
              <w:t xml:space="preserve"> 2023</w:t>
            </w:r>
          </w:p>
        </w:tc>
        <w:tc>
          <w:tcPr>
            <w:tcW w:w="1248" w:type="dxa"/>
          </w:tcPr>
          <w:p>
            <w:pPr>
              <w:spacing w:before="20" w:after="20" w:line="240" w:lineRule="auto"/>
            </w:pPr>
            <w:hyperlink r:id="rId1049">
              <w:r>
                <w:rPr>
                  <w:rStyle w:val="Hyperlink"/>
                  <w:sz w:val="17"/>
                  <w:szCs w:val="17"/>
                </w:rPr>
                <w:t xml:space="preserve">doi:10.4300/JGME-D-23-00204.1</w:t>
              </w:r>
            </w:hyperlink>
          </w:p>
        </w:tc>
        <w:tc>
          <w:tcPr>
            <w:tcW w:w="4320" w:type="dxa"/>
          </w:tcPr>
          <w:p>
            <w:pPr>
              <w:spacing w:before="20" w:after="20" w:line="240" w:lineRule="auto"/>
            </w:pPr>
            <w:r>
              <w:rPr>
                <w:sz w:val="17"/>
                <w:szCs w:val="17"/>
              </w:rPr>
              <w:t xml:space="preserve">Residents are polarised — EPAs are valued </w:t>
            </w:r>
            <w:r>
              <w:rPr>
                <w:i/>
                <w:sz w:val="17"/>
                <w:szCs w:val="17"/>
              </w:rPr>
              <w:t xml:space="preserve">or</w:t>
            </w:r>
            <w:r>
              <w:rPr>
                <w:sz w:val="17"/>
                <w:szCs w:val="17"/>
              </w:rPr>
              <w:t xml:space="preserve"> onerous — depending on program messaging, assessor buy-in, and real-time (vs delayed) assessment.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Branfield Day et al. Canadian resident experiences with CBME. </w:t>
            </w:r>
            <w:r>
              <w:rPr>
                <w:i/>
                <w:sz w:val="17"/>
                <w:szCs w:val="17"/>
              </w:rPr>
              <w:t xml:space="preserve">Can Med Educ J.</w:t>
            </w:r>
            <w:r>
              <w:rPr>
                <w:sz w:val="17"/>
                <w:szCs w:val="17"/>
              </w:rPr>
              <w:t xml:space="preserve"> 2022</w:t>
            </w:r>
          </w:p>
        </w:tc>
        <w:tc>
          <w:tcPr>
            <w:tcW w:w="1248" w:type="dxa"/>
          </w:tcPr>
          <w:p>
            <w:pPr>
              <w:spacing w:before="20" w:after="20" w:line="240" w:lineRule="auto"/>
            </w:pPr>
            <w:hyperlink r:id="rId1050">
              <w:r>
                <w:rPr>
                  <w:rStyle w:val="Hyperlink"/>
                  <w:sz w:val="17"/>
                  <w:szCs w:val="17"/>
                </w:rPr>
                <w:t xml:space="preserve">doi:10.36834/cmej.72765</w:t>
              </w:r>
            </w:hyperlink>
          </w:p>
        </w:tc>
        <w:tc>
          <w:tcPr>
            <w:tcW w:w="4320" w:type="dxa"/>
          </w:tcPr>
          <w:p>
            <w:pPr>
              <w:spacing w:before="20" w:after="20" w:line="240" w:lineRule="auto"/>
            </w:pPr>
            <w:r>
              <w:rPr>
                <w:sz w:val="17"/>
                <w:szCs w:val="17"/>
              </w:rPr>
              <w:t xml:space="preserve">Residents support CBME in theory but report administrative burden, learning overshadowed by assessment, variable feedback, and "gaming".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Mann et al. Resident perceptions of CBME. </w:t>
            </w:r>
            <w:r>
              <w:rPr>
                <w:i/>
                <w:sz w:val="17"/>
                <w:szCs w:val="17"/>
              </w:rPr>
              <w:t xml:space="preserve">Can Med Educ J.</w:t>
            </w:r>
            <w:r>
              <w:rPr>
                <w:sz w:val="17"/>
                <w:szCs w:val="17"/>
              </w:rPr>
              <w:t xml:space="preserve"> 2020</w:t>
            </w:r>
          </w:p>
        </w:tc>
        <w:tc>
          <w:tcPr>
            <w:tcW w:w="1248" w:type="dxa"/>
          </w:tcPr>
          <w:p>
            <w:pPr>
              <w:spacing w:before="20" w:after="20" w:line="240" w:lineRule="auto"/>
            </w:pPr>
            <w:hyperlink r:id="rId1051">
              <w:r>
                <w:rPr>
                  <w:rStyle w:val="Hyperlink"/>
                  <w:sz w:val="17"/>
                  <w:szCs w:val="17"/>
                </w:rPr>
                <w:t xml:space="preserve">doi:10.36834/cmej.67958</w:t>
              </w:r>
            </w:hyperlink>
          </w:p>
        </w:tc>
        <w:tc>
          <w:tcPr>
            <w:tcW w:w="4320" w:type="dxa"/>
          </w:tcPr>
          <w:p>
            <w:pPr>
              <w:spacing w:before="20" w:after="20" w:line="240" w:lineRule="auto"/>
            </w:pPr>
            <w:r>
              <w:rPr>
                <w:sz w:val="17"/>
                <w:szCs w:val="17"/>
              </w:rPr>
              <w:t xml:space="preserve">Pre-CBME perceptions: time-to-complete-assessments and clarity of competence are key concerns; rumour shapes expectations.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LaDonna et al. Staging a performance: learners' perceptions about direct observation. </w:t>
            </w:r>
            <w:r>
              <w:rPr>
                <w:i/>
                <w:sz w:val="17"/>
                <w:szCs w:val="17"/>
              </w:rPr>
              <w:t xml:space="preserve">Med Educ.</w:t>
            </w:r>
            <w:r>
              <w:rPr>
                <w:sz w:val="17"/>
                <w:szCs w:val="17"/>
              </w:rPr>
              <w:t xml:space="preserve"> 2017</w:t>
            </w:r>
          </w:p>
        </w:tc>
        <w:tc>
          <w:tcPr>
            <w:tcW w:w="1248" w:type="dxa"/>
          </w:tcPr>
          <w:p>
            <w:pPr>
              <w:spacing w:before="20" w:after="20" w:line="240" w:lineRule="auto"/>
            </w:pPr>
            <w:hyperlink r:id="rId1052">
              <w:r>
                <w:rPr>
                  <w:rStyle w:val="Hyperlink"/>
                  <w:sz w:val="17"/>
                  <w:szCs w:val="17"/>
                </w:rPr>
                <w:t xml:space="preserve">doi:10.1111/medu.13232</w:t>
              </w:r>
            </w:hyperlink>
          </w:p>
        </w:tc>
        <w:tc>
          <w:tcPr>
            <w:tcW w:w="4320" w:type="dxa"/>
          </w:tcPr>
          <w:p>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 xml:space="preserve">and</w:t>
            </w:r>
            <w:r>
              <w:rPr>
                <w:sz w:val="17"/>
                <w:szCs w:val="17"/>
              </w:rPr>
              <w:t xml:space="preserve"> burden caution.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Bindal, Wall, Goodyear. Trainee doctors' views on WBAs: are they just a tick box exercise? </w:t>
            </w:r>
            <w:r>
              <w:rPr>
                <w:i/>
                <w:sz w:val="17"/>
                <w:szCs w:val="17"/>
              </w:rPr>
              <w:t xml:space="preserve">Med Teach.</w:t>
            </w:r>
            <w:r>
              <w:rPr>
                <w:sz w:val="17"/>
                <w:szCs w:val="17"/>
              </w:rPr>
              <w:t xml:space="preserve"> 2011</w:t>
            </w:r>
          </w:p>
        </w:tc>
        <w:tc>
          <w:tcPr>
            <w:tcW w:w="1248" w:type="dxa"/>
          </w:tcPr>
          <w:p>
            <w:pPr>
              <w:spacing w:before="20" w:after="20" w:line="240" w:lineRule="auto"/>
            </w:pPr>
            <w:hyperlink r:id="rId1053">
              <w:r>
                <w:rPr>
                  <w:rStyle w:val="Hyperlink"/>
                  <w:sz w:val="17"/>
                  <w:szCs w:val="17"/>
                </w:rPr>
                <w:t xml:space="preserve">doi:10.3109/0142159X.2011.558140</w:t>
              </w:r>
            </w:hyperlink>
          </w:p>
        </w:tc>
        <w:tc>
          <w:tcPr>
            <w:tcW w:w="4320" w:type="dxa"/>
          </w:tcPr>
          <w:p>
            <w:pPr>
              <w:spacing w:before="20" w:after="20" w:line="240" w:lineRule="auto"/>
            </w:pPr>
            <w:r>
              <w:rPr>
                <w:sz w:val="17"/>
                <w:szCs w:val="17"/>
              </w:rPr>
              <w:t xml:space="preserve">Early, much-cited evidence that WBAs are widely experienced as a "tick-box exercise" when not embedded in genuine feedback.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Burden of Assessment in the RANZCP Fellowship Program</w:t>
            </w:r>
            <w:r>
              <w:rPr>
                <w:sz w:val="17"/>
                <w:szCs w:val="17"/>
              </w:rPr>
              <w:t xml:space="preserve"> (trainee/supervisor survey, 2024)</w:t>
            </w:r>
          </w:p>
        </w:tc>
        <w:tc>
          <w:tcPr>
            <w:tcW w:w="1248" w:type="dxa"/>
          </w:tcPr>
          <w:p>
            <w:pPr>
              <w:spacing w:before="20" w:after="20" w:line="240" w:lineRule="auto"/>
            </w:pPr>
            <w:r>
              <w:rPr>
                <w:sz w:val="17"/>
                <w:szCs w:val="17"/>
              </w:rPr>
              <w:t xml:space="preserve">ranzcp.org</w:t>
            </w:r>
          </w:p>
        </w:tc>
        <w:tc>
          <w:tcPr>
            <w:tcW w:w="4320" w:type="dxa"/>
          </w:tcPr>
          <w:p>
            <w:pPr>
              <w:spacing w:before="20" w:after="20" w:line="240" w:lineRule="auto"/>
            </w:pPr>
            <w:r>
              <w:rPr>
                <w:sz w:val="17"/>
                <w:szCs w:val="17"/>
              </w:rPr>
              <w:t xml:space="preserve">The College's survey responding to Condition 23 </w:t>
            </w:r>
            <w:r>
              <w:rPr>
                <w:i/>
                <w:sz w:val="17"/>
                <w:szCs w:val="17"/>
              </w:rPr>
              <w:t xml:space="preserve">(PDF blocked automated retrieval; supply to store).</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7. Feedback</w:t>
      </w:r>
    </w:p>
    <w:p>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 xml:space="preserve">coaching for growth</w:t>
      </w:r>
      <w:r>
        <w:t xml:space="preserve"> — which is also the practical antidote to the assessment-as-surveillance risk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Ende. Feedback in clinical medical education. </w:t>
            </w:r>
            <w:r>
              <w:rPr>
                <w:i/>
                <w:sz w:val="17"/>
                <w:szCs w:val="17"/>
              </w:rPr>
              <w:t xml:space="preserve">JAMA.</w:t>
            </w:r>
            <w:r>
              <w:rPr>
                <w:sz w:val="17"/>
                <w:szCs w:val="17"/>
              </w:rPr>
              <w:t xml:space="preserve"> 1983</w:t>
            </w:r>
          </w:p>
        </w:tc>
        <w:tc>
          <w:tcPr>
            <w:tcW w:w="1248" w:type="dxa"/>
          </w:tcPr>
          <w:p>
            <w:pPr>
              <w:spacing w:before="20" w:after="20" w:line="240" w:lineRule="auto"/>
            </w:pPr>
            <w:hyperlink r:id="rId1054">
              <w:r>
                <w:rPr>
                  <w:rStyle w:val="Hyperlink"/>
                  <w:sz w:val="17"/>
                  <w:szCs w:val="17"/>
                </w:rPr>
                <w:t xml:space="preserve">doi:10.1001/jama.1983.03340060055026</w:t>
              </w:r>
            </w:hyperlink>
          </w:p>
        </w:tc>
        <w:tc>
          <w:tcPr>
            <w:tcW w:w="4320" w:type="dxa"/>
          </w:tcPr>
          <w:p>
            <w:pPr>
              <w:spacing w:before="20" w:after="20" w:line="240" w:lineRule="auto"/>
            </w:pPr>
            <w:r>
              <w:rPr>
                <w:sz w:val="17"/>
                <w:szCs w:val="17"/>
              </w:rPr>
              <w:t xml:space="preserve">The classic statement of feedback principles — timely, specific, based on observed behaviour, focused on remediable actions.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Hattie &amp; Timperley. The power of feedback. </w:t>
            </w:r>
            <w:r>
              <w:rPr>
                <w:i/>
                <w:sz w:val="17"/>
                <w:szCs w:val="17"/>
              </w:rPr>
              <w:t xml:space="preserve">Rev Educ Res.</w:t>
            </w:r>
            <w:r>
              <w:rPr>
                <w:sz w:val="17"/>
                <w:szCs w:val="17"/>
              </w:rPr>
              <w:t xml:space="preserve"> 2007</w:t>
            </w:r>
          </w:p>
        </w:tc>
        <w:tc>
          <w:tcPr>
            <w:tcW w:w="1248" w:type="dxa"/>
          </w:tcPr>
          <w:p>
            <w:pPr>
              <w:spacing w:before="20" w:after="20" w:line="240" w:lineRule="auto"/>
            </w:pPr>
            <w:hyperlink r:id="rId1055">
              <w:r>
                <w:rPr>
                  <w:rStyle w:val="Hyperlink"/>
                  <w:sz w:val="17"/>
                  <w:szCs w:val="17"/>
                </w:rPr>
                <w:t xml:space="preserve">doi:10.3102/003465430298487</w:t>
              </w:r>
            </w:hyperlink>
          </w:p>
        </w:tc>
        <w:tc>
          <w:tcPr>
            <w:tcW w:w="4320" w:type="dxa"/>
          </w:tcPr>
          <w:p>
            <w:pPr>
              <w:spacing w:before="20" w:after="20" w:line="240" w:lineRule="auto"/>
            </w:pPr>
            <w:r>
              <w:rPr>
                <w:sz w:val="17"/>
                <w:szCs w:val="17"/>
              </w:rPr>
              <w:t xml:space="preserve">The most-cited evidence-based model: effective feedback answers feed-up (where am I going?), feed-back (how am I doing?) and feed-forward (what next?).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van de Ridder et al. What is feedback in clinical education? </w:t>
            </w:r>
            <w:r>
              <w:rPr>
                <w:i/>
                <w:sz w:val="17"/>
                <w:szCs w:val="17"/>
              </w:rPr>
              <w:t xml:space="preserve">Med Educ.</w:t>
            </w:r>
            <w:r>
              <w:rPr>
                <w:sz w:val="17"/>
                <w:szCs w:val="17"/>
              </w:rPr>
              <w:t xml:space="preserve"> 2008</w:t>
            </w:r>
          </w:p>
        </w:tc>
        <w:tc>
          <w:tcPr>
            <w:tcW w:w="1248" w:type="dxa"/>
          </w:tcPr>
          <w:p>
            <w:pPr>
              <w:spacing w:before="20" w:after="20" w:line="240" w:lineRule="auto"/>
            </w:pPr>
            <w:hyperlink r:id="rId1056">
              <w:r>
                <w:rPr>
                  <w:rStyle w:val="Hyperlink"/>
                  <w:sz w:val="17"/>
                  <w:szCs w:val="17"/>
                </w:rPr>
                <w:t xml:space="preserve">doi:10.1111/j.1365-2923.2007.02973.x</w:t>
              </w:r>
            </w:hyperlink>
          </w:p>
        </w:tc>
        <w:tc>
          <w:tcPr>
            <w:tcW w:w="4320" w:type="dxa"/>
          </w:tcPr>
          <w:p>
            <w:pPr>
              <w:spacing w:before="20" w:after="20" w:line="240" w:lineRule="auto"/>
            </w:pPr>
            <w:r>
              <w:rPr>
                <w:sz w:val="17"/>
                <w:szCs w:val="17"/>
              </w:rPr>
              <w:t xml:space="preserve">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Sargeant et al. The R2C2 facilitated reflective feedback model. </w:t>
            </w:r>
            <w:r>
              <w:rPr>
                <w:i/>
                <w:sz w:val="17"/>
                <w:szCs w:val="17"/>
              </w:rPr>
              <w:t xml:space="preserve">Acad Med.</w:t>
            </w:r>
            <w:r>
              <w:rPr>
                <w:sz w:val="17"/>
                <w:szCs w:val="17"/>
              </w:rPr>
              <w:t xml:space="preserve"> 2015</w:t>
            </w:r>
          </w:p>
        </w:tc>
        <w:tc>
          <w:tcPr>
            <w:tcW w:w="1248" w:type="dxa"/>
          </w:tcPr>
          <w:p>
            <w:pPr>
              <w:spacing w:before="20" w:after="20" w:line="240" w:lineRule="auto"/>
            </w:pPr>
            <w:hyperlink r:id="rId1057">
              <w:r>
                <w:rPr>
                  <w:rStyle w:val="Hyperlink"/>
                  <w:sz w:val="17"/>
                  <w:szCs w:val="17"/>
                </w:rPr>
                <w:t xml:space="preserve">doi:10.1097/ACM.0000000000000809</w:t>
              </w:r>
            </w:hyperlink>
          </w:p>
        </w:tc>
        <w:tc>
          <w:tcPr>
            <w:tcW w:w="4320" w:type="dxa"/>
          </w:tcPr>
          <w:p>
            <w:pPr>
              <w:spacing w:before="20" w:after="20" w:line="240" w:lineRule="auto"/>
            </w:pPr>
            <w:r>
              <w:rPr>
                <w:sz w:val="17"/>
                <w:szCs w:val="17"/>
              </w:rPr>
              <w:t xml:space="preserve">An evidence- and theory-based coaching model (Relationship → Reactions → Content → Coaching) — well matched to psychiatry's reflective, alliance-based supervision.</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8. Supervisors / Faculty Development</w:t>
      </w:r>
    </w:p>
    <w:p>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actually work. Kilminster defines effective supervision (the relationship is the key variable); Harden &amp; Crosby map the full range of teacher roles to develop; Dreyfus gives supervisors a shared novice→expert language.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Kilminster et al. Effective educational and clinical supervision: AMEE Guide No. 27. </w:t>
            </w:r>
            <w:r>
              <w:rPr>
                <w:i/>
                <w:sz w:val="17"/>
                <w:szCs w:val="17"/>
              </w:rPr>
              <w:t xml:space="preserve">Med Teach.</w:t>
            </w:r>
            <w:r>
              <w:rPr>
                <w:sz w:val="17"/>
                <w:szCs w:val="17"/>
              </w:rPr>
              <w:t xml:space="preserve"> 2007</w:t>
            </w:r>
          </w:p>
        </w:tc>
        <w:tc>
          <w:tcPr>
            <w:tcW w:w="1248" w:type="dxa"/>
          </w:tcPr>
          <w:p>
            <w:pPr>
              <w:spacing w:before="20" w:after="20" w:line="240" w:lineRule="auto"/>
            </w:pPr>
            <w:hyperlink r:id="rId1058">
              <w:r>
                <w:rPr>
                  <w:rStyle w:val="Hyperlink"/>
                  <w:sz w:val="17"/>
                  <w:szCs w:val="17"/>
                </w:rPr>
                <w:t xml:space="preserve">doi:10.1080/01421590701210907</w:t>
              </w:r>
            </w:hyperlink>
          </w:p>
        </w:tc>
        <w:tc>
          <w:tcPr>
            <w:tcW w:w="4320" w:type="dxa"/>
          </w:tcPr>
          <w:p>
            <w:pPr>
              <w:spacing w:before="20" w:after="20" w:line="240" w:lineRule="auto"/>
            </w:pPr>
            <w:r>
              <w:rPr>
                <w:sz w:val="17"/>
                <w:szCs w:val="17"/>
              </w:rPr>
              <w:t xml:space="preserve">The standard reference on effective supervision — the supervisory relationship is the single most important variable in its effectiveness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&amp; Crosby. The good teacher is more than a lecturer — the twelve roles of the teacher: AMEE Guide No. 20. </w:t>
            </w:r>
            <w:r>
              <w:rPr>
                <w:i/>
                <w:sz w:val="17"/>
                <w:szCs w:val="17"/>
              </w:rPr>
              <w:t xml:space="preserve">Med Teach.</w:t>
            </w:r>
            <w:r>
              <w:rPr>
                <w:sz w:val="17"/>
                <w:szCs w:val="17"/>
              </w:rPr>
              <w:t xml:space="preserve"> 2000</w:t>
            </w:r>
          </w:p>
        </w:tc>
        <w:tc>
          <w:tcPr>
            <w:tcW w:w="1248" w:type="dxa"/>
          </w:tcPr>
          <w:p>
            <w:pPr>
              <w:spacing w:before="20" w:after="20" w:line="240" w:lineRule="auto"/>
            </w:pPr>
            <w:hyperlink r:id="rId1059">
              <w:r>
                <w:rPr>
                  <w:rStyle w:val="Hyperlink"/>
                  <w:sz w:val="17"/>
                  <w:szCs w:val="17"/>
                </w:rPr>
                <w:t xml:space="preserve">doi:10.1080/014215900409429</w:t>
              </w:r>
            </w:hyperlink>
          </w:p>
        </w:tc>
        <w:tc>
          <w:tcPr>
            <w:tcW w:w="4320" w:type="dxa"/>
          </w:tcPr>
          <w:p>
            <w:pPr>
              <w:spacing w:before="20" w:after="20" w:line="240" w:lineRule="auto"/>
            </w:pPr>
            <w:r>
              <w:rPr>
                <w:sz w:val="17"/>
                <w:szCs w:val="17"/>
              </w:rPr>
              <w:t xml:space="preserve">Maps the teacher's job beyond "lecturer" into twelve roles across six areas — a framework for defining and developing supervisor/teacher capabilities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Steinert et al. Faculty development to improve teaching: BEME Guide No. 8. </w:t>
            </w:r>
            <w:r>
              <w:rPr>
                <w:i/>
                <w:sz w:val="17"/>
                <w:szCs w:val="17"/>
              </w:rPr>
              <w:t xml:space="preserve">Med Teach.</w:t>
            </w:r>
            <w:r>
              <w:rPr>
                <w:sz w:val="17"/>
                <w:szCs w:val="17"/>
              </w:rPr>
              <w:t xml:space="preserve"> 2006</w:t>
            </w:r>
          </w:p>
        </w:tc>
        <w:tc>
          <w:tcPr>
            <w:tcW w:w="1248" w:type="dxa"/>
          </w:tcPr>
          <w:p>
            <w:pPr>
              <w:spacing w:before="20" w:after="20" w:line="240" w:lineRule="auto"/>
            </w:pPr>
            <w:hyperlink r:id="rId1060">
              <w:r>
                <w:rPr>
                  <w:rStyle w:val="Hyperlink"/>
                  <w:sz w:val="17"/>
                  <w:szCs w:val="17"/>
                </w:rPr>
                <w:t xml:space="preserve">doi:10.1080/01421590600902976</w:t>
              </w:r>
            </w:hyperlink>
          </w:p>
        </w:tc>
        <w:tc>
          <w:tcPr>
            <w:tcW w:w="4320" w:type="dxa"/>
          </w:tcPr>
          <w:p>
            <w:pPr>
              <w:spacing w:before="20" w:after="20" w:line="240" w:lineRule="auto"/>
            </w:pPr>
            <w:r>
              <w:rPr>
                <w:sz w:val="17"/>
                <w:szCs w:val="17"/>
              </w:rPr>
              <w:t xml:space="preserve">Systematic-review evidence that faculty-development initiatives improve teaching effectiveness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Steinert et al. Faculty development — 10-year update: BEME Guide No. 40. </w:t>
            </w:r>
            <w:r>
              <w:rPr>
                <w:i/>
                <w:sz w:val="17"/>
                <w:szCs w:val="17"/>
              </w:rPr>
              <w:t xml:space="preserve">Med Teach.</w:t>
            </w:r>
            <w:r>
              <w:rPr>
                <w:sz w:val="17"/>
                <w:szCs w:val="17"/>
              </w:rPr>
              <w:t xml:space="preserve"> 2016</w:t>
            </w:r>
          </w:p>
        </w:tc>
        <w:tc>
          <w:tcPr>
            <w:tcW w:w="1248" w:type="dxa"/>
          </w:tcPr>
          <w:p>
            <w:pPr>
              <w:spacing w:before="20" w:after="20" w:line="240" w:lineRule="auto"/>
            </w:pPr>
            <w:hyperlink r:id="rId1061">
              <w:r>
                <w:rPr>
                  <w:rStyle w:val="Hyperlink"/>
                  <w:sz w:val="17"/>
                  <w:szCs w:val="17"/>
                </w:rPr>
                <w:t xml:space="preserve">doi:10.1080/0142159X.2016.1181851</w:t>
              </w:r>
            </w:hyperlink>
          </w:p>
        </w:tc>
        <w:tc>
          <w:tcPr>
            <w:tcW w:w="4320" w:type="dxa"/>
          </w:tcPr>
          <w:p>
            <w:pPr>
              <w:spacing w:before="20" w:after="20" w:line="240" w:lineRule="auto"/>
            </w:pPr>
            <w:r>
              <w:rPr>
                <w:sz w:val="17"/>
                <w:szCs w:val="17"/>
              </w:rPr>
              <w:t xml:space="preserve">The ten-year update confirming and extending the evidence on what makes faculty development 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Dreyfus. The five-stage model of adult skill acquisition. </w:t>
            </w:r>
            <w:r>
              <w:rPr>
                <w:i/>
                <w:sz w:val="17"/>
                <w:szCs w:val="17"/>
              </w:rPr>
              <w:t xml:space="preserve">Bull Sci Technol Soc.</w:t>
            </w:r>
            <w:r>
              <w:rPr>
                <w:sz w:val="17"/>
                <w:szCs w:val="17"/>
              </w:rPr>
              <w:t xml:space="preserve"> 2004</w:t>
            </w:r>
          </w:p>
        </w:tc>
        <w:tc>
          <w:tcPr>
            <w:tcW w:w="1248" w:type="dxa"/>
          </w:tcPr>
          <w:p>
            <w:pPr>
              <w:spacing w:before="20" w:after="20" w:line="240" w:lineRule="auto"/>
            </w:pPr>
            <w:hyperlink r:id="rId1062">
              <w:r>
                <w:rPr>
                  <w:rStyle w:val="Hyperlink"/>
                  <w:sz w:val="17"/>
                  <w:szCs w:val="17"/>
                </w:rPr>
                <w:t xml:space="preserve">doi:10.1177/0270467604264992</w:t>
              </w:r>
            </w:hyperlink>
          </w:p>
        </w:tc>
        <w:tc>
          <w:tcPr>
            <w:tcW w:w="4320" w:type="dxa"/>
          </w:tcPr>
          <w:p>
            <w:pPr>
              <w:spacing w:before="20" w:after="20" w:line="240" w:lineRule="auto"/>
            </w:pPr>
            <w:r>
              <w:rPr>
                <w:sz w:val="17"/>
                <w:szCs w:val="17"/>
              </w:rPr>
              <w:t xml:space="preserve">The novice → advanced beginner → competent → proficient → expert progression — the shared language underpinning Milestones and entrustment levels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9. Professional Identity &amp; Reflective Practice</w:t>
      </w:r>
    </w:p>
    <w:p>
      <w:r>
        <w:t xml:space="preserve">The distinctively psychiatric strand: the clinician's </w:t>
      </w:r>
      <w:r>
        <w:rPr>
          <w:i/>
        </w:rPr>
        <w:t xml:space="preserve">self</w:t>
      </w:r>
      <w:r>
        <w:t xml:space="preserve"> is the instrument. Identity formation is therefore the core curriculum, not a soft adjunct. Cruess reframes training around </w:t>
      </w:r>
      <w:r>
        <w:rPr>
          <w:i/>
        </w:rPr>
        <w:t xml:space="preserve">becoming</w:t>
      </w:r>
      <w:r>
        <w:t xml:space="preserve"> a psychiatrist and adds an "is/identity" apex to Miller's pyramid. Schön's </w:t>
      </w:r>
      <w:r>
        <w:rPr>
          <w:i/>
        </w:rPr>
        <w:t xml:space="preserve">Educating the Reflective Practitioner</w:t>
      </w:r>
      <w:r>
        <w:t xml:space="preserve"> (1987) turns reflection into a theory of professional education that maps onto psychiatry's supervision model. Balint allows psychiatry to processpr the doctor–patient relationship.</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Cruess et al. Reframing medical education to support professional identity formation. </w:t>
            </w:r>
            <w:r>
              <w:rPr>
                <w:i/>
                <w:sz w:val="17"/>
                <w:szCs w:val="17"/>
              </w:rPr>
              <w:t xml:space="preserve">Acad Med.</w:t>
            </w:r>
            <w:r>
              <w:rPr>
                <w:sz w:val="17"/>
                <w:szCs w:val="17"/>
              </w:rPr>
              <w:t xml:space="preserve"> 2014</w:t>
            </w:r>
          </w:p>
        </w:tc>
        <w:tc>
          <w:tcPr>
            <w:tcW w:w="1248" w:type="dxa"/>
          </w:tcPr>
          <w:p>
            <w:pPr>
              <w:spacing w:before="20" w:after="20" w:line="240" w:lineRule="auto"/>
            </w:pPr>
            <w:hyperlink r:id="rId1063">
              <w:r>
                <w:rPr>
                  <w:rStyle w:val="Hyperlink"/>
                  <w:sz w:val="17"/>
                  <w:szCs w:val="17"/>
                </w:rPr>
                <w:t xml:space="preserve">doi:10.1097/ACM.0000000000000427</w:t>
              </w:r>
            </w:hyperlink>
          </w:p>
        </w:tc>
        <w:tc>
          <w:tcPr>
            <w:tcW w:w="4320" w:type="dxa"/>
          </w:tcPr>
          <w:p>
            <w:pPr>
              <w:spacing w:before="20" w:after="20" w:line="240" w:lineRule="auto"/>
            </w:pPr>
            <w:r>
              <w:rPr>
                <w:sz w:val="17"/>
                <w:szCs w:val="17"/>
              </w:rPr>
              <w:t xml:space="preserve">Reframes the goal from teaching professionalism-as-behaviour to supporting </w:t>
            </w:r>
            <w:r>
              <w:rPr>
                <w:i/>
                <w:sz w:val="17"/>
                <w:szCs w:val="17"/>
              </w:rPr>
              <w:t xml:space="preserve">professional identity formation</w:t>
            </w:r>
            <w:r>
              <w:rPr>
                <w:sz w:val="17"/>
                <w:szCs w:val="17"/>
              </w:rPr>
              <w:t xml:space="preserve"> — becoming a clinician; central to psychiatry's "use of self"</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Cruess, Steinert. Amending Miller's pyramid to include PIF. </w:t>
            </w:r>
            <w:r>
              <w:rPr>
                <w:i/>
                <w:sz w:val="17"/>
                <w:szCs w:val="17"/>
              </w:rPr>
              <w:t xml:space="preserve">Acad Med.</w:t>
            </w:r>
            <w:r>
              <w:rPr>
                <w:sz w:val="17"/>
                <w:szCs w:val="17"/>
              </w:rPr>
              <w:t xml:space="preserve"> 2016</w:t>
            </w:r>
          </w:p>
        </w:tc>
        <w:tc>
          <w:tcPr>
            <w:tcW w:w="1248" w:type="dxa"/>
          </w:tcPr>
          <w:p>
            <w:pPr>
              <w:spacing w:before="20" w:after="20" w:line="240" w:lineRule="auto"/>
            </w:pPr>
            <w:hyperlink r:id="rId1064">
              <w:r>
                <w:rPr>
                  <w:rStyle w:val="Hyperlink"/>
                  <w:sz w:val="17"/>
                  <w:szCs w:val="17"/>
                </w:rPr>
                <w:t xml:space="preserve">doi:10.1097/ACM.0000000000000913</w:t>
              </w:r>
            </w:hyperlink>
          </w:p>
        </w:tc>
        <w:tc>
          <w:tcPr>
            <w:tcW w:w="4320" w:type="dxa"/>
          </w:tcPr>
          <w:p>
            <w:pPr>
              <w:spacing w:before="20" w:after="20" w:line="240" w:lineRule="auto"/>
            </w:pPr>
            <w:r>
              <w:rPr>
                <w:sz w:val="17"/>
                <w:szCs w:val="17"/>
              </w:rPr>
              <w:t xml:space="preserve">Adds an "is/identity" apex above Miller's "does", licensing assessment of </w:t>
            </w:r>
            <w:r>
              <w:rPr>
                <w:i/>
                <w:sz w:val="17"/>
                <w:szCs w:val="17"/>
              </w:rPr>
              <w:t xml:space="preserve">who the trainee is becoming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The Reflective Practitioner.</w:t>
            </w:r>
            <w:r>
              <w:rPr>
                <w:sz w:val="17"/>
                <w:szCs w:val="17"/>
              </w:rPr>
              <w:t xml:space="preserve"> Basic Books; 1983</w:t>
            </w:r>
          </w:p>
        </w:tc>
        <w:tc>
          <w:tcPr>
            <w:tcW w:w="1248" w:type="dxa"/>
          </w:tcPr>
          <w:p>
            <w:pPr>
              <w:spacing w:before="20" w:after="20" w:line="240" w:lineRule="auto"/>
            </w:pPr>
            <w:r>
              <w:rPr>
                <w:sz w:val="17"/>
                <w:szCs w:val="17"/>
              </w:rPr>
              <w:t xml:space="preserve">ISBN 978-0465068784</w:t>
            </w:r>
          </w:p>
        </w:tc>
        <w:tc>
          <w:tcPr>
            <w:tcW w:w="4320" w:type="dxa"/>
          </w:tcPr>
          <w:p>
            <w:pPr>
              <w:spacing w:before="20" w:after="20" w:line="240" w:lineRule="auto"/>
            </w:pPr>
            <w:r>
              <w:rPr>
                <w:sz w:val="17"/>
                <w:szCs w:val="17"/>
              </w:rPr>
              <w:t xml:space="preserve">Introduces reflection-in-action and reflection-on-action, and the "swampy lowlands" of messy real practice versus the "high ground" of technical rationality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Educating the Reflective Practitioner.</w:t>
            </w:r>
            <w:r>
              <w:rPr>
                <w:sz w:val="17"/>
                <w:szCs w:val="17"/>
              </w:rPr>
              <w:t xml:space="preserve"> Jossey-Bass; 1987</w:t>
            </w:r>
          </w:p>
        </w:tc>
        <w:tc>
          <w:tcPr>
            <w:tcW w:w="1248" w:type="dxa"/>
          </w:tcPr>
          <w:p>
            <w:pPr>
              <w:spacing w:before="20" w:after="20" w:line="240" w:lineRule="auto"/>
            </w:pPr>
            <w:r>
              <w:rPr>
                <w:sz w:val="17"/>
                <w:szCs w:val="17"/>
              </w:rPr>
              <w:t xml:space="preserve">ISBN 978-1555422202</w:t>
            </w:r>
          </w:p>
        </w:tc>
        <w:tc>
          <w:tcPr>
            <w:tcW w:w="4320" w:type="dxa"/>
          </w:tcPr>
          <w:p>
            <w:pPr>
              <w:spacing w:before="20" w:after="20" w:line="240" w:lineRule="auto"/>
            </w:pPr>
            <w:r>
              <w:rPr>
                <w:sz w:val="17"/>
                <w:szCs w:val="17"/>
              </w:rPr>
              <w:t xml:space="preserve">The sequel and the more useful text for design — turns reflection into a theory of professional education (the "reflective practicum")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Kolb. </w:t>
            </w:r>
            <w:r>
              <w:rPr>
                <w:i/>
                <w:sz w:val="17"/>
                <w:szCs w:val="17"/>
              </w:rPr>
              <w:t xml:space="preserve">Experiential Learning.</w:t>
            </w:r>
            <w:r>
              <w:rPr>
                <w:sz w:val="17"/>
                <w:szCs w:val="17"/>
              </w:rPr>
              <w:t xml:space="preserve"> 2nd ed; 2015 (1st ed. 1984)</w:t>
            </w:r>
          </w:p>
        </w:tc>
        <w:tc>
          <w:tcPr>
            <w:tcW w:w="1248" w:type="dxa"/>
          </w:tcPr>
          <w:p>
            <w:pPr>
              <w:spacing w:before="20" w:after="20" w:line="240" w:lineRule="auto"/>
            </w:pPr>
            <w:r>
              <w:rPr>
                <w:sz w:val="17"/>
                <w:szCs w:val="17"/>
              </w:rPr>
              <w:t xml:space="preserve">ISBN 978-0133892406</w:t>
            </w:r>
          </w:p>
        </w:tc>
        <w:tc>
          <w:tcPr>
            <w:tcW w:w="4320" w:type="dxa"/>
          </w:tcPr>
          <w:p>
            <w:pPr>
              <w:spacing w:before="20" w:after="20" w:line="240" w:lineRule="auto"/>
            </w:pPr>
            <w:r>
              <w:rPr>
                <w:sz w:val="17"/>
                <w:szCs w:val="17"/>
              </w:rPr>
              <w:t xml:space="preserve">The experiential learning cycle (experience → reflection → conceptualisation → experimentation) underpinning supervised practice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Mann, Gordon, MacLeod. Reflection and reflective practice: systematic review. </w:t>
            </w:r>
            <w:r>
              <w:rPr>
                <w:i/>
                <w:sz w:val="17"/>
                <w:szCs w:val="17"/>
              </w:rPr>
              <w:t xml:space="preserve">Adv Health Sci Educ.</w:t>
            </w:r>
            <w:r>
              <w:rPr>
                <w:sz w:val="17"/>
                <w:szCs w:val="17"/>
              </w:rPr>
              <w:t xml:space="preserve"> 2009</w:t>
            </w:r>
          </w:p>
        </w:tc>
        <w:tc>
          <w:tcPr>
            <w:tcW w:w="1248" w:type="dxa"/>
          </w:tcPr>
          <w:p>
            <w:pPr>
              <w:spacing w:before="20" w:after="20" w:line="240" w:lineRule="auto"/>
            </w:pPr>
            <w:hyperlink r:id="rId1065">
              <w:r>
                <w:rPr>
                  <w:rStyle w:val="Hyperlink"/>
                  <w:sz w:val="17"/>
                  <w:szCs w:val="17"/>
                </w:rPr>
                <w:t xml:space="preserve">doi:10.1007/s10459-007-9090-2</w:t>
              </w:r>
            </w:hyperlink>
          </w:p>
        </w:tc>
        <w:tc>
          <w:tcPr>
            <w:tcW w:w="4320" w:type="dxa"/>
          </w:tcPr>
          <w:p>
            <w:pPr>
              <w:spacing w:before="20" w:after="20" w:line="240" w:lineRule="auto"/>
            </w:pPr>
            <w:r>
              <w:rPr>
                <w:sz w:val="17"/>
                <w:szCs w:val="17"/>
              </w:rPr>
              <w:t xml:space="preserve">Systematic review: reflection can be taught and matters, but the evidence is uneven — so design reflective practice purposefully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Graham, Gask et al. Balint-style case discussion groups in psychiatric training. </w:t>
            </w:r>
            <w:r>
              <w:rPr>
                <w:i/>
                <w:sz w:val="17"/>
                <w:szCs w:val="17"/>
              </w:rPr>
              <w:t xml:space="preserve">Acad Psychiatry.</w:t>
            </w:r>
            <w:r>
              <w:rPr>
                <w:sz w:val="17"/>
                <w:szCs w:val="17"/>
              </w:rPr>
              <w:t xml:space="preserve"> 2009</w:t>
            </w:r>
          </w:p>
        </w:tc>
        <w:tc>
          <w:tcPr>
            <w:tcW w:w="1248" w:type="dxa"/>
          </w:tcPr>
          <w:p>
            <w:pPr>
              <w:spacing w:before="20" w:after="20" w:line="240" w:lineRule="auto"/>
            </w:pPr>
            <w:hyperlink r:id="rId1066">
              <w:r>
                <w:rPr>
                  <w:rStyle w:val="Hyperlink"/>
                  <w:sz w:val="17"/>
                  <w:szCs w:val="17"/>
                </w:rPr>
                <w:t xml:space="preserve">doi:10.1176/appi.ap.33.3.198</w:t>
              </w:r>
            </w:hyperlink>
          </w:p>
        </w:tc>
        <w:tc>
          <w:tcPr>
            <w:tcW w:w="4320" w:type="dxa"/>
          </w:tcPr>
          <w:p>
            <w:pPr>
              <w:spacing w:before="20" w:after="20" w:line="240" w:lineRule="auto"/>
            </w:pPr>
            <w:r>
              <w:rPr>
                <w:sz w:val="17"/>
                <w:szCs w:val="17"/>
              </w:rPr>
              <w:t xml:space="preserve">Psychiatry-specific evaluation of Balint groups for processing the doctor–patient relationship and countertransference.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10. Equity &amp; Cultural Safety</w:t>
      </w:r>
    </w:p>
    <w:p>
      <w:r>
        <w:t xml:space="preserve">The AMC's cultural-safety conditions influence this redesign, and the assessment literature gives the equity case real teeth. The OSCE carries documented differential-attainment risk (Woolf; Esmail &amp; Roberts; Patterson) — a concern for a College with many international medical graduates — which strengthens the case for the assessment shift </w:t>
      </w:r>
      <w:r>
        <w:rPr>
          <w:i/>
        </w:rPr>
        <w:t xml:space="preserve">and</w:t>
      </w:r>
      <w:r>
        <w:t xml:space="preserve"> demands that the new system build in safeguards: examiner calibration, bias-aware assessor training, and monitoring of differential attainment by IMG status / ethnicity / first language. Cultural safety also belongs in curriculum content, not just assessment (§11).</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Woolf, Potts, McManus. Ethnicity and academic performance in UK doctors/students: meta-analysis. </w:t>
            </w:r>
            <w:r>
              <w:rPr>
                <w:i/>
                <w:sz w:val="17"/>
                <w:szCs w:val="17"/>
              </w:rPr>
              <w:t xml:space="preserve">BMJ.</w:t>
            </w:r>
            <w:r>
              <w:rPr>
                <w:sz w:val="17"/>
                <w:szCs w:val="17"/>
              </w:rPr>
              <w:t xml:space="preserve"> 2011</w:t>
            </w:r>
          </w:p>
        </w:tc>
        <w:tc>
          <w:tcPr>
            <w:tcW w:w="1248" w:type="dxa"/>
          </w:tcPr>
          <w:p>
            <w:pPr>
              <w:spacing w:before="20" w:after="20" w:line="240" w:lineRule="auto"/>
            </w:pPr>
            <w:hyperlink r:id="rId1067">
              <w:r>
                <w:rPr>
                  <w:rStyle w:val="Hyperlink"/>
                  <w:sz w:val="17"/>
                  <w:szCs w:val="17"/>
                </w:rPr>
                <w:t xml:space="preserve">doi:10.1136/bmj.d901</w:t>
              </w:r>
            </w:hyperlink>
          </w:p>
        </w:tc>
        <w:tc>
          <w:tcPr>
            <w:tcW w:w="4320" w:type="dxa"/>
          </w:tcPr>
          <w:p>
            <w:pPr>
              <w:spacing w:before="20" w:after="20" w:line="240" w:lineRule="auto"/>
            </w:pPr>
            <w:r>
              <w:rPr>
                <w:sz w:val="17"/>
                <w:szCs w:val="17"/>
              </w:rPr>
              <w:t xml:space="preserve">Meta-analysis (23,742 candidates): consistent underperformance of non-white candidates (d≈0.42), comparable across machine-marked and examiner-based assessments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Esmail &amp; Roberts. Ethnic minority performance &amp; discrimination in the MRCGP. </w:t>
            </w:r>
            <w:r>
              <w:rPr>
                <w:i/>
                <w:sz w:val="17"/>
                <w:szCs w:val="17"/>
              </w:rPr>
              <w:t xml:space="preserve">BMJ.</w:t>
            </w:r>
            <w:r>
              <w:rPr>
                <w:sz w:val="17"/>
                <w:szCs w:val="17"/>
              </w:rPr>
              <w:t xml:space="preserve"> 2013</w:t>
            </w:r>
          </w:p>
        </w:tc>
        <w:tc>
          <w:tcPr>
            <w:tcW w:w="1248" w:type="dxa"/>
          </w:tcPr>
          <w:p>
            <w:pPr>
              <w:spacing w:before="20" w:after="20" w:line="240" w:lineRule="auto"/>
            </w:pPr>
            <w:hyperlink r:id="rId1068">
              <w:r>
                <w:rPr>
                  <w:rStyle w:val="Hyperlink"/>
                  <w:sz w:val="17"/>
                  <w:szCs w:val="17"/>
                </w:rPr>
                <w:t xml:space="preserve">doi:10.1136/bmj.f5662</w:t>
              </w:r>
            </w:hyperlink>
          </w:p>
        </w:tc>
        <w:tc>
          <w:tcPr>
            <w:tcW w:w="4320" w:type="dxa"/>
          </w:tcPr>
          <w:p>
            <w:pPr>
              <w:spacing w:before="20" w:after="20" w:line="240" w:lineRule="auto"/>
            </w:pPr>
            <w:r>
              <w:rPr>
                <w:sz w:val="17"/>
                <w:szCs w:val="17"/>
              </w:rPr>
              <w:t xml:space="preserve">The GMC-commissioned analysis behind the BAPIO judicial review: subjective examiner bias in the face-to-face clinical exam may contribute to higher failure among BME UK graduates and IMGs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Patterson et al. Unpacking the dark variance of differential attainment in overseas graduates. </w:t>
            </w:r>
            <w:r>
              <w:rPr>
                <w:i/>
                <w:sz w:val="17"/>
                <w:szCs w:val="17"/>
              </w:rPr>
              <w:t xml:space="preserve">Med Educ.</w:t>
            </w:r>
            <w:r>
              <w:rPr>
                <w:sz w:val="17"/>
                <w:szCs w:val="17"/>
              </w:rPr>
              <w:t xml:space="preserve"> 2018</w:t>
            </w:r>
          </w:p>
        </w:tc>
        <w:tc>
          <w:tcPr>
            <w:tcW w:w="1248" w:type="dxa"/>
          </w:tcPr>
          <w:p>
            <w:pPr>
              <w:spacing w:before="20" w:after="20" w:line="240" w:lineRule="auto"/>
            </w:pPr>
            <w:hyperlink r:id="rId1069">
              <w:r>
                <w:rPr>
                  <w:rStyle w:val="Hyperlink"/>
                  <w:sz w:val="17"/>
                  <w:szCs w:val="17"/>
                </w:rPr>
                <w:t xml:space="preserve">doi:10.1111/medu.13605</w:t>
              </w:r>
            </w:hyperlink>
          </w:p>
        </w:tc>
        <w:tc>
          <w:tcPr>
            <w:tcW w:w="4320" w:type="dxa"/>
          </w:tcPr>
          <w:p>
            <w:pPr>
              <w:spacing w:before="20" w:after="20" w:line="240" w:lineRule="auto"/>
            </w:pPr>
            <w:r>
              <w:rPr>
                <w:sz w:val="17"/>
                <w:szCs w:val="17"/>
              </w:rPr>
              <w:t xml:space="preserve">Differential attainment is multifactorial ("dark variance"), but exam design and acculturation interact to disadvantage international medical graduates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2023 — incl. cultural safety; Standard 5 </w:t>
            </w:r>
            <w:r>
              <w:rPr>
                <w:i/>
                <w:sz w:val="17"/>
                <w:szCs w:val="17"/>
              </w:rPr>
              <w:t xml:space="preserve">(cross-ref §1)</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accreditation standards' cultural-safety requirements — a key driver of the equity work in this section</w:t>
            </w:r>
          </w:p>
        </w:tc>
        <w:tc>
          <w:tcPr>
            <w:tcW w:w="1152" w:type="dxa"/>
          </w:tcPr>
          <w:p>
            <w:pPr>
              <w:spacing w:before="20" w:after="20" w:line="240" w:lineRule="auto"/>
            </w:pPr>
            <w:r>
              <w:rPr>
                <w:sz w:val="17"/>
                <w:szCs w:val="17"/>
              </w:rPr>
              <w:t xml:space="preserve">Regulatory/AMC</w:t>
            </w:r>
          </w:p>
        </w:tc>
      </w:tr>
    </w:tbl>
    <w:p/>
    <w:p>
      <w:pPr>
        <w:pBdr>
          <w:bottom w:val="single" w:sz="4" w:space="1" w:color="CCCCCC"/>
        </w:pBdr>
      </w:pPr>
    </w:p>
    <w:p>
      <w:pPr>
        <w:pStyle w:val="Heading1"/>
      </w:pPr>
      <w:r>
        <w:t xml:space="preserve">11. First Nations mental health — models of wellbeing, traditional practice &amp; cultural safety</w:t>
      </w:r>
    </w:p>
    <w:p>
      <w:r>
        <w:t xml:space="preserve">The AMC condition asks the </w:t>
      </w:r>
      <w:r>
        <w:rPr>
          <w:i/>
        </w:rPr>
        <w:t xml:space="preserve">curriculum</w:t>
      </w:r>
      <w:r>
        <w:t xml:space="preserve"> — not just the assessment — to embed cultural safety. That means teaching Indigenous </w:t>
      </w:r>
      <w:r>
        <w:rPr>
          <w:b/>
        </w:rPr>
        <w:t xml:space="preserve">models of wellbeing</w:t>
      </w:r>
      <w:r>
        <w:t xml:space="preserve">, which are holistic and collective rather than the individual biomedical construct, and engaging respectfully with </w:t>
      </w:r>
      <w:r>
        <w:rPr>
          <w:b/>
        </w:rPr>
        <w:t xml:space="preserve">traditional healing</w:t>
      </w:r>
      <w:r>
        <w:t xml:space="preserve">. The canonical Aboriginal and Torres Strait Islander frame is </w:t>
      </w:r>
      <w:r>
        <w:rPr>
          <w:b/>
        </w:rPr>
        <w:t xml:space="preserve">Social and Emotional Wellbeing (SEWB)</w:t>
      </w:r>
      <w:r>
        <w:t xml:space="preserve">; the canonical Māori frames are </w:t>
      </w:r>
      <w:r>
        <w:rPr>
          <w:b/>
        </w:rPr>
        <w:t xml:space="preserve">Te Whare Tapa Whā</w:t>
      </w:r>
      <w:r>
        <w:t xml:space="preserve"> and </w:t>
      </w:r>
      <w:r>
        <w:rPr>
          <w:b/>
        </w:rPr>
        <w:t xml:space="preserve">cultural safety / Kawa Whakaruruhau</w:t>
      </w:r>
      <w:r>
        <w:t xml:space="preserve"> (which is itself the origin of the term the AMC uses).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Dudgeon, Milroy &amp; Walker (eds). </w:t>
            </w:r>
            <w:r>
              <w:rPr>
                <w:i/>
                <w:sz w:val="17"/>
                <w:szCs w:val="17"/>
              </w:rPr>
              <w:t xml:space="preserve">Working Together: Aboriginal and Torres Strait Islander Mental Health and Wellbeing Principles and Practice.</w:t>
            </w:r>
            <w:r>
              <w:rPr>
                <w:sz w:val="17"/>
                <w:szCs w:val="17"/>
              </w:rPr>
              <w:t xml:space="preserve"> 2nd ed; 2014</w:t>
            </w:r>
          </w:p>
        </w:tc>
        <w:tc>
          <w:tcPr>
            <w:tcW w:w="1248" w:type="dxa"/>
          </w:tcPr>
          <w:p>
            <w:pPr>
              <w:spacing w:before="20" w:after="20" w:line="240" w:lineRule="auto"/>
            </w:pPr>
            <w:hyperlink r:id="rId1070">
              <w:r>
                <w:rPr>
                  <w:rStyle w:val="Hyperlink"/>
                  <w:sz w:val="17"/>
                  <w:szCs w:val="17"/>
                </w:rPr>
                <w:t xml:space="preserve">www.thekids.org.au/globalassets/media/documents/aboriginal-health/working-together-second-edition/working-together-aboriginal-and-wellbeing-2014.pdf</w:t>
              </w:r>
            </w:hyperlink>
            <w:r>
              <w:rPr>
                <w:sz w:val="17"/>
                <w:szCs w:val="17"/>
              </w:rPr>
              <w:t xml:space="preserve"> open access (Telethon Kids)</w:t>
            </w:r>
          </w:p>
        </w:tc>
        <w:tc>
          <w:tcPr>
            <w:tcW w:w="4320" w:type="dxa"/>
          </w:tcPr>
          <w:p>
            <w:pPr>
              <w:spacing w:before="20" w:after="20" w:line="240" w:lineRule="auto"/>
            </w:pPr>
            <w:r>
              <w:rPr>
                <w:sz w:val="17"/>
                <w:szCs w:val="17"/>
              </w:rPr>
              <w:t xml:space="preserve">The definitive edited reference text on Aboriginal and Torres Strait Islander mental health and wellbeing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Gee, Dudgeon, Schultz, Hart &amp; Kelly. Aboriginal and Torres Strait Islander social and emotional wellbeing. In </w:t>
            </w:r>
            <w:r>
              <w:rPr>
                <w:i/>
                <w:sz w:val="17"/>
                <w:szCs w:val="17"/>
              </w:rPr>
              <w:t xml:space="preserve">Working Together</w:t>
            </w:r>
            <w:r>
              <w:rPr>
                <w:sz w:val="17"/>
                <w:szCs w:val="17"/>
              </w:rPr>
              <w:t xml:space="preserve"> (Ch. 4, pp. 55–68); 2014</w:t>
            </w:r>
          </w:p>
        </w:tc>
        <w:tc>
          <w:tcPr>
            <w:tcW w:w="1248" w:type="dxa"/>
          </w:tcPr>
          <w:p>
            <w:pPr>
              <w:spacing w:before="20" w:after="20" w:line="240" w:lineRule="auto"/>
            </w:pPr>
            <w:hyperlink r:id="rId1071">
              <w:r>
                <w:rPr>
                  <w:rStyle w:val="Hyperlink"/>
                  <w:sz w:val="17"/>
                  <w:szCs w:val="17"/>
                </w:rPr>
                <w:t xml:space="preserve">www.thekids.org.au/globalassets/media/documents/aboriginal-health/working-together-second-edition/wt-part-1-chapt-4-final.pdf</w:t>
              </w:r>
            </w:hyperlink>
            <w:r>
              <w:rPr>
                <w:sz w:val="17"/>
                <w:szCs w:val="17"/>
              </w:rPr>
              <w:t xml:space="preserve"> open access</w:t>
            </w:r>
          </w:p>
        </w:tc>
        <w:tc>
          <w:tcPr>
            <w:tcW w:w="4320" w:type="dxa"/>
          </w:tcPr>
          <w:p>
            <w:pPr>
              <w:spacing w:before="20" w:after="20" w:line="240" w:lineRule="auto"/>
            </w:pPr>
            <w:r>
              <w:rPr>
                <w:sz w:val="17"/>
                <w:szCs w:val="17"/>
              </w:rPr>
              <w:t xml:space="preserve">The </w:t>
            </w:r>
            <w:r>
              <w:rPr>
                <w:b/>
                <w:sz w:val="17"/>
                <w:szCs w:val="17"/>
              </w:rPr>
              <w:t xml:space="preserve">SEWB model</w:t>
            </w:r>
            <w:r>
              <w:rPr>
                <w:sz w:val="17"/>
                <w:szCs w:val="17"/>
              </w:rPr>
              <w:t xml:space="preserve"> — wellbeing as connection to self, body, mind/emotions, family &amp; kinship, community, culture, </w:t>
            </w:r>
            <w:r>
              <w:rPr>
                <w:b/>
                <w:sz w:val="17"/>
                <w:szCs w:val="17"/>
              </w:rPr>
              <w:t xml:space="preserve">Country</w:t>
            </w:r>
            <w:r>
              <w:rPr>
                <w:sz w:val="17"/>
                <w:szCs w:val="17"/>
              </w:rPr>
              <w:t xml:space="preserve"> and spirituality; the core conceptual frame for Indigenous mental health</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Commonwealth of Australia. </w:t>
            </w:r>
            <w:r>
              <w:rPr>
                <w:i/>
                <w:sz w:val="17"/>
                <w:szCs w:val="17"/>
              </w:rPr>
              <w:t xml:space="preserve">National Strategic Framework for Aboriginal and Torres Strait Islander Peoples' Mental Health and SEWB 2017–2023</w:t>
            </w:r>
            <w:r>
              <w:rPr>
                <w:sz w:val="17"/>
                <w:szCs w:val="17"/>
              </w:rPr>
              <w:t xml:space="preserve">; 2017</w:t>
            </w:r>
          </w:p>
        </w:tc>
        <w:tc>
          <w:tcPr>
            <w:tcW w:w="1248" w:type="dxa"/>
          </w:tcPr>
          <w:p>
            <w:pPr>
              <w:spacing w:before="20" w:after="20" w:line="240" w:lineRule="auto"/>
            </w:pPr>
            <w:hyperlink r:id="rId1072">
              <w:r>
                <w:rPr>
                  <w:rStyle w:val="Hyperlink"/>
                  <w:sz w:val="17"/>
                  <w:szCs w:val="17"/>
                </w:rPr>
                <w:t xml:space="preserve">www.niaa.gov.au</w:t>
              </w:r>
            </w:hyperlink>
          </w:p>
        </w:tc>
        <w:tc>
          <w:tcPr>
            <w:tcW w:w="4320" w:type="dxa"/>
          </w:tcPr>
          <w:p>
            <w:pPr>
              <w:spacing w:before="20" w:after="20" w:line="240" w:lineRule="auto"/>
            </w:pPr>
            <w:r>
              <w:rPr>
                <w:sz w:val="17"/>
                <w:szCs w:val="17"/>
              </w:rPr>
              <w:t xml:space="preserve">The national policy framework (co-chairs Dudgeon &amp; Calma) the curriculum should align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Dudgeon &amp; Walker. Decolonising Australian psychology: discourses, strategies, and practice. </w:t>
            </w:r>
            <w:r>
              <w:rPr>
                <w:i/>
                <w:sz w:val="17"/>
                <w:szCs w:val="17"/>
              </w:rPr>
              <w:t xml:space="preserve">J Soc Polit Psychol.</w:t>
            </w:r>
            <w:r>
              <w:rPr>
                <w:sz w:val="17"/>
                <w:szCs w:val="17"/>
              </w:rPr>
              <w:t xml:space="preserve"> 2015;3(1):276–297</w:t>
            </w:r>
          </w:p>
        </w:tc>
        <w:tc>
          <w:tcPr>
            <w:tcW w:w="1248" w:type="dxa"/>
          </w:tcPr>
          <w:p>
            <w:pPr>
              <w:spacing w:before="20" w:after="20" w:line="240" w:lineRule="auto"/>
            </w:pPr>
            <w:hyperlink r:id="rId1073">
              <w:r>
                <w:rPr>
                  <w:rStyle w:val="Hyperlink"/>
                  <w:sz w:val="17"/>
                  <w:szCs w:val="17"/>
                </w:rPr>
                <w:t xml:space="preserve">doi:10.5964/jspp.v3i1.126</w:t>
              </w:r>
            </w:hyperlink>
          </w:p>
        </w:tc>
        <w:tc>
          <w:tcPr>
            <w:tcW w:w="4320" w:type="dxa"/>
          </w:tcPr>
          <w:p>
            <w:pPr>
              <w:spacing w:before="20" w:after="20" w:line="240" w:lineRule="auto"/>
            </w:pPr>
            <w:r>
              <w:rPr>
                <w:sz w:val="17"/>
                <w:szCs w:val="17"/>
              </w:rPr>
              <w:t xml:space="preserve">The decolonising-practice argument for Australian mental health (open access)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NPY Women's Council. </w:t>
            </w:r>
            <w:r>
              <w:rPr>
                <w:i/>
                <w:sz w:val="17"/>
                <w:szCs w:val="17"/>
              </w:rPr>
              <w:t xml:space="preserve">Traditional Healers of Central Australia: Ngangkari.</w:t>
            </w:r>
            <w:r>
              <w:rPr>
                <w:sz w:val="17"/>
                <w:szCs w:val="17"/>
              </w:rPr>
              <w:t xml:space="preserve"> Magabala Books; 2013</w:t>
            </w:r>
          </w:p>
        </w:tc>
        <w:tc>
          <w:tcPr>
            <w:tcW w:w="1248" w:type="dxa"/>
          </w:tcPr>
          <w:p>
            <w:pPr>
              <w:spacing w:before="20" w:after="20" w:line="240" w:lineRule="auto"/>
            </w:pPr>
            <w:r>
              <w:rPr>
                <w:sz w:val="17"/>
                <w:szCs w:val="17"/>
              </w:rPr>
              <w:t xml:space="preserve">ISBN 9781921248825</w:t>
            </w:r>
          </w:p>
        </w:tc>
        <w:tc>
          <w:tcPr>
            <w:tcW w:w="4320" w:type="dxa"/>
          </w:tcPr>
          <w:p>
            <w:pPr>
              <w:spacing w:before="20" w:after="20" w:line="240" w:lineRule="auto"/>
            </w:pPr>
            <w:r>
              <w:rPr>
                <w:sz w:val="17"/>
                <w:szCs w:val="17"/>
              </w:rPr>
              <w:t xml:space="preserve">Primary-source, ngangkari-authored account of Anangu (Western Desert) traditional healing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Janca &amp; Bullen. The Aboriginal concept of time and its mental health implications. </w:t>
            </w:r>
            <w:r>
              <w:rPr>
                <w:i/>
                <w:sz w:val="17"/>
                <w:szCs w:val="17"/>
              </w:rPr>
              <w:t xml:space="preserve">Australas Psychiatry.</w:t>
            </w:r>
            <w:r>
              <w:rPr>
                <w:sz w:val="17"/>
                <w:szCs w:val="17"/>
              </w:rPr>
              <w:t xml:space="preserve"> 2003;11(Suppl 1):S40–S44</w:t>
            </w:r>
          </w:p>
        </w:tc>
        <w:tc>
          <w:tcPr>
            <w:tcW w:w="1248" w:type="dxa"/>
          </w:tcPr>
          <w:p>
            <w:pPr>
              <w:spacing w:before="20" w:after="20" w:line="240" w:lineRule="auto"/>
            </w:pPr>
            <w:hyperlink r:id="rId1074">
              <w:r>
                <w:rPr>
                  <w:rStyle w:val="Hyperlink"/>
                  <w:sz w:val="17"/>
                  <w:szCs w:val="17"/>
                </w:rPr>
                <w:t xml:space="preserve">doi:10.1046/j.1038-5282.2003.02009.x</w:t>
              </w:r>
            </w:hyperlink>
          </w:p>
        </w:tc>
        <w:tc>
          <w:tcPr>
            <w:tcW w:w="4320" w:type="dxa"/>
          </w:tcPr>
          <w:p>
            <w:pPr>
              <w:spacing w:before="20" w:after="20" w:line="240" w:lineRule="auto"/>
            </w:pPr>
            <w:r>
              <w:rPr>
                <w:sz w:val="17"/>
                <w:szCs w:val="17"/>
              </w:rPr>
              <w:t xml:space="preserve">How a circular (vs linear) concept of time bears on culturally appropriate psychiatric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w:t>
            </w:r>
            <w:r>
              <w:rPr>
                <w:i/>
                <w:sz w:val="17"/>
                <w:szCs w:val="17"/>
              </w:rPr>
              <w:t xml:space="preserve">Whaiora: Māori Health Development.</w:t>
            </w:r>
            <w:r>
              <w:rPr>
                <w:sz w:val="17"/>
                <w:szCs w:val="17"/>
              </w:rPr>
              <w:t xml:space="preserve"> OUP; 1994 (2nd ed. 1998)</w:t>
            </w:r>
          </w:p>
        </w:tc>
        <w:tc>
          <w:tcPr>
            <w:tcW w:w="1248" w:type="dxa"/>
          </w:tcPr>
          <w:p>
            <w:pPr>
              <w:spacing w:before="20" w:after="20" w:line="240" w:lineRule="auto"/>
            </w:pPr>
            <w:r>
              <w:rPr>
                <w:sz w:val="17"/>
                <w:szCs w:val="17"/>
              </w:rPr>
              <w:t xml:space="preserve">ISBN 978-0195583175</w:t>
            </w:r>
          </w:p>
        </w:tc>
        <w:tc>
          <w:tcPr>
            <w:tcW w:w="4320" w:type="dxa"/>
          </w:tcPr>
          <w:p>
            <w:pPr>
              <w:spacing w:before="20" w:after="20" w:line="240" w:lineRule="auto"/>
            </w:pPr>
            <w:r>
              <w:rPr>
                <w:b/>
                <w:sz w:val="17"/>
                <w:szCs w:val="17"/>
              </w:rPr>
              <w:t xml:space="preserve">Te Whare Tapa Whā</w:t>
            </w:r>
            <w:r>
              <w:rPr>
                <w:sz w:val="17"/>
                <w:szCs w:val="17"/>
              </w:rPr>
              <w:t xml:space="preserve"> — the four-sided house: taha tinana (physical), taha hinengaro (mental/emotional), taha wairua (spiritual), taha whānau (family/social); the cornerstone Māori health model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Te Pae Mahutonga: a model for Māori health promotion. </w:t>
            </w:r>
            <w:r>
              <w:rPr>
                <w:i/>
                <w:sz w:val="17"/>
                <w:szCs w:val="17"/>
              </w:rPr>
              <w:t xml:space="preserve">Health Promotion Forum NZ Newsletter.</w:t>
            </w:r>
            <w:r>
              <w:rPr>
                <w:sz w:val="17"/>
                <w:szCs w:val="17"/>
              </w:rPr>
              <w:t xml:space="preserve"> 1999;49:2–5</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A Māori health-promotion model framed on the Southern Cross constellation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Ramsden. </w:t>
            </w:r>
            <w:r>
              <w:rPr>
                <w:i/>
                <w:sz w:val="17"/>
                <w:szCs w:val="17"/>
              </w:rPr>
              <w:t xml:space="preserve">Cultural Safety and Nursing Education in Aotearoa and Te Waipounamu.</w:t>
            </w:r>
            <w:r>
              <w:rPr>
                <w:sz w:val="17"/>
                <w:szCs w:val="17"/>
              </w:rPr>
              <w:t xml:space="preserve"> PhD thesis, VUW; 2002</w:t>
            </w:r>
          </w:p>
        </w:tc>
        <w:tc>
          <w:tcPr>
            <w:tcW w:w="1248" w:type="dxa"/>
          </w:tcPr>
          <w:p>
            <w:pPr>
              <w:spacing w:before="20" w:after="20" w:line="240" w:lineRule="auto"/>
            </w:pPr>
            <w:hyperlink r:id="rId1075">
              <w:r>
                <w:rPr>
                  <w:rStyle w:val="Hyperlink"/>
                  <w:sz w:val="17"/>
                  <w:szCs w:val="17"/>
                </w:rPr>
                <w:t xml:space="preserve">www.wgtn.ac.nz</w:t>
              </w:r>
            </w:hyperlink>
          </w:p>
        </w:tc>
        <w:tc>
          <w:tcPr>
            <w:tcW w:w="4320" w:type="dxa"/>
          </w:tcPr>
          <w:p>
            <w:pPr>
              <w:spacing w:before="20" w:after="20" w:line="240" w:lineRule="auto"/>
            </w:pPr>
            <w:r>
              <w:rPr>
                <w:sz w:val="17"/>
                <w:szCs w:val="17"/>
              </w:rPr>
              <w:t xml:space="preserve">Irihapeti Ramsden's foundational articulation of </w:t>
            </w:r>
            <w:r>
              <w:rPr>
                <w:b/>
                <w:sz w:val="17"/>
                <w:szCs w:val="17"/>
              </w:rPr>
              <w:t xml:space="preserve">cultural safety / Kawa Whakaruruhau</w:t>
            </w:r>
            <w:r>
              <w:rPr>
                <w:sz w:val="17"/>
                <w:szCs w:val="17"/>
              </w:rPr>
              <w:t xml:space="preserve"> — the origin of the concept the AMC condition derives from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Papps &amp; Ramsden. Cultural safety in nursing: the New Zealand experience. </w:t>
            </w:r>
            <w:r>
              <w:rPr>
                <w:i/>
                <w:sz w:val="17"/>
                <w:szCs w:val="17"/>
              </w:rPr>
              <w:t xml:space="preserve">Int J Qual Health Care.</w:t>
            </w:r>
            <w:r>
              <w:rPr>
                <w:sz w:val="17"/>
                <w:szCs w:val="17"/>
              </w:rPr>
              <w:t xml:space="preserve"> 1996;8(5):491–497</w:t>
            </w:r>
          </w:p>
        </w:tc>
        <w:tc>
          <w:tcPr>
            <w:tcW w:w="1248" w:type="dxa"/>
          </w:tcPr>
          <w:p>
            <w:pPr>
              <w:spacing w:before="20" w:after="20" w:line="240" w:lineRule="auto"/>
            </w:pPr>
            <w:hyperlink r:id="rId1076">
              <w:r>
                <w:rPr>
                  <w:rStyle w:val="Hyperlink"/>
                  <w:sz w:val="17"/>
                  <w:szCs w:val="17"/>
                </w:rPr>
                <w:t xml:space="preserve">doi:10.1093/intqhc/8.5.491</w:t>
              </w:r>
            </w:hyperlink>
          </w:p>
        </w:tc>
        <w:tc>
          <w:tcPr>
            <w:tcW w:w="4320" w:type="dxa"/>
          </w:tcPr>
          <w:p>
            <w:pPr>
              <w:spacing w:before="20" w:after="20" w:line="240" w:lineRule="auto"/>
            </w:pPr>
            <w:r>
              <w:rPr>
                <w:sz w:val="17"/>
                <w:szCs w:val="17"/>
              </w:rPr>
              <w:t xml:space="preserve">The peer-reviewed articulation of cultural safety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Government Inquiry into Mental Health and Addiction. </w:t>
            </w:r>
            <w:r>
              <w:rPr>
                <w:i/>
                <w:sz w:val="17"/>
                <w:szCs w:val="17"/>
              </w:rPr>
              <w:t xml:space="preserve">He Ara Oranga.</w:t>
            </w:r>
            <w:r>
              <w:rPr>
                <w:sz w:val="17"/>
                <w:szCs w:val="17"/>
              </w:rPr>
              <w:t xml:space="preserve"> NZ Government; 2018</w:t>
            </w:r>
          </w:p>
        </w:tc>
        <w:tc>
          <w:tcPr>
            <w:tcW w:w="1248" w:type="dxa"/>
          </w:tcPr>
          <w:p>
            <w:pPr>
              <w:spacing w:before="20" w:after="20" w:line="240" w:lineRule="auto"/>
            </w:pPr>
            <w:hyperlink r:id="rId1077">
              <w:r>
                <w:rPr>
                  <w:rStyle w:val="Hyperlink"/>
                  <w:sz w:val="17"/>
                  <w:szCs w:val="17"/>
                </w:rPr>
                <w:t xml:space="preserve">mentalhealth.inquiry.govt.nz</w:t>
              </w:r>
            </w:hyperlink>
          </w:p>
        </w:tc>
        <w:tc>
          <w:tcPr>
            <w:tcW w:w="4320" w:type="dxa"/>
          </w:tcPr>
          <w:p>
            <w:pPr>
              <w:spacing w:before="20" w:after="20" w:line="240" w:lineRule="auto"/>
            </w:pPr>
            <w:r>
              <w:rPr>
                <w:sz w:val="17"/>
                <w:szCs w:val="17"/>
              </w:rPr>
              <w:t xml:space="preserve">The landmark NZ inquiry (40 recommendations) centring equity and Māori mental health</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Rangihuna, Kopua &amp; Tipene-Leach. Mahi a Atua: a pathway forward for Māori mental health? </w:t>
            </w:r>
            <w:r>
              <w:rPr>
                <w:i/>
                <w:sz w:val="17"/>
                <w:szCs w:val="17"/>
              </w:rPr>
              <w:t xml:space="preserve">NZ Med J.</w:t>
            </w:r>
            <w:r>
              <w:rPr>
                <w:sz w:val="17"/>
                <w:szCs w:val="17"/>
              </w:rPr>
              <w:t xml:space="preserve"> 2018;131(1471):79–83</w:t>
            </w:r>
          </w:p>
        </w:tc>
        <w:tc>
          <w:tcPr>
            <w:tcW w:w="1248" w:type="dxa"/>
          </w:tcPr>
          <w:p>
            <w:pPr>
              <w:spacing w:before="20" w:after="20" w:line="240" w:lineRule="auto"/>
            </w:pPr>
            <w:r>
              <w:rPr>
                <w:sz w:val="17"/>
                <w:szCs w:val="17"/>
              </w:rPr>
              <w:t xml:space="preserve">https://nzmj.org.nz/media/pages/journal/vol-131-no-1471/mahi-a-atua-a-pathway-forward-for-maori-mental-health/2f88ad3102-1696474232/mahi-a-atua-a-pathway-forward-for-maori-mental-health.pdf</w:t>
            </w:r>
          </w:p>
        </w:tc>
        <w:tc>
          <w:tcPr>
            <w:tcW w:w="4320" w:type="dxa"/>
          </w:tcPr>
          <w:p>
            <w:pPr>
              <w:spacing w:before="20" w:after="20" w:line="240" w:lineRule="auto"/>
            </w:pPr>
            <w:r>
              <w:rPr>
                <w:sz w:val="17"/>
                <w:szCs w:val="17"/>
              </w:rPr>
              <w:t xml:space="preserve">A narratives-based (pūrākau) Māori approach to assessment and 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Ahuriri-Driscoll et al. </w:t>
            </w:r>
            <w:r>
              <w:rPr>
                <w:i/>
                <w:sz w:val="17"/>
                <w:szCs w:val="17"/>
              </w:rPr>
              <w:t xml:space="preserve">The Future of Rongoā Māori: Wellbeing and Sustainability.</w:t>
            </w:r>
            <w:r>
              <w:rPr>
                <w:sz w:val="17"/>
                <w:szCs w:val="17"/>
              </w:rPr>
              <w:t xml:space="preserve"> ESR / Ministry of Health; 2008</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Traditional Māori healing (rongoā) — a Ministry-commissioned report on wellbeing and sustainability and traditional healing practices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12. Program Evaluation</w:t>
      </w:r>
    </w:p>
    <w:p>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 xml:space="preserve">own</w:t>
      </w:r>
      <w:r>
        <w:t xml:space="preserve"> evidence rather than assertion. Van Melle's Core Components Framework (§1) doubles as the implementation-fidelity yardstick.</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Kirkpatrick &amp; Kirkpatrick. </w:t>
            </w:r>
            <w:r>
              <w:rPr>
                <w:i/>
                <w:sz w:val="17"/>
                <w:szCs w:val="17"/>
              </w:rPr>
              <w:t xml:space="preserve">Evaluating Training Programs: The Four Levels.</w:t>
            </w:r>
            <w:r>
              <w:rPr>
                <w:sz w:val="17"/>
                <w:szCs w:val="17"/>
              </w:rPr>
              <w:t xml:space="preserve"> 3rd ed; 2006</w:t>
            </w:r>
          </w:p>
        </w:tc>
        <w:tc>
          <w:tcPr>
            <w:tcW w:w="1248" w:type="dxa"/>
          </w:tcPr>
          <w:p>
            <w:pPr>
              <w:spacing w:before="20" w:after="20" w:line="240" w:lineRule="auto"/>
            </w:pPr>
            <w:r>
              <w:rPr>
                <w:sz w:val="17"/>
                <w:szCs w:val="17"/>
              </w:rPr>
              <w:t xml:space="preserve">ISBN 978-1576753484</w:t>
            </w:r>
          </w:p>
        </w:tc>
        <w:tc>
          <w:tcPr>
            <w:tcW w:w="4320" w:type="dxa"/>
          </w:tcPr>
          <w:p>
            <w:pPr>
              <w:spacing w:before="20" w:after="20" w:line="240" w:lineRule="auto"/>
            </w:pPr>
            <w:r>
              <w:rPr>
                <w:sz w:val="17"/>
                <w:szCs w:val="17"/>
              </w:rPr>
              <w:t xml:space="preserve">The four-level evaluation model (reaction → learning → behaviour → results) for judging whether a program works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Barr, Koppel, Reeves, Hammick, Freeth. </w:t>
            </w:r>
            <w:r>
              <w:rPr>
                <w:i/>
                <w:sz w:val="17"/>
                <w:szCs w:val="17"/>
              </w:rPr>
              <w:t xml:space="preserve">Effective Interprofessional Education</w:t>
            </w:r>
            <w:r>
              <w:rPr>
                <w:sz w:val="17"/>
                <w:szCs w:val="17"/>
              </w:rPr>
              <w:t xml:space="preserve"> (modified Kirkpatrick); 2005 / BEME Guide No. 9, </w:t>
            </w:r>
            <w:r>
              <w:rPr>
                <w:i/>
                <w:sz w:val="17"/>
                <w:szCs w:val="17"/>
              </w:rPr>
              <w:t xml:space="preserve">Med Teach.</w:t>
            </w:r>
            <w:r>
              <w:rPr>
                <w:sz w:val="17"/>
                <w:szCs w:val="17"/>
              </w:rPr>
              <w:t xml:space="preserve"> 2007</w:t>
            </w:r>
          </w:p>
        </w:tc>
        <w:tc>
          <w:tcPr>
            <w:tcW w:w="1248" w:type="dxa"/>
          </w:tcPr>
          <w:p>
            <w:pPr>
              <w:spacing w:before="20" w:after="20" w:line="240" w:lineRule="auto"/>
            </w:pPr>
            <w:hyperlink r:id="rId1078">
              <w:r>
                <w:rPr>
                  <w:rStyle w:val="Hyperlink"/>
                  <w:sz w:val="17"/>
                  <w:szCs w:val="17"/>
                </w:rPr>
                <w:t xml:space="preserve">doi:10.1080/01421590701682576</w:t>
              </w:r>
            </w:hyperlink>
          </w:p>
        </w:tc>
        <w:tc>
          <w:tcPr>
            <w:tcW w:w="4320" w:type="dxa"/>
          </w:tcPr>
          <w:p>
            <w:pPr>
              <w:spacing w:before="20" w:after="20" w:line="240" w:lineRule="auto"/>
            </w:pPr>
            <w:r>
              <w:rPr>
                <w:sz w:val="17"/>
                <w:szCs w:val="17"/>
              </w:rPr>
              <w:t xml:space="preserve">The medical/interprofessional-education adaptation of Kirkpatrick (splitting learning into 2a/2b and results into 4a/4b)</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Stufflebeam. The CIPP model for evaluation; 2000/2014</w:t>
            </w:r>
          </w:p>
        </w:tc>
        <w:tc>
          <w:tcPr>
            <w:tcW w:w="1248" w:type="dxa"/>
          </w:tcPr>
          <w:p>
            <w:pPr>
              <w:spacing w:before="20" w:after="20" w:line="240" w:lineRule="auto"/>
            </w:pPr>
            <w:r>
              <w:rPr>
                <w:sz w:val="17"/>
                <w:szCs w:val="17"/>
              </w:rPr>
              <w:t xml:space="preserve">ISBN 978-1462529230</w:t>
            </w:r>
          </w:p>
        </w:tc>
        <w:tc>
          <w:tcPr>
            <w:tcW w:w="4320" w:type="dxa"/>
          </w:tcPr>
          <w:p>
            <w:pPr>
              <w:spacing w:before="20" w:after="20" w:line="240" w:lineRule="auto"/>
            </w:pPr>
            <w:r>
              <w:rPr>
                <w:sz w:val="17"/>
                <w:szCs w:val="17"/>
              </w:rPr>
              <w:t xml:space="preserve">The Context-Input-Process-Product model — a decision-oriented approach suited to continuous program improvement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&amp; Beckman. Current concepts in validity and reliability for psychometric instruments. </w:t>
            </w:r>
            <w:r>
              <w:rPr>
                <w:i/>
                <w:sz w:val="17"/>
                <w:szCs w:val="17"/>
              </w:rPr>
              <w:t xml:space="preserve">Am J Med.</w:t>
            </w:r>
            <w:r>
              <w:rPr>
                <w:sz w:val="17"/>
                <w:szCs w:val="17"/>
              </w:rPr>
              <w:t xml:space="preserve"> 2006</w:t>
            </w:r>
          </w:p>
        </w:tc>
        <w:tc>
          <w:tcPr>
            <w:tcW w:w="1248" w:type="dxa"/>
          </w:tcPr>
          <w:p>
            <w:pPr>
              <w:spacing w:before="20" w:after="20" w:line="240" w:lineRule="auto"/>
            </w:pPr>
            <w:hyperlink r:id="rId1079">
              <w:r>
                <w:rPr>
                  <w:rStyle w:val="Hyperlink"/>
                  <w:sz w:val="17"/>
                  <w:szCs w:val="17"/>
                </w:rPr>
                <w:t xml:space="preserve">doi:10.1016/j.amjmed.2005.10.036</w:t>
              </w:r>
            </w:hyperlink>
          </w:p>
        </w:tc>
        <w:tc>
          <w:tcPr>
            <w:tcW w:w="4320" w:type="dxa"/>
          </w:tcPr>
          <w:p>
            <w:pPr>
              <w:spacing w:before="20" w:after="20" w:line="240" w:lineRule="auto"/>
            </w:pPr>
            <w:r>
              <w:rPr>
                <w:sz w:val="17"/>
                <w:szCs w:val="17"/>
              </w:rPr>
              <w:t xml:space="preserve">The standard reference on validity and reliability for the assessment instruments the program itself uses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Van Melle et al. Core Components Framework </w:t>
            </w:r>
            <w:r>
              <w:rPr>
                <w:i/>
                <w:sz w:val="17"/>
                <w:szCs w:val="17"/>
              </w:rPr>
              <w:t xml:space="preserve">(cross-ref §1)</w:t>
            </w:r>
            <w:r>
              <w:rPr>
                <w:sz w:val="17"/>
                <w:szCs w:val="17"/>
              </w:rPr>
              <w:t xml:space="preserv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Doubles as the implementation-fidelity yardstick for evaluating the CBME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13. The Training-to-Practice Continuum (Transition to Practice &amp; Early-Career Consolidation)</w:t>
      </w:r>
    </w:p>
    <w:p>
      <w:r>
        <w:t xml:space="preserve">Fellowship marks </w:t>
      </w:r>
      <w:r>
        <w:rPr>
          <w:b/>
        </w:rPr>
        <w:t xml:space="preserve">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 xml:space="preserve">Competence by Design</w:t>
      </w:r>
      <w:r>
        <w:t xml:space="preserve">, whose four-stage continuum </w:t>
      </w:r>
      <w:r>
        <w:rPr>
          <w:i/>
        </w:rPr>
        <w:t xml:space="preserve">ends</w:t>
      </w:r>
      <w:r>
        <w:t xml:space="preserve"> in a designed </w:t>
      </w:r>
      <w:r>
        <w:rPr>
          <w:b/>
        </w:rPr>
        <w:t xml:space="preserve">"Transition to Practice"</w:t>
      </w:r>
      <w:r>
        <w:t xml:space="preserve"> stage. The transition literature (Westerman &amp; Teunissen; Kilminster) shows new consultants feel clinically prepared but underprepared for the </w:t>
      </w:r>
      <w:r>
        <w:rPr>
          <w:i/>
        </w:rPr>
        <w:t xml:space="preserve">non-clinical</w:t>
      </w:r>
      <w:r>
        <w:t xml:space="preserve"> demands of autonomy and are at real burnout risk; "preparedness is not enough." For psychiatry this is also identity-and-belonging work. </w:t>
      </w:r>
      <w:r>
        <w:rPr>
          <w:i/>
        </w:rPr>
        <w:t xml:space="preserve">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Karpinski, Sherbino, Snell, Hall et al. Competence By Design: a transformational national model of time-variable CBME.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80">
              <w:r>
                <w:rPr>
                  <w:rStyle w:val="Hyperlink"/>
                  <w:sz w:val="17"/>
                  <w:szCs w:val="17"/>
                </w:rPr>
                <w:t xml:space="preserve">doi:10.5334/pme.1096</w:t>
              </w:r>
            </w:hyperlink>
          </w:p>
        </w:tc>
        <w:tc>
          <w:tcPr>
            <w:tcW w:w="4320" w:type="dxa"/>
          </w:tcPr>
          <w:p>
            <w:pPr>
              <w:spacing w:before="20" w:after="20" w:line="240" w:lineRule="auto"/>
            </w:pPr>
            <w:r>
              <w:rPr>
                <w:sz w:val="17"/>
                <w:szCs w:val="17"/>
              </w:rPr>
              <w:t xml:space="preserve">Describes CBD's four-stage Competence Continuum — Transition to Discipline → Foundations → Core → </w:t>
            </w:r>
            <w:r>
              <w:rPr>
                <w:b/>
                <w:sz w:val="17"/>
                <w:szCs w:val="17"/>
              </w:rPr>
              <w:t xml:space="preserve">Transition to Practice</w:t>
            </w:r>
            <w:r>
              <w:rPr>
                <w:sz w:val="17"/>
                <w:szCs w:val="17"/>
              </w:rPr>
              <w:t xml:space="preserve"> — the clearest precedent for building post-competence consolidation into the architecture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Carraccio, Englander, Van Melle, ten Cate et al. Advancing CBME: A Charter for Clinician-Educators. </w:t>
            </w:r>
            <w:r>
              <w:rPr>
                <w:i/>
                <w:sz w:val="17"/>
                <w:szCs w:val="17"/>
              </w:rPr>
              <w:t xml:space="preserve">Acad Med.</w:t>
            </w:r>
            <w:r>
              <w:rPr>
                <w:sz w:val="17"/>
                <w:szCs w:val="17"/>
              </w:rPr>
              <w:t xml:space="preserve"> 2016</w:t>
            </w:r>
          </w:p>
        </w:tc>
        <w:tc>
          <w:tcPr>
            <w:tcW w:w="1248" w:type="dxa"/>
          </w:tcPr>
          <w:p>
            <w:pPr>
              <w:spacing w:before="20" w:after="20" w:line="240" w:lineRule="auto"/>
            </w:pPr>
            <w:hyperlink r:id="rId1081">
              <w:r>
                <w:rPr>
                  <w:rStyle w:val="Hyperlink"/>
                  <w:sz w:val="17"/>
                  <w:szCs w:val="17"/>
                </w:rPr>
                <w:t xml:space="preserve">doi:10.1097/ACM.0000000000001048</w:t>
              </w:r>
            </w:hyperlink>
          </w:p>
        </w:tc>
        <w:tc>
          <w:tcPr>
            <w:tcW w:w="4320" w:type="dxa"/>
          </w:tcPr>
          <w:p>
            <w:pPr>
              <w:spacing w:before="20" w:after="20" w:line="240" w:lineRule="auto"/>
            </w:pPr>
            <w:r>
              <w:rPr>
                <w:sz w:val="17"/>
                <w:szCs w:val="17"/>
              </w:rPr>
              <w:t xml:space="preserve">Frames physician formation as a </w:t>
            </w:r>
            <w:r>
              <w:rPr>
                <w:i/>
                <w:sz w:val="17"/>
                <w:szCs w:val="17"/>
              </w:rPr>
              <w:t xml:space="preserve">seamless continuum</w:t>
            </w:r>
            <w:r>
              <w:rPr>
                <w:sz w:val="17"/>
                <w:szCs w:val="17"/>
              </w:rPr>
              <w:t xml:space="preserve"> across education, training and practice — Fellowship is a node, not an endpoint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Thomson et al. Transition to practice curriculum… scoping review and national survey. </w:t>
            </w:r>
            <w:r>
              <w:rPr>
                <w:i/>
                <w:sz w:val="17"/>
                <w:szCs w:val="17"/>
              </w:rPr>
              <w:t xml:space="preserve">BMC Med Educ.</w:t>
            </w:r>
            <w:r>
              <w:rPr>
                <w:sz w:val="17"/>
                <w:szCs w:val="17"/>
              </w:rPr>
              <w:t xml:space="preserve"> 2022</w:t>
            </w:r>
          </w:p>
        </w:tc>
        <w:tc>
          <w:tcPr>
            <w:tcW w:w="1248" w:type="dxa"/>
          </w:tcPr>
          <w:p>
            <w:pPr>
              <w:spacing w:before="20" w:after="20" w:line="240" w:lineRule="auto"/>
            </w:pPr>
            <w:hyperlink r:id="rId1082">
              <w:r>
                <w:rPr>
                  <w:rStyle w:val="Hyperlink"/>
                  <w:sz w:val="17"/>
                  <w:szCs w:val="17"/>
                </w:rPr>
                <w:t xml:space="preserve">doi:10.1186/s12909-022-03673-4</w:t>
              </w:r>
            </w:hyperlink>
          </w:p>
        </w:tc>
        <w:tc>
          <w:tcPr>
            <w:tcW w:w="4320" w:type="dxa"/>
          </w:tcPr>
          <w:p>
            <w:pPr>
              <w:spacing w:before="20" w:after="20" w:line="240" w:lineRule="auto"/>
            </w:pPr>
            <w:r>
              <w:rPr>
                <w:sz w:val="17"/>
                <w:szCs w:val="17"/>
              </w:rPr>
              <w:t xml:space="preserve">Finds little evidence base for Transition-to-Practice-stage curricula and proposes core curricular topics for the stage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Westerman, Teunissen, van der Vleuten et al. Understanding the transition from resident to attending physician. </w:t>
            </w:r>
            <w:r>
              <w:rPr>
                <w:i/>
                <w:sz w:val="17"/>
                <w:szCs w:val="17"/>
              </w:rPr>
              <w:t xml:space="preserve">Acad Med.</w:t>
            </w:r>
            <w:r>
              <w:rPr>
                <w:sz w:val="17"/>
                <w:szCs w:val="17"/>
              </w:rPr>
              <w:t xml:space="preserve"> 2010</w:t>
            </w:r>
          </w:p>
        </w:tc>
        <w:tc>
          <w:tcPr>
            <w:tcW w:w="1248" w:type="dxa"/>
          </w:tcPr>
          <w:p>
            <w:pPr>
              <w:spacing w:before="20" w:after="20" w:line="240" w:lineRule="auto"/>
            </w:pPr>
            <w:hyperlink r:id="rId1083">
              <w:r>
                <w:rPr>
                  <w:rStyle w:val="Hyperlink"/>
                  <w:sz w:val="17"/>
                  <w:szCs w:val="17"/>
                </w:rPr>
                <w:t xml:space="preserve">doi:10.1097/ACM.0b013e3181fa2913</w:t>
              </w:r>
            </w:hyperlink>
          </w:p>
        </w:tc>
        <w:tc>
          <w:tcPr>
            <w:tcW w:w="4320" w:type="dxa"/>
          </w:tcPr>
          <w:p>
            <w:pPr>
              <w:spacing w:before="20" w:after="20" w:line="240" w:lineRule="auto"/>
            </w:pPr>
            <w:r>
              <w:rPr>
                <w:sz w:val="17"/>
                <w:szCs w:val="17"/>
              </w:rPr>
              <w:t xml:space="preserve">Qualitative study: new attendings feel clinically prepared but underprepared for non-clinical roles (supervision, assessment, management) — a real developmental gap after qualification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Teunissen &amp; Westerman. Opportunity or threat: the ambiguity of transitions in medical education. </w:t>
            </w:r>
            <w:r>
              <w:rPr>
                <w:i/>
                <w:sz w:val="17"/>
                <w:szCs w:val="17"/>
              </w:rPr>
              <w:t xml:space="preserve">Med Educ.</w:t>
            </w:r>
            <w:r>
              <w:rPr>
                <w:sz w:val="17"/>
                <w:szCs w:val="17"/>
              </w:rPr>
              <w:t xml:space="preserve"> 2011</w:t>
            </w:r>
          </w:p>
        </w:tc>
        <w:tc>
          <w:tcPr>
            <w:tcW w:w="1248" w:type="dxa"/>
          </w:tcPr>
          <w:p>
            <w:pPr>
              <w:spacing w:before="20" w:after="20" w:line="240" w:lineRule="auto"/>
            </w:pPr>
            <w:hyperlink r:id="rId1084">
              <w:r>
                <w:rPr>
                  <w:rStyle w:val="Hyperlink"/>
                  <w:sz w:val="17"/>
                  <w:szCs w:val="17"/>
                </w:rPr>
                <w:t xml:space="preserve">doi:10.1111/j.1365-2923.2010.03755.x</w:t>
              </w:r>
            </w:hyperlink>
          </w:p>
        </w:tc>
        <w:tc>
          <w:tcPr>
            <w:tcW w:w="4320" w:type="dxa"/>
          </w:tcPr>
          <w:p>
            <w:pPr>
              <w:spacing w:before="20" w:after="20" w:line="240" w:lineRule="auto"/>
            </w:pPr>
            <w:r>
              <w:rPr>
                <w:sz w:val="17"/>
                <w:szCs w:val="17"/>
              </w:rPr>
              <w:t xml:space="preserve">Transitions are double-edged — simultaneously developmental opportunities and sources of stress/risk; design to harness the opportunity and buffer the threat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Westerman, Teunissen, Fokkema et al. The transition to hospital consultant… (SEM). </w:t>
            </w:r>
            <w:r>
              <w:rPr>
                <w:i/>
                <w:sz w:val="17"/>
                <w:szCs w:val="17"/>
              </w:rPr>
              <w:t xml:space="preserve">Med Teach.</w:t>
            </w:r>
            <w:r>
              <w:rPr>
                <w:sz w:val="17"/>
                <w:szCs w:val="17"/>
              </w:rPr>
              <w:t xml:space="preserve"> 2013</w:t>
            </w:r>
          </w:p>
        </w:tc>
        <w:tc>
          <w:tcPr>
            <w:tcW w:w="1248" w:type="dxa"/>
          </w:tcPr>
          <w:p>
            <w:pPr>
              <w:spacing w:before="20" w:after="20" w:line="240" w:lineRule="auto"/>
            </w:pPr>
            <w:hyperlink r:id="rId1085">
              <w:r>
                <w:rPr>
                  <w:rStyle w:val="Hyperlink"/>
                  <w:sz w:val="17"/>
                  <w:szCs w:val="17"/>
                </w:rPr>
                <w:t xml:space="preserve">doi:10.3109/0142159X.2012.735381</w:t>
              </w:r>
            </w:hyperlink>
          </w:p>
        </w:tc>
        <w:tc>
          <w:tcPr>
            <w:tcW w:w="4320" w:type="dxa"/>
          </w:tcPr>
          <w:p>
            <w:pPr>
              <w:spacing w:before="20" w:after="20" w:line="240" w:lineRule="auto"/>
            </w:pPr>
            <w:r>
              <w:rPr>
                <w:sz w:val="17"/>
                <w:szCs w:val="17"/>
              </w:rPr>
              <w:t xml:space="preserve">Low preparedness and weak social support at the consultant transition predict burnout — argues for structured support across the boundary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Kilminster, Zukas, Quinton, Roberts. Preparedness is not enough: transitions as critically intensive learning periods. </w:t>
            </w:r>
            <w:r>
              <w:rPr>
                <w:i/>
                <w:sz w:val="17"/>
                <w:szCs w:val="17"/>
              </w:rPr>
              <w:t xml:space="preserve">Med Educ.</w:t>
            </w:r>
            <w:r>
              <w:rPr>
                <w:sz w:val="17"/>
                <w:szCs w:val="17"/>
              </w:rPr>
              <w:t xml:space="preserve"> 2011</w:t>
            </w:r>
          </w:p>
        </w:tc>
        <w:tc>
          <w:tcPr>
            <w:tcW w:w="1248" w:type="dxa"/>
          </w:tcPr>
          <w:p>
            <w:pPr>
              <w:spacing w:before="20" w:after="20" w:line="240" w:lineRule="auto"/>
            </w:pPr>
            <w:hyperlink r:id="rId1086">
              <w:r>
                <w:rPr>
                  <w:rStyle w:val="Hyperlink"/>
                  <w:sz w:val="17"/>
                  <w:szCs w:val="17"/>
                </w:rPr>
                <w:t xml:space="preserve">doi:10.1111/j.1365-2923.2011.04048.x</w:t>
              </w:r>
            </w:hyperlink>
          </w:p>
        </w:tc>
        <w:tc>
          <w:tcPr>
            <w:tcW w:w="4320" w:type="dxa"/>
          </w:tcPr>
          <w:p>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 xml:space="preserve">at</w:t>
            </w:r>
            <w:r>
              <w:rPr>
                <w:sz w:val="17"/>
                <w:szCs w:val="17"/>
              </w:rPr>
              <w:t xml:space="preserve"> the transition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Monrouxe et al. How prepared are UK medical graduates for practice? (rapid review). </w:t>
            </w:r>
            <w:r>
              <w:rPr>
                <w:i/>
                <w:sz w:val="17"/>
                <w:szCs w:val="17"/>
              </w:rPr>
              <w:t xml:space="preserve">BMJ Open</w:t>
            </w:r>
            <w:r>
              <w:rPr>
                <w:sz w:val="17"/>
                <w:szCs w:val="17"/>
              </w:rPr>
              <w:t xml:space="preserve"> 2017</w:t>
            </w:r>
          </w:p>
        </w:tc>
        <w:tc>
          <w:tcPr>
            <w:tcW w:w="1248" w:type="dxa"/>
          </w:tcPr>
          <w:p>
            <w:pPr>
              <w:spacing w:before="20" w:after="20" w:line="240" w:lineRule="auto"/>
            </w:pPr>
            <w:hyperlink r:id="rId1087">
              <w:r>
                <w:rPr>
                  <w:rStyle w:val="Hyperlink"/>
                  <w:sz w:val="17"/>
                  <w:szCs w:val="17"/>
                </w:rPr>
                <w:t xml:space="preserve">doi:10.1136/bmjopen-2016-013656</w:t>
              </w:r>
            </w:hyperlink>
          </w:p>
        </w:tc>
        <w:tc>
          <w:tcPr>
            <w:tcW w:w="4320" w:type="dxa"/>
          </w:tcPr>
          <w:p>
            <w:pPr>
              <w:spacing w:before="20" w:after="20" w:line="240" w:lineRule="auto"/>
            </w:pPr>
            <w:r>
              <w:rPr>
                <w:sz w:val="17"/>
                <w:szCs w:val="17"/>
              </w:rPr>
              <w:t xml:space="preserve">Graduates rate themselves more prepared than expert assessment shows, with persistent gaps — evidence that qualification ≠ readiness for the full demands of practice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Winderbaum et al. Mentoring programs for first-year doctors: a systematic review. </w:t>
            </w:r>
            <w:r>
              <w:rPr>
                <w:i/>
                <w:sz w:val="17"/>
                <w:szCs w:val="17"/>
              </w:rPr>
              <w:t xml:space="preserve">Med Educ.</w:t>
            </w:r>
            <w:r>
              <w:rPr>
                <w:sz w:val="17"/>
                <w:szCs w:val="17"/>
              </w:rPr>
              <w:t xml:space="preserve"> 2024</w:t>
            </w:r>
          </w:p>
        </w:tc>
        <w:tc>
          <w:tcPr>
            <w:tcW w:w="1248" w:type="dxa"/>
          </w:tcPr>
          <w:p>
            <w:pPr>
              <w:spacing w:before="20" w:after="20" w:line="240" w:lineRule="auto"/>
            </w:pPr>
            <w:hyperlink r:id="rId1088">
              <w:r>
                <w:rPr>
                  <w:rStyle w:val="Hyperlink"/>
                  <w:sz w:val="17"/>
                  <w:szCs w:val="17"/>
                </w:rPr>
                <w:t xml:space="preserve">doi:10.1111/medu.15299</w:t>
              </w:r>
            </w:hyperlink>
          </w:p>
        </w:tc>
        <w:tc>
          <w:tcPr>
            <w:tcW w:w="4320" w:type="dxa"/>
          </w:tcPr>
          <w:p>
            <w:pPr>
              <w:spacing w:before="20" w:after="20" w:line="240" w:lineRule="auto"/>
            </w:pPr>
            <w:r>
              <w:rPr>
                <w:sz w:val="17"/>
                <w:szCs w:val="17"/>
              </w:rPr>
              <w:t xml:space="preserve">Systematic review: formal/near-peer mentoring eases the training-to-practice transition and supports wellbeing and retention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Wilkie &amp; Raffaelli. In at the deep end: making the transition from SpR to consultant. </w:t>
            </w:r>
            <w:r>
              <w:rPr>
                <w:i/>
                <w:sz w:val="17"/>
                <w:szCs w:val="17"/>
              </w:rPr>
              <w:t xml:space="preserve">Adv Psychiatr Treat.</w:t>
            </w:r>
            <w:r>
              <w:rPr>
                <w:sz w:val="17"/>
                <w:szCs w:val="17"/>
              </w:rPr>
              <w:t xml:space="preserve"> 2005;11(2):107–114</w:t>
            </w:r>
          </w:p>
        </w:tc>
        <w:tc>
          <w:tcPr>
            <w:tcW w:w="1248" w:type="dxa"/>
          </w:tcPr>
          <w:p>
            <w:pPr>
              <w:spacing w:before="20" w:after="20" w:line="240" w:lineRule="auto"/>
            </w:pPr>
            <w:hyperlink r:id="rId1089">
              <w:r>
                <w:rPr>
                  <w:rStyle w:val="Hyperlink"/>
                  <w:sz w:val="17"/>
                  <w:szCs w:val="17"/>
                </w:rPr>
                <w:t xml:space="preserve">www.cambridge.org/core/journals/advances-in-psychiatric-treatment/article/in-at-the-deep-end-making-the-transition-from-spr-to-consultant/95F908BFC72747CF329A699388CE2DE8</w:t>
              </w:r>
            </w:hyperlink>
          </w:p>
        </w:tc>
        <w:tc>
          <w:tcPr>
            <w:tcW w:w="4320" w:type="dxa"/>
          </w:tcPr>
          <w:p>
            <w:pPr>
              <w:spacing w:before="20" w:after="20" w:line="240" w:lineRule="auto"/>
            </w:pPr>
            <w:r>
              <w:rPr>
                <w:sz w:val="17"/>
                <w:szCs w:val="17"/>
              </w:rPr>
              <w:t xml:space="preserve">Psychiatry-specific practical account of the SpR→consultant transition and the value of peer-support/transition groups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Beezhold. The needs of new consultants. </w:t>
            </w:r>
            <w:r>
              <w:rPr>
                <w:i/>
                <w:sz w:val="17"/>
                <w:szCs w:val="17"/>
              </w:rPr>
              <w:t xml:space="preserve">Adv Psychiatr Treat.</w:t>
            </w:r>
            <w:r>
              <w:rPr>
                <w:sz w:val="17"/>
                <w:szCs w:val="17"/>
              </w:rPr>
              <w:t xml:space="preserve"> 2008;14(5):321–325</w:t>
            </w:r>
          </w:p>
        </w:tc>
        <w:tc>
          <w:tcPr>
            <w:tcW w:w="1248" w:type="dxa"/>
          </w:tcPr>
          <w:p>
            <w:pPr>
              <w:spacing w:before="20" w:after="20" w:line="240" w:lineRule="auto"/>
            </w:pPr>
            <w:hyperlink r:id="rId1090">
              <w:r>
                <w:rPr>
                  <w:rStyle w:val="Hyperlink"/>
                  <w:sz w:val="17"/>
                  <w:szCs w:val="17"/>
                </w:rPr>
                <w:t xml:space="preserve">www.cambridge.org/core/journals/advances-in-psychiatric-treatment/article/needs-of-new-consultants/90B8EBCEB0533C5FCBD75D726457F0EA</w:t>
              </w:r>
            </w:hyperlink>
          </w:p>
        </w:tc>
        <w:tc>
          <w:tcPr>
            <w:tcW w:w="4320" w:type="dxa"/>
          </w:tcPr>
          <w:p>
            <w:pPr>
              <w:spacing w:before="20" w:after="20" w:line="240" w:lineRule="auto"/>
            </w:pPr>
            <w:r>
              <w:rPr>
                <w:sz w:val="17"/>
                <w:szCs w:val="17"/>
              </w:rPr>
              <w:t xml:space="preserve">Argues specialist training under-prepares trainees for consultant life; identifies new-consultant needs and the supports (incl. mentoring) that meet them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Dreyfus (§4) · Ericsson (§4) · Cruess (§9) </w:t>
            </w:r>
            <w:r>
              <w:rPr>
                <w:i/>
                <w:sz w:val="17"/>
                <w:szCs w:val="17"/>
              </w:rPr>
              <w:t xml:space="preserve">(cross-ref)</w:t>
            </w:r>
          </w:p>
        </w:tc>
        <w:tc>
          <w:tcPr>
            <w:tcW w:w="1248" w:type="dxa"/>
          </w:tcPr>
          <w:p>
            <w:pPr>
              <w:spacing w:before="20" w:after="20" w:line="240" w:lineRule="auto"/>
            </w:pPr>
            <w:r>
              <w:rPr>
                <w:sz w:val="17"/>
                <w:szCs w:val="17"/>
              </w:rPr>
              <w:t xml:space="preserve">—</w:t>
            </w:r>
          </w:p>
        </w:tc>
        <w:tc>
          <w:tcPr>
            <w:tcW w:w="4320" w:type="dxa"/>
          </w:tcPr>
          <w:p>
            <w:pPr>
              <w:spacing w:before="20" w:after="20" w:line="240" w:lineRule="auto"/>
            </w:pPr>
            <w:r>
              <w:rPr>
                <w:sz w:val="17"/>
                <w:szCs w:val="17"/>
              </w:rPr>
              <w:t xml:space="preserve">The developmental spine: competence at qualification ≠ proficiency/expertise/identity-maturity, which accrue over the post-Fellowship years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14. Assessment Review Panels</w:t>
      </w:r>
    </w:p>
    <w:p>
      <w:r>
        <w:t xml:space="preserve">Assessment review panels — variously called clinical competency committees (CCCs) or progress committees, and in the RANZCP system the </w:t>
      </w:r>
      <w:r>
        <w:rPr>
          <w:b/>
        </w:rPr>
        <w:t xml:space="preserve">Portfolio Review Panel</w:t>
      </w:r>
      <w:r>
        <w:t xml:space="preserve"> and </w:t>
      </w:r>
      <w:r>
        <w:rPr>
          <w:b/>
        </w:rPr>
        <w:t xml:space="preserve">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 xml:space="preserve">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 xml:space="preserve">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 xml:space="preserve">J Grad Med Educ.</w:t>
            </w:r>
            <w:r>
              <w:rPr>
                <w:sz w:val="17"/>
                <w:szCs w:val="17"/>
              </w:rPr>
              <w:t xml:space="preserve"> 2016</w:t>
            </w:r>
          </w:p>
        </w:tc>
        <w:tc>
          <w:tcPr>
            <w:tcW w:w="1248" w:type="dxa"/>
          </w:tcPr>
          <w:p>
            <w:pPr>
              <w:spacing w:before="20" w:after="20" w:line="240" w:lineRule="auto"/>
            </w:pPr>
            <w:hyperlink r:id="rId1091">
              <w:r>
                <w:rPr>
                  <w:rStyle w:val="Hyperlink"/>
                  <w:sz w:val="17"/>
                  <w:szCs w:val="17"/>
                </w:rPr>
                <w:t xml:space="preserve">doi:10.4300/JGME-D-15-00144.1</w:t>
              </w:r>
            </w:hyperlink>
          </w:p>
        </w:tc>
        <w:tc>
          <w:tcPr>
            <w:tcW w:w="4320" w:type="dxa"/>
          </w:tcPr>
          <w:p>
            <w:pPr>
              <w:spacing w:before="20" w:after="20" w:line="240" w:lineRule="auto"/>
            </w:pPr>
            <w:r>
              <w:rPr>
                <w:sz w:val="17"/>
                <w:szCs w:val="17"/>
              </w:rPr>
              <w:t xml:space="preserve">The anchor narrative review: how review committees should make defensible group decisions from assessment data.</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Hauer et al. Reviewing residents' competence: a qualitative study of the role of clinical competency committees. </w:t>
            </w:r>
            <w:r>
              <w:rPr>
                <w:i/>
                <w:sz w:val="17"/>
                <w:szCs w:val="17"/>
              </w:rPr>
              <w:t xml:space="preserve">Acad Med.</w:t>
            </w:r>
            <w:r>
              <w:rPr>
                <w:sz w:val="17"/>
                <w:szCs w:val="17"/>
              </w:rPr>
              <w:t xml:space="preserve"> 2015</w:t>
            </w:r>
          </w:p>
        </w:tc>
        <w:tc>
          <w:tcPr>
            <w:tcW w:w="1248" w:type="dxa"/>
          </w:tcPr>
          <w:p>
            <w:pPr>
              <w:spacing w:before="20" w:after="20" w:line="240" w:lineRule="auto"/>
            </w:pPr>
            <w:hyperlink r:id="rId1092">
              <w:r>
                <w:rPr>
                  <w:rStyle w:val="Hyperlink"/>
                  <w:sz w:val="17"/>
                  <w:szCs w:val="17"/>
                </w:rPr>
                <w:t xml:space="preserve">doi:10.1097/ACM.0000000000000736</w:t>
              </w:r>
            </w:hyperlink>
          </w:p>
        </w:tc>
        <w:tc>
          <w:tcPr>
            <w:tcW w:w="4320" w:type="dxa"/>
          </w:tcPr>
          <w:p>
            <w:pPr>
              <w:spacing w:before="20" w:after="20" w:line="240" w:lineRule="auto"/>
            </w:pPr>
            <w:r>
              <w:rPr>
                <w:sz w:val="17"/>
                <w:szCs w:val="17"/>
              </w:rPr>
              <w:t xml:space="preserve">How competency committees actually work — synthesising evidence and managing incomplete data and member disagreement.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Pack et al. Some assembly required: tracing the interpretative work of clinical competency committees. </w:t>
            </w:r>
            <w:r>
              <w:rPr>
                <w:i/>
                <w:sz w:val="17"/>
                <w:szCs w:val="17"/>
              </w:rPr>
              <w:t xml:space="preserve">Med Educ.</w:t>
            </w:r>
            <w:r>
              <w:rPr>
                <w:sz w:val="17"/>
                <w:szCs w:val="17"/>
              </w:rPr>
              <w:t xml:space="preserve"> 2019</w:t>
            </w:r>
          </w:p>
        </w:tc>
        <w:tc>
          <w:tcPr>
            <w:tcW w:w="1248" w:type="dxa"/>
          </w:tcPr>
          <w:p>
            <w:pPr>
              <w:spacing w:before="20" w:after="20" w:line="240" w:lineRule="auto"/>
            </w:pPr>
            <w:hyperlink r:id="rId1093">
              <w:r>
                <w:rPr>
                  <w:rStyle w:val="Hyperlink"/>
                  <w:sz w:val="17"/>
                  <w:szCs w:val="17"/>
                </w:rPr>
                <w:t xml:space="preserve">doi:10.1111/medu.13884</w:t>
              </w:r>
            </w:hyperlink>
          </w:p>
        </w:tc>
        <w:tc>
          <w:tcPr>
            <w:tcW w:w="4320" w:type="dxa"/>
          </w:tcPr>
          <w:p>
            <w:pPr>
              <w:spacing w:before="20" w:after="20" w:line="240" w:lineRule="auto"/>
            </w:pPr>
            <w:r>
              <w:rPr>
                <w:sz w:val="17"/>
                <w:szCs w:val="17"/>
              </w:rPr>
              <w:t xml:space="preserve">Panels </w:t>
            </w:r>
            <w:r>
              <w:rPr>
                <w:i/>
                <w:sz w:val="17"/>
                <w:szCs w:val="17"/>
              </w:rPr>
              <w:t xml:space="preserve">construct</w:t>
            </w:r>
            <w:r>
              <w:rPr>
                <w:sz w:val="17"/>
                <w:szCs w:val="17"/>
              </w:rPr>
              <w:t xml:space="preserve"> performance from the evidence rather than simply reading it — interpretation is unavoidable, so design for it.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 xml:space="preserve">Med Teach.</w:t>
            </w:r>
            <w:r>
              <w:rPr>
                <w:sz w:val="17"/>
                <w:szCs w:val="17"/>
              </w:rPr>
              <w:t xml:space="preserve"> 2018</w:t>
            </w:r>
          </w:p>
        </w:tc>
        <w:tc>
          <w:tcPr>
            <w:tcW w:w="1248" w:type="dxa"/>
          </w:tcPr>
          <w:p>
            <w:pPr>
              <w:spacing w:before="20" w:after="20" w:line="240" w:lineRule="auto"/>
            </w:pPr>
            <w:hyperlink r:id="rId1094">
              <w:r>
                <w:rPr>
                  <w:rStyle w:val="Hyperlink"/>
                  <w:sz w:val="17"/>
                  <w:szCs w:val="17"/>
                </w:rPr>
                <w:t xml:space="preserve">doi:10.1080/0142159X.2018.1474191</w:t>
              </w:r>
            </w:hyperlink>
          </w:p>
        </w:tc>
        <w:tc>
          <w:tcPr>
            <w:tcW w:w="4320" w:type="dxa"/>
          </w:tcPr>
          <w:p>
            <w:pPr>
              <w:spacing w:before="20" w:after="20" w:line="240" w:lineRule="auto"/>
            </w:pPr>
            <w:r>
              <w:rPr>
                <w:sz w:val="17"/>
                <w:szCs w:val="17"/>
              </w:rPr>
              <w:t xml:space="preserve">Practical design guidance for running effective competency committees.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Regehr. The power of subjectivity in the assessment of medical trainees. </w:t>
            </w:r>
            <w:r>
              <w:rPr>
                <w:i/>
                <w:sz w:val="17"/>
                <w:szCs w:val="17"/>
              </w:rPr>
              <w:t xml:space="preserve">Acad Med.</w:t>
            </w:r>
            <w:r>
              <w:rPr>
                <w:sz w:val="17"/>
                <w:szCs w:val="17"/>
              </w:rPr>
              <w:t xml:space="preserve"> 2019</w:t>
            </w:r>
          </w:p>
        </w:tc>
        <w:tc>
          <w:tcPr>
            <w:tcW w:w="1248" w:type="dxa"/>
          </w:tcPr>
          <w:p>
            <w:pPr>
              <w:spacing w:before="20" w:after="20" w:line="240" w:lineRule="auto"/>
            </w:pPr>
            <w:hyperlink r:id="rId1095">
              <w:r>
                <w:rPr>
                  <w:rStyle w:val="Hyperlink"/>
                  <w:sz w:val="17"/>
                  <w:szCs w:val="17"/>
                </w:rPr>
                <w:t xml:space="preserve">doi:10.1097/ACM.0000000000002495</w:t>
              </w:r>
            </w:hyperlink>
          </w:p>
        </w:tc>
        <w:tc>
          <w:tcPr>
            <w:tcW w:w="4320" w:type="dxa"/>
          </w:tcPr>
          <w:p>
            <w:pPr>
              <w:spacing w:before="20" w:after="20" w:line="240" w:lineRule="auto"/>
            </w:pPr>
            <w:r>
              <w:rPr>
                <w:sz w:val="17"/>
                <w:szCs w:val="17"/>
              </w:rPr>
              <w:t xml:space="preserve">Why legitimate, well-supported group judgement is a strength of panel assessment, not a threat to rigour.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Valentine &amp; Schuwirth. Identifying the narrative used by educators in articulating judgement of performance. </w:t>
            </w:r>
            <w:r>
              <w:rPr>
                <w:i/>
                <w:sz w:val="17"/>
                <w:szCs w:val="17"/>
              </w:rPr>
              <w:t xml:space="preserve">Perspect Med Educ.</w:t>
            </w:r>
            <w:r>
              <w:rPr>
                <w:sz w:val="17"/>
                <w:szCs w:val="17"/>
              </w:rPr>
              <w:t xml:space="preserve"> 2019</w:t>
            </w:r>
          </w:p>
        </w:tc>
        <w:tc>
          <w:tcPr>
            <w:tcW w:w="1248" w:type="dxa"/>
          </w:tcPr>
          <w:p>
            <w:pPr>
              <w:spacing w:before="20" w:after="20" w:line="240" w:lineRule="auto"/>
            </w:pPr>
            <w:hyperlink r:id="rId1096">
              <w:r>
                <w:rPr>
                  <w:rStyle w:val="Hyperlink"/>
                  <w:sz w:val="17"/>
                  <w:szCs w:val="17"/>
                </w:rPr>
                <w:t xml:space="preserve">doi:10.1007/s40037-019-0500-y</w:t>
              </w:r>
            </w:hyperlink>
          </w:p>
        </w:tc>
        <w:tc>
          <w:tcPr>
            <w:tcW w:w="4320" w:type="dxa"/>
          </w:tcPr>
          <w:p>
            <w:pPr>
              <w:spacing w:before="20" w:after="20" w:line="240" w:lineRule="auto"/>
            </w:pPr>
            <w:r>
              <w:rPr>
                <w:sz w:val="17"/>
                <w:szCs w:val="17"/>
              </w:rPr>
              <w:t xml:space="preserve">The narrative basis of panel judgements — and how to make that reasoning explicit and defensible.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 xml:space="preserve">Med Educ.</w:t>
            </w:r>
            <w:r>
              <w:rPr>
                <w:sz w:val="17"/>
                <w:szCs w:val="17"/>
              </w:rPr>
              <w:t xml:space="preserve"> 2005</w:t>
            </w:r>
          </w:p>
        </w:tc>
        <w:tc>
          <w:tcPr>
            <w:tcW w:w="1248" w:type="dxa"/>
          </w:tcPr>
          <w:p>
            <w:pPr>
              <w:spacing w:before="20" w:after="20" w:line="240" w:lineRule="auto"/>
            </w:pPr>
            <w:hyperlink r:id="rId1097">
              <w:r>
                <w:rPr>
                  <w:rStyle w:val="Hyperlink"/>
                  <w:sz w:val="17"/>
                  <w:szCs w:val="17"/>
                </w:rPr>
                <w:t xml:space="preserve">doi:10.1111/j.1365-2929.2004.02059.x</w:t>
              </w:r>
            </w:hyperlink>
          </w:p>
        </w:tc>
        <w:tc>
          <w:tcPr>
            <w:tcW w:w="4320" w:type="dxa"/>
          </w:tcPr>
          <w:p>
            <w:pPr>
              <w:spacing w:before="20" w:after="20" w:line="240" w:lineRule="auto"/>
            </w:pPr>
            <w:r>
              <w:rPr>
                <w:sz w:val="17"/>
                <w:szCs w:val="17"/>
              </w:rPr>
              <w:t xml:space="preserve">How to make portfolio-panel decisions trustworthy without psychometric reliability — credibility, dependability and audit trails.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Zoanetti &amp; Pearce. The potential use of Bayesian Networks to support committee decisions in programmatic assessment. </w:t>
            </w:r>
            <w:r>
              <w:rPr>
                <w:i/>
                <w:sz w:val="17"/>
                <w:szCs w:val="17"/>
              </w:rPr>
              <w:t xml:space="preserve">Med Educ.</w:t>
            </w:r>
            <w:r>
              <w:rPr>
                <w:sz w:val="17"/>
                <w:szCs w:val="17"/>
              </w:rPr>
              <w:t xml:space="preserve"> 2021</w:t>
            </w:r>
          </w:p>
        </w:tc>
        <w:tc>
          <w:tcPr>
            <w:tcW w:w="1248" w:type="dxa"/>
          </w:tcPr>
          <w:p>
            <w:pPr>
              <w:spacing w:before="20" w:after="20" w:line="240" w:lineRule="auto"/>
            </w:pPr>
            <w:hyperlink r:id="rId1098">
              <w:r>
                <w:rPr>
                  <w:rStyle w:val="Hyperlink"/>
                  <w:sz w:val="17"/>
                  <w:szCs w:val="17"/>
                </w:rPr>
                <w:t xml:space="preserve">doi:10.1111/medu.14407</w:t>
              </w:r>
            </w:hyperlink>
          </w:p>
        </w:tc>
        <w:tc>
          <w:tcPr>
            <w:tcW w:w="4320" w:type="dxa"/>
          </w:tcPr>
          <w:p>
            <w:pPr>
              <w:spacing w:before="20" w:after="20" w:line="240" w:lineRule="auto"/>
            </w:pPr>
            <w:r>
              <w:rPr>
                <w:sz w:val="17"/>
                <w:szCs w:val="17"/>
              </w:rPr>
              <w:t xml:space="preserve">ACER authors: Bayesian methods can add consistency and a layer of defensibility to progression-committee decisions — directly RANZCP-relevant.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Portfolio Review Panel &amp; Portfolio Review Oversight Panel (PROP) — the competence-review decision tier</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College's existing firewalled review-panel mechanism (de-identified portfolios; two-person review plus a four-person oversight panel), described in the Schuwirth AAP review.</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AI use statement</w:t>
      </w:r>
    </w:p>
    <w:p>
      <w:r>
        <w:t xml:space="preserve">This document was prepared with the assistance of generative artificial intelligence (Anthropic's Claude). AI was used to identify, summarise and organise the medical-education and educational literature, to draft the section narratives and reference tables, and to format the document.</w:t>
      </w:r>
    </w:p>
    <w:p>
      <w:r>
        <w:t xml:space="preserve">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r>
        <w:t xml:space="preserve">The First Nations mental-health material (§11) must additionally be reviewed and led by Aboriginal and Torres Strait Islander and by Māori mental-health colleagues and knowledge-holders before use, as set out in the note within that section.</w:t>
      </w:r>
    </w:p>
    <w:p>
      <w:r>
        <w:rPr>
          <w:i/>
        </w:rPr>
        <w:t xml:space="preserve">Version 6.0 — prepared 17 June 2026. Responsible author/owner: Dr Anthony Llewellyn, Medical Education Specialist and Fellow. AI tool: Anthropic Claude (via Claude Code).</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120" w:line="259" w:lineRule="auto"/>
      </w:pPr>
    </w:pPrDefault>
  </w:docDefaults>
  <w:style w:type="paragraph" w:default="1" w:styleId="Normal">
    <w:name w:val="Normal"/>
  </w:style>
  <w:style w:type="paragraph" w:styleId="Title">
    <w:name w:val="Title"/>
    <w:basedOn w:val="Normal"/>
    <w:next w:val="Normal"/>
    <w:qFormat/>
    <w:pPr>
      <w:spacing w:after="200"/>
    </w:pPr>
    <w:rPr>
      <w:b/>
      <w:color w:val="5B2A86"/>
      <w:sz w:val="40"/>
      <w:szCs w:val="40"/>
    </w:rPr>
  </w:style>
  <w:style w:type="paragraph" w:styleId="Heading1">
    <w:name w:val="heading 1"/>
    <w:basedOn w:val="Normal"/>
    <w:next w:val="Normal"/>
    <w:qFormat/>
    <w:pPr>
      <w:keepNext/>
      <w:spacing w:before="240" w:after="80"/>
      <w:outlineLvl w:val="0"/>
    </w:pPr>
    <w:rPr>
      <w:b/>
      <w:color w:val="5B2A86"/>
      <w:sz w:val="28"/>
      <w:szCs w:val="28"/>
    </w:rPr>
  </w:style>
  <w:style w:type="paragraph" w:styleId="Heading2">
    <w:name w:val="heading 2"/>
    <w:basedOn w:val="Normal"/>
    <w:next w:val="Normal"/>
    <w:qFormat/>
    <w:pPr>
      <w:keepNext/>
      <w:spacing w:before="200" w:after="60"/>
      <w:outlineLvl w:val="1"/>
    </w:pPr>
    <w:rPr>
      <w:b/>
      <w:color w:val="5B2A86"/>
      <w:sz w:val="24"/>
      <w:szCs w:val="24"/>
    </w:rPr>
  </w:style>
  <w:style w:type="paragraph" w:styleId="Heading3">
    <w:name w:val="heading 3"/>
    <w:basedOn w:val="Normal"/>
    <w:next w:val="Normal"/>
    <w:qFormat/>
    <w:pPr>
      <w:keepNext/>
      <w:spacing w:before="160" w:after="40"/>
      <w:outlineLvl w:val="2"/>
    </w:pPr>
    <w:rPr>
      <w:b/>
      <w:color w:val="404040"/>
      <w:sz w:val="22"/>
      <w:szCs w:val="22"/>
    </w:rPr>
  </w:style>
  <w:style w:type="paragraph" w:styleId="Heading4">
    <w:name w:val="heading 4"/>
    <w:basedOn w:val="Normal"/>
    <w:next w:val="Normal"/>
    <w:qFormat/>
    <w:pPr>
      <w:keepNext/>
      <w:spacing w:before="120" w:after="40"/>
      <w:outlineLvl w:val="3"/>
    </w:pPr>
    <w:rPr>
      <w:b/>
      <w:color w:val="404040"/>
      <w:sz w:val="20"/>
      <w:szCs w:val="20"/>
    </w:rPr>
  </w:style>
  <w:style w:type="paragraph" w:styleId="Quote">
    <w:name w:val="Quote"/>
    <w:basedOn w:val="Normal"/>
    <w:qFormat/>
    <w:pPr>
      <w:ind w:left="288"/>
      <w:spacing w:before="60" w:after="60"/>
    </w:pPr>
    <w:rPr>
      <w:i/>
      <w:color w:val="59595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0" Type="http://schemas.openxmlformats.org/officeDocument/2006/relationships/hyperlink" Target="https://www.royalcollege.ca/en/standards-and-accreditation/canmeds/development-and-updates.html" TargetMode="External"/><Relationship Id="rId1001" Type="http://schemas.openxmlformats.org/officeDocument/2006/relationships/hyperlink" Target="https://doi.org/10.3109/0142159X.2010.501190" TargetMode="External"/><Relationship Id="rId1002" Type="http://schemas.openxmlformats.org/officeDocument/2006/relationships/hyperlink" Target="https://www.acgme.org/specialties/psychiatry/milestones/" TargetMode="External"/><Relationship Id="rId1003" Type="http://schemas.openxmlformats.org/officeDocument/2006/relationships/hyperlink" Target="https://doi.org/10.1111/medu.12839" TargetMode="External"/><Relationship Id="rId1004" Type="http://schemas.openxmlformats.org/officeDocument/2006/relationships/hyperlink" Target="https://doi.org/10.1097/ACM.0000000000002743" TargetMode="External"/><Relationship Id="rId1005" Type="http://schemas.openxmlformats.org/officeDocument/2006/relationships/hyperlink" Target="https://doi.org/10.1046/j.1365-2923.2004.01794.x" TargetMode="External"/><Relationship Id="rId1006" Type="http://schemas.openxmlformats.org/officeDocument/2006/relationships/hyperlink" Target="https://doi.org/10.1097/ACM.0b013e3181971f08" TargetMode="External"/><Relationship Id="rId1007" Type="http://schemas.openxmlformats.org/officeDocument/2006/relationships/hyperlink" Target="https://doi.org/10.4300/JGME-D-13-00445.1" TargetMode="External"/><Relationship Id="rId1008" Type="http://schemas.openxmlformats.org/officeDocument/2006/relationships/hyperlink" Target="https://www.ranzcp.org/pre-fellowship/about-the-training-program" TargetMode="External"/><Relationship Id="rId1009" Type="http://schemas.openxmlformats.org/officeDocument/2006/relationships/hyperlink" Target="https://www.ranzcp.org/college-committees/current-projects/revised-program-graduate-outcomes" TargetMode="External"/><Relationship Id="rId1010" Type="http://schemas.openxmlformats.org/officeDocument/2006/relationships/hyperlink" Target="https://www.amc.org.au/wp-content/uploads/2023/08/Standards-for-Assessment-and-Accreditation-of-Specialist-Medical-Programs-by-the-Australian-Medical-Council-2023-secured.pdf" TargetMode="External"/><Relationship Id="rId1011" Type="http://schemas.openxmlformats.org/officeDocument/2006/relationships/hyperlink" Target="https://www.ranzcp.org/getmedia/397638ad-1fdb-43f5-8ff6-870a22b1dbdd/2023-RANZCP-Report-secured.pdf" TargetMode="External"/><Relationship Id="rId1012" Type="http://schemas.openxmlformats.org/officeDocument/2006/relationships/hyperlink" Target="https://doi.org/10.1111/j.1365-2929.2005.02341.x" TargetMode="External"/><Relationship Id="rId1013" Type="http://schemas.openxmlformats.org/officeDocument/2006/relationships/hyperlink" Target="https://doi.org/10.3109/0142159X.2015.1060308" TargetMode="External"/><Relationship Id="rId1014" Type="http://schemas.openxmlformats.org/officeDocument/2006/relationships/hyperlink" Target="https://doi.org/10.1080/0142159X.2020.1838465" TargetMode="External"/><Relationship Id="rId1015" Type="http://schemas.openxmlformats.org/officeDocument/2006/relationships/hyperlink" Target="https://doi.org/10.1097/ACM.0b013e3182677805" TargetMode="External"/><Relationship Id="rId1016" Type="http://schemas.openxmlformats.org/officeDocument/2006/relationships/hyperlink" Target="https://doi.org/10.1007/s40596-020-01341-7" TargetMode="External"/><Relationship Id="rId1017" Type="http://schemas.openxmlformats.org/officeDocument/2006/relationships/hyperlink" Target="https://doi.org/10.1007/BF00138871" TargetMode="External"/><Relationship Id="rId1018" Type="http://schemas.openxmlformats.org/officeDocument/2006/relationships/hyperlink" Target="https://doi.org/10.1111/j.1365-2923.1984.tb01024.x" TargetMode="External"/><Relationship Id="rId1019" Type="http://schemas.openxmlformats.org/officeDocument/2006/relationships/hyperlink" Target="https://doi.org/10.1097/00001888-199908000-00011" TargetMode="External"/><Relationship Id="rId1020" Type="http://schemas.openxmlformats.org/officeDocument/2006/relationships/hyperlink" Target="https://doi.org/10.1037/0003-066X.55.1.68" TargetMode="External"/><Relationship Id="rId1021" Type="http://schemas.openxmlformats.org/officeDocument/2006/relationships/hyperlink" Target="https://doi.org/10.3109/0142159X.2011.595435" TargetMode="External"/><Relationship Id="rId1022" Type="http://schemas.openxmlformats.org/officeDocument/2006/relationships/hyperlink" Target="https://doi.org/10.1207/s15516709cog1202_4" TargetMode="External"/><Relationship Id="rId1023" Type="http://schemas.openxmlformats.org/officeDocument/2006/relationships/hyperlink" Target="https://doi.org/10.1177/1529100612453266" TargetMode="External"/><Relationship Id="rId1024" Type="http://schemas.openxmlformats.org/officeDocument/2006/relationships/hyperlink" Target="https://doi.org/10.1073/pnas.1319030111" TargetMode="External"/><Relationship Id="rId1025" Type="http://schemas.openxmlformats.org/officeDocument/2006/relationships/hyperlink" Target="https://onlinelibrary.wiley.com/doi/abs/10.1111/j.1553-2712.2008.00227.x" TargetMode="External"/><Relationship Id="rId1026" Type="http://schemas.openxmlformats.org/officeDocument/2006/relationships/hyperlink" Target="https://doi.org/10.1097/ACM.0b013e318217e119" TargetMode="External"/><Relationship Id="rId1027" Type="http://schemas.openxmlformats.org/officeDocument/2006/relationships/hyperlink" Target="https://doi.org/10.1111/j.1365-2929.2005.02094.x" TargetMode="External"/><Relationship Id="rId1028" Type="http://schemas.openxmlformats.org/officeDocument/2006/relationships/hyperlink" Target="https://doi.org/10.5334/pme.1110" TargetMode="External"/><Relationship Id="rId1029" Type="http://schemas.openxmlformats.org/officeDocument/2006/relationships/hyperlink" Target="https://doi.org/10.1097/00001888-199009000-00045" TargetMode="External"/><Relationship Id="rId1030" Type="http://schemas.openxmlformats.org/officeDocument/2006/relationships/hyperlink" Target="https://doi.org/10.1111/jedm.12000" TargetMode="External"/><Relationship Id="rId1031" Type="http://schemas.openxmlformats.org/officeDocument/2006/relationships/hyperlink" Target="https://doi.org/10.1111/medu.12678" TargetMode="External"/><Relationship Id="rId1032" Type="http://schemas.openxmlformats.org/officeDocument/2006/relationships/hyperlink" Target="https://pubmed.ncbi.nlm.nih.gov/10536636/" TargetMode="External"/><Relationship Id="rId1033" Type="http://schemas.openxmlformats.org/officeDocument/2006/relationships/hyperlink" Target="https://doi.org/10.1080/01421590310001002836" TargetMode="External"/><Relationship Id="rId1034" Type="http://schemas.openxmlformats.org/officeDocument/2006/relationships/hyperlink" Target="https://doi.org/10.3109/0142159X.2013.789134" TargetMode="External"/><Relationship Id="rId1035" Type="http://schemas.openxmlformats.org/officeDocument/2006/relationships/hyperlink" Target="https://doi.org/10.1080/0142159X.2024.2339413" TargetMode="External"/><Relationship Id="rId1036" Type="http://schemas.openxmlformats.org/officeDocument/2006/relationships/hyperlink" Target="https://doi.org/10.1186/s12909-021-03077-w" TargetMode="External"/><Relationship Id="rId1037" Type="http://schemas.openxmlformats.org/officeDocument/2006/relationships/hyperlink" Target="https://doi.org/10.1080/0142159X.2020.1830052" TargetMode="External"/><Relationship Id="rId1038" Type="http://schemas.openxmlformats.org/officeDocument/2006/relationships/hyperlink" Target="https://doi.org/10.1080/0142159X.2010.507716" TargetMode="External"/><Relationship Id="rId1039" Type="http://schemas.openxmlformats.org/officeDocument/2006/relationships/hyperlink" Target="https://doi.org/10.1177/10398562231202120" TargetMode="External"/><Relationship Id="rId1040" Type="http://schemas.openxmlformats.org/officeDocument/2006/relationships/hyperlink" Target="https://doi.org/10.1177/10398562241233995" TargetMode="External"/><Relationship Id="rId1041" Type="http://schemas.openxmlformats.org/officeDocument/2006/relationships/hyperlink" Target="https://doi.org/10.1111/medu.15708" TargetMode="External"/><Relationship Id="rId1042" Type="http://schemas.openxmlformats.org/officeDocument/2006/relationships/hyperlink" Target="https://doi.org/10.4300/JGME-D-22-00050.1" TargetMode="External"/><Relationship Id="rId1043" Type="http://schemas.openxmlformats.org/officeDocument/2006/relationships/hyperlink" Target="https://doi.org/10.1177/08465371211038963" TargetMode="External"/><Relationship Id="rId1044" Type="http://schemas.openxmlformats.org/officeDocument/2006/relationships/hyperlink" Target="https://doi.org/10.1097/ACM.0000000000005305" TargetMode="External"/><Relationship Id="rId1045" Type="http://schemas.openxmlformats.org/officeDocument/2006/relationships/hyperlink" Target="https://doi.org/10.1111/medu.14075" TargetMode="External"/><Relationship Id="rId1046" Type="http://schemas.openxmlformats.org/officeDocument/2006/relationships/hyperlink" Target="https://doi.org/10.1111/medu.14807" TargetMode="External"/><Relationship Id="rId1047" Type="http://schemas.openxmlformats.org/officeDocument/2006/relationships/hyperlink" Target="https://doi.org/10.1080/0142159X.2017.1315082" TargetMode="External"/><Relationship Id="rId1048" Type="http://schemas.openxmlformats.org/officeDocument/2006/relationships/hyperlink" Target="https://doi.org/10.1111/medu.14047" TargetMode="External"/><Relationship Id="rId1049" Type="http://schemas.openxmlformats.org/officeDocument/2006/relationships/hyperlink" Target="https://doi.org/10.4300/JGME-D-23-00204.1" TargetMode="External"/><Relationship Id="rId1050" Type="http://schemas.openxmlformats.org/officeDocument/2006/relationships/hyperlink" Target="https://doi.org/10.36834/cmej.72765" TargetMode="External"/><Relationship Id="rId1051" Type="http://schemas.openxmlformats.org/officeDocument/2006/relationships/hyperlink" Target="https://doi.org/10.36834/cmej.67958" TargetMode="External"/><Relationship Id="rId1052" Type="http://schemas.openxmlformats.org/officeDocument/2006/relationships/hyperlink" Target="https://doi.org/10.1111/medu.13232" TargetMode="External"/><Relationship Id="rId1053" Type="http://schemas.openxmlformats.org/officeDocument/2006/relationships/hyperlink" Target="https://doi.org/10.3109/0142159X.2011.558140" TargetMode="External"/><Relationship Id="rId1054" Type="http://schemas.openxmlformats.org/officeDocument/2006/relationships/hyperlink" Target="https://doi.org/10.1001/jama.1983.03340060055026" TargetMode="External"/><Relationship Id="rId1055" Type="http://schemas.openxmlformats.org/officeDocument/2006/relationships/hyperlink" Target="https://doi.org/10.3102/003465430298487" TargetMode="External"/><Relationship Id="rId1056" Type="http://schemas.openxmlformats.org/officeDocument/2006/relationships/hyperlink" Target="https://doi.org/10.1111/j.1365-2923.2007.02973.x" TargetMode="External"/><Relationship Id="rId1057" Type="http://schemas.openxmlformats.org/officeDocument/2006/relationships/hyperlink" Target="https://doi.org/10.1097/ACM.0000000000000809" TargetMode="External"/><Relationship Id="rId1058" Type="http://schemas.openxmlformats.org/officeDocument/2006/relationships/hyperlink" Target="https://doi.org/10.1080/01421590701210907" TargetMode="External"/><Relationship Id="rId1059" Type="http://schemas.openxmlformats.org/officeDocument/2006/relationships/hyperlink" Target="https://doi.org/10.1080/014215900409429" TargetMode="External"/><Relationship Id="rId1060" Type="http://schemas.openxmlformats.org/officeDocument/2006/relationships/hyperlink" Target="https://doi.org/10.1080/01421590600902976" TargetMode="External"/><Relationship Id="rId1061" Type="http://schemas.openxmlformats.org/officeDocument/2006/relationships/hyperlink" Target="https://doi.org/10.1080/0142159X.2016.1181851" TargetMode="External"/><Relationship Id="rId1062" Type="http://schemas.openxmlformats.org/officeDocument/2006/relationships/hyperlink" Target="https://doi.org/10.1177/0270467604264992" TargetMode="External"/><Relationship Id="rId1063" Type="http://schemas.openxmlformats.org/officeDocument/2006/relationships/hyperlink" Target="https://doi.org/10.1097/ACM.0000000000000427" TargetMode="External"/><Relationship Id="rId1064" Type="http://schemas.openxmlformats.org/officeDocument/2006/relationships/hyperlink" Target="https://doi.org/10.1097/ACM.0000000000000913" TargetMode="External"/><Relationship Id="rId1065" Type="http://schemas.openxmlformats.org/officeDocument/2006/relationships/hyperlink" Target="https://doi.org/10.1007/s10459-007-9090-2" TargetMode="External"/><Relationship Id="rId1066" Type="http://schemas.openxmlformats.org/officeDocument/2006/relationships/hyperlink" Target="https://doi.org/10.1176/appi.ap.33.3.198" TargetMode="External"/><Relationship Id="rId1067" Type="http://schemas.openxmlformats.org/officeDocument/2006/relationships/hyperlink" Target="https://doi.org/10.1136/bmj.d901" TargetMode="External"/><Relationship Id="rId1068" Type="http://schemas.openxmlformats.org/officeDocument/2006/relationships/hyperlink" Target="https://doi.org/10.1136/bmj.f5662" TargetMode="External"/><Relationship Id="rId1069" Type="http://schemas.openxmlformats.org/officeDocument/2006/relationships/hyperlink" Target="https://doi.org/10.1111/medu.13605" TargetMode="External"/><Relationship Id="rId1070" Type="http://schemas.openxmlformats.org/officeDocument/2006/relationships/hyperlink" Target="https://www.thekids.org.au/globalassets/media/documents/aboriginal-health/working-together-second-edition/working-together-aboriginal-and-wellbeing-2014.pdf" TargetMode="External"/><Relationship Id="rId1071" Type="http://schemas.openxmlformats.org/officeDocument/2006/relationships/hyperlink" Target="https://www.thekids.org.au/globalassets/media/documents/aboriginal-health/working-together-second-edition/wt-part-1-chapt-4-final.pdf" TargetMode="External"/><Relationship Id="rId1072" Type="http://schemas.openxmlformats.org/officeDocument/2006/relationships/hyperlink" Target="https://www.niaa.gov.au" TargetMode="External"/><Relationship Id="rId1073" Type="http://schemas.openxmlformats.org/officeDocument/2006/relationships/hyperlink" Target="https://doi.org/10.5964/jspp.v3i1.126" TargetMode="External"/><Relationship Id="rId1074" Type="http://schemas.openxmlformats.org/officeDocument/2006/relationships/hyperlink" Target="https://doi.org/10.1046/j.1038-5282.2003.02009.x" TargetMode="External"/><Relationship Id="rId1075" Type="http://schemas.openxmlformats.org/officeDocument/2006/relationships/hyperlink" Target="https://www.wgtn.ac.nz" TargetMode="External"/><Relationship Id="rId1076" Type="http://schemas.openxmlformats.org/officeDocument/2006/relationships/hyperlink" Target="https://doi.org/10.1093/intqhc/8.5.491" TargetMode="External"/><Relationship Id="rId1077" Type="http://schemas.openxmlformats.org/officeDocument/2006/relationships/hyperlink" Target="https://mentalhealth.inquiry.govt.nz" TargetMode="External"/><Relationship Id="rId1078" Type="http://schemas.openxmlformats.org/officeDocument/2006/relationships/hyperlink" Target="https://doi.org/10.1080/01421590701682576" TargetMode="External"/><Relationship Id="rId1079" Type="http://schemas.openxmlformats.org/officeDocument/2006/relationships/hyperlink" Target="https://doi.org/10.1016/j.amjmed.2005.10.036" TargetMode="External"/><Relationship Id="rId1080" Type="http://schemas.openxmlformats.org/officeDocument/2006/relationships/hyperlink" Target="https://doi.org/10.5334/pme.1096" TargetMode="External"/><Relationship Id="rId1081" Type="http://schemas.openxmlformats.org/officeDocument/2006/relationships/hyperlink" Target="https://doi.org/10.1097/ACM.0000000000001048" TargetMode="External"/><Relationship Id="rId1082" Type="http://schemas.openxmlformats.org/officeDocument/2006/relationships/hyperlink" Target="https://doi.org/10.1186/s12909-022-03673-4" TargetMode="External"/><Relationship Id="rId1083" Type="http://schemas.openxmlformats.org/officeDocument/2006/relationships/hyperlink" Target="https://doi.org/10.1097/ACM.0b013e3181fa2913" TargetMode="External"/><Relationship Id="rId1084" Type="http://schemas.openxmlformats.org/officeDocument/2006/relationships/hyperlink" Target="https://doi.org/10.1111/j.1365-2923.2010.03755.x" TargetMode="External"/><Relationship Id="rId1085" Type="http://schemas.openxmlformats.org/officeDocument/2006/relationships/hyperlink" Target="https://doi.org/10.3109/0142159X.2012.735381" TargetMode="External"/><Relationship Id="rId1086" Type="http://schemas.openxmlformats.org/officeDocument/2006/relationships/hyperlink" Target="https://doi.org/10.1111/j.1365-2923.2011.04048.x" TargetMode="External"/><Relationship Id="rId1087" Type="http://schemas.openxmlformats.org/officeDocument/2006/relationships/hyperlink" Target="https://doi.org/10.1136/bmjopen-2016-013656" TargetMode="External"/><Relationship Id="rId1088" Type="http://schemas.openxmlformats.org/officeDocument/2006/relationships/hyperlink" Target="https://doi.org/10.1111/medu.15299" TargetMode="External"/><Relationship Id="rId1089" Type="http://schemas.openxmlformats.org/officeDocument/2006/relationships/hyperlink" Target="https://www.cambridge.org/core/journals/advances-in-psychiatric-treatment/article/in-at-the-deep-end-making-the-transition-from-spr-to-consultant/95F908BFC72747CF329A699388CE2DE8" TargetMode="External"/><Relationship Id="rId1090" Type="http://schemas.openxmlformats.org/officeDocument/2006/relationships/hyperlink" Target="https://www.cambridge.org/core/journals/advances-in-psychiatric-treatment/article/needs-of-new-consultants/90B8EBCEB0533C5FCBD75D726457F0EA" TargetMode="External"/><Relationship Id="rId1091" Type="http://schemas.openxmlformats.org/officeDocument/2006/relationships/hyperlink" Target="https://doi.org/10.4300/JGME-D-15-00144.1" TargetMode="External"/><Relationship Id="rId1092" Type="http://schemas.openxmlformats.org/officeDocument/2006/relationships/hyperlink" Target="https://doi.org/10.1097/ACM.0000000000000736" TargetMode="External"/><Relationship Id="rId1093" Type="http://schemas.openxmlformats.org/officeDocument/2006/relationships/hyperlink" Target="https://doi.org/10.1111/medu.13884" TargetMode="External"/><Relationship Id="rId1094" Type="http://schemas.openxmlformats.org/officeDocument/2006/relationships/hyperlink" Target="https://doi.org/10.1080/0142159X.2018.1474191" TargetMode="External"/><Relationship Id="rId1095" Type="http://schemas.openxmlformats.org/officeDocument/2006/relationships/hyperlink" Target="https://doi.org/10.1097/ACM.0000000000002495" TargetMode="External"/><Relationship Id="rId1096" Type="http://schemas.openxmlformats.org/officeDocument/2006/relationships/hyperlink" Target="https://doi.org/10.1007/s40037-019-0500-y" TargetMode="External"/><Relationship Id="rId1097" Type="http://schemas.openxmlformats.org/officeDocument/2006/relationships/hyperlink" Target="https://doi.org/10.1111/j.1365-2929.2004.02059.x" TargetMode="External"/><Relationship Id="rId1098" Type="http://schemas.openxmlformats.org/officeDocument/2006/relationships/hyperlink" Target="https://doi.org/10.1111/medu.14407" TargetMode="External"/></Relationships>
</file>