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7.1 — 17 June 2026</w:t>
      </w:r>
    </w:p>
    <w:p>
      <w:r>
        <w:rPr>
          <w:i/>
        </w:rPr>
        <w:t xml:space="preserve">★ marks references newly added from the NFPT (Dean’s) literature review — flagged for your review.</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Jurd et al. Introducing a competency based Fellowship programme for psychiatry in Australia and New Zealand. </w:t>
            </w:r>
            <w:r>
              <w:rPr>
                <w:i/>
                <w:sz w:val="17"/>
                <w:szCs w:val="17"/>
              </w:rPr>
              <w:t xml:space="preserve">Australas Psychiatry.</w:t>
            </w:r>
            <w:r>
              <w:rPr>
                <w:sz w:val="17"/>
                <w:szCs w:val="17"/>
              </w:rPr>
              <w:t xml:space="preserve"> 2015;23(6):699–705</w:t>
            </w:r>
          </w:p>
        </w:tc>
        <w:tc>
          <w:tcPr>
            <w:tcW w:w="1248" w:type="dxa"/>
          </w:tcPr>
          <w:p>
            <w:pPr>
              <w:spacing w:before="20" w:after="20" w:line="240" w:lineRule="auto"/>
            </w:pPr>
            <w:hyperlink r:id="rId1012">
              <w:r>
                <w:rPr>
                  <w:rStyle w:val="Hyperlink"/>
                  <w:sz w:val="17"/>
                  <w:szCs w:val="17"/>
                </w:rPr>
                <w:t xml:space="preserve">doi:10.1177/1039856215600898</w:t>
              </w:r>
            </w:hyperlink>
          </w:p>
        </w:tc>
        <w:tc>
          <w:tcPr>
            <w:tcW w:w="4320" w:type="dxa"/>
          </w:tcPr>
          <w:p>
            <w:pPr>
              <w:spacing w:before="20" w:after="20" w:line="240" w:lineRule="auto"/>
            </w:pPr>
            <w:r>
              <w:rPr>
                <w:sz w:val="17"/>
                <w:szCs w:val="17"/>
              </w:rPr>
              <w:t xml:space="preserve">The foundational RANZCP paper introducing the competency-based Fellowship program — the local origin of the CBF/EPA model now being redesigned.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Alharbi. Evaluating competency-based medical education: a systematized review of current practices. </w:t>
            </w:r>
            <w:r>
              <w:rPr>
                <w:i/>
                <w:sz w:val="17"/>
                <w:szCs w:val="17"/>
              </w:rPr>
              <w:t xml:space="preserve">BMC Med Educ.</w:t>
            </w:r>
            <w:r>
              <w:rPr>
                <w:sz w:val="17"/>
                <w:szCs w:val="17"/>
              </w:rPr>
              <w:t xml:space="preserve"> 2024;24:612</w:t>
            </w:r>
          </w:p>
        </w:tc>
        <w:tc>
          <w:tcPr>
            <w:tcW w:w="1248" w:type="dxa"/>
          </w:tcPr>
          <w:p>
            <w:pPr>
              <w:spacing w:before="20" w:after="20" w:line="240" w:lineRule="auto"/>
            </w:pPr>
            <w:hyperlink r:id="rId1013">
              <w:r>
                <w:rPr>
                  <w:rStyle w:val="Hyperlink"/>
                  <w:sz w:val="17"/>
                  <w:szCs w:val="17"/>
                </w:rPr>
                <w:t xml:space="preserve">doi:10.1186/s12909-024-05609-6</w:t>
              </w:r>
            </w:hyperlink>
          </w:p>
        </w:tc>
        <w:tc>
          <w:tcPr>
            <w:tcW w:w="4320" w:type="dxa"/>
          </w:tcPr>
          <w:p>
            <w:pPr>
              <w:spacing w:before="20" w:after="20" w:line="240" w:lineRule="auto"/>
            </w:pPr>
            <w:r>
              <w:rPr>
                <w:sz w:val="17"/>
                <w:szCs w:val="17"/>
              </w:rPr>
              <w:t xml:space="preserve">A systematized review of how CBME is actually implemented internationally — a stocktake of current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4">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5">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6">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7">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8">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19">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20">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Snell, Ten Cate, Holmboe, Carraccio, Swing, et al. (International CBME Collaborators). Competency-based medical education: theory to practice. </w:t>
            </w:r>
            <w:r>
              <w:rPr>
                <w:i/>
                <w:sz w:val="17"/>
                <w:szCs w:val="17"/>
              </w:rPr>
              <w:t xml:space="preserve">Med Teach.</w:t>
            </w:r>
            <w:r>
              <w:rPr>
                <w:sz w:val="17"/>
                <w:szCs w:val="17"/>
              </w:rPr>
              <w:t xml:space="preserve"> 2010;32(8):638–645</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consensus definitional statement of CBME — outcomes-based, de-emphasising time, promoting learner-centredness — and a candid account of the theory-to-practice tensions (assessment, faculty development, systems) a program must resolve. The reference point for what "competency-based" actually commits the redesign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Schwartzstein et al. The Harvard Medical School Pathways Curriculum. </w:t>
            </w:r>
            <w:r>
              <w:rPr>
                <w:i/>
                <w:sz w:val="17"/>
                <w:szCs w:val="17"/>
              </w:rPr>
              <w:t xml:space="preserve">Acad Med.</w:t>
            </w:r>
            <w:r>
              <w:rPr>
                <w:sz w:val="17"/>
                <w:szCs w:val="17"/>
              </w:rPr>
              <w:t xml:space="preserve"> 2020;95(11):1687–1695</w:t>
            </w:r>
          </w:p>
        </w:tc>
        <w:tc>
          <w:tcPr>
            <w:tcW w:w="1248" w:type="dxa"/>
          </w:tcPr>
          <w:p>
            <w:pPr>
              <w:spacing w:before="20" w:after="20" w:line="240" w:lineRule="auto"/>
            </w:pPr>
            <w:hyperlink r:id="rId1021">
              <w:r>
                <w:rPr>
                  <w:rStyle w:val="Hyperlink"/>
                  <w:sz w:val="17"/>
                  <w:szCs w:val="17"/>
                </w:rPr>
                <w:t xml:space="preserve">doi:10.1097/ACM.0000000000003270</w:t>
              </w:r>
            </w:hyperlink>
          </w:p>
        </w:tc>
        <w:tc>
          <w:tcPr>
            <w:tcW w:w="4320" w:type="dxa"/>
          </w:tcPr>
          <w:p>
            <w:pPr>
              <w:spacing w:before="20" w:after="20" w:line="240" w:lineRule="auto"/>
            </w:pPr>
            <w:r>
              <w:rPr>
                <w:sz w:val="17"/>
                <w:szCs w:val="17"/>
              </w:rPr>
              <w:t xml:space="preserve">A worked example of redesigning a curriculum for contemporary learners — developmentally staged and integrated.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Ellaway, Wyatt, Kelly. Grim fairy tales of curriculum change in medical education. </w:t>
            </w:r>
            <w:r>
              <w:rPr>
                <w:i/>
                <w:sz w:val="17"/>
                <w:szCs w:val="17"/>
              </w:rPr>
              <w:t xml:space="preserve">Med Educ.</w:t>
            </w:r>
            <w:r>
              <w:rPr>
                <w:sz w:val="17"/>
                <w:szCs w:val="17"/>
              </w:rPr>
              <w:t xml:space="preserve"> 2026;60(1):25–27</w:t>
            </w:r>
          </w:p>
        </w:tc>
        <w:tc>
          <w:tcPr>
            <w:tcW w:w="1248" w:type="dxa"/>
          </w:tcPr>
          <w:p>
            <w:pPr>
              <w:spacing w:before="20" w:after="20" w:line="240" w:lineRule="auto"/>
            </w:pPr>
            <w:hyperlink r:id="rId1022">
              <w:r>
                <w:rPr>
                  <w:rStyle w:val="Hyperlink"/>
                  <w:sz w:val="17"/>
                  <w:szCs w:val="17"/>
                </w:rPr>
                <w:t xml:space="preserve">doi:10.1111/medu.15681</w:t>
              </w:r>
            </w:hyperlink>
          </w:p>
        </w:tc>
        <w:tc>
          <w:tcPr>
            <w:tcW w:w="4320" w:type="dxa"/>
          </w:tcPr>
          <w:p>
            <w:pPr>
              <w:spacing w:before="20" w:after="20" w:line="240" w:lineRule="auto"/>
            </w:pPr>
            <w:r>
              <w:rPr>
                <w:sz w:val="17"/>
                <w:szCs w:val="17"/>
              </w:rPr>
              <w:t xml:space="preserve">A cautionary reflection on how curriculum-change efforts founder — a standing warning on implementation risk.</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Mark, Poole, Agrawal. Integration of neuroscience into psychiatric training and practice. </w:t>
            </w:r>
            <w:r>
              <w:rPr>
                <w:i/>
                <w:sz w:val="17"/>
                <w:szCs w:val="17"/>
              </w:rPr>
              <w:t xml:space="preserve">BJPsych Bull.</w:t>
            </w:r>
            <w:r>
              <w:rPr>
                <w:sz w:val="17"/>
                <w:szCs w:val="17"/>
              </w:rPr>
              <w:t xml:space="preserve"> 2025;49(4):278–284</w:t>
            </w:r>
          </w:p>
        </w:tc>
        <w:tc>
          <w:tcPr>
            <w:tcW w:w="1248" w:type="dxa"/>
          </w:tcPr>
          <w:p>
            <w:pPr>
              <w:spacing w:before="20" w:after="20" w:line="240" w:lineRule="auto"/>
            </w:pPr>
            <w:hyperlink r:id="rId1023">
              <w:r>
                <w:rPr>
                  <w:rStyle w:val="Hyperlink"/>
                  <w:sz w:val="17"/>
                  <w:szCs w:val="17"/>
                </w:rPr>
                <w:t xml:space="preserve">doi:10.1192/bjb.2024.24</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Argues for embedding contemporary neuroscience in the psychiatry curriculum — a content-scope decision.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Kerr et al. Unpacking neuropsychiatry and behavioural neurology training: scoping review. </w:t>
            </w:r>
            <w:r>
              <w:rPr>
                <w:i/>
                <w:sz w:val="17"/>
                <w:szCs w:val="17"/>
              </w:rPr>
              <w:t xml:space="preserve">BJPsych Bull.</w:t>
            </w:r>
            <w:r>
              <w:rPr>
                <w:sz w:val="17"/>
                <w:szCs w:val="17"/>
              </w:rPr>
              <w:t xml:space="preserve"> 2025 </w:t>
            </w:r>
            <w:r>
              <w:rPr>
                <w:i/>
                <w:sz w:val="17"/>
                <w:szCs w:val="17"/>
              </w:rPr>
              <w:t xml:space="preserve">(online-first)</w:t>
            </w:r>
          </w:p>
        </w:tc>
        <w:tc>
          <w:tcPr>
            <w:tcW w:w="1248" w:type="dxa"/>
          </w:tcPr>
          <w:p>
            <w:pPr>
              <w:spacing w:before="20" w:after="20" w:line="240" w:lineRule="auto"/>
            </w:pPr>
            <w:hyperlink r:id="rId1024">
              <w:r>
                <w:rPr>
                  <w:rStyle w:val="Hyperlink"/>
                  <w:sz w:val="17"/>
                  <w:szCs w:val="17"/>
                </w:rPr>
                <w:t xml:space="preserve">doi:10.1192/bjb.2025.10184</w:t>
              </w:r>
            </w:hyperlink>
          </w:p>
        </w:tc>
        <w:tc>
          <w:tcPr>
            <w:tcW w:w="4320" w:type="dxa"/>
          </w:tcPr>
          <w:p>
            <w:pPr>
              <w:spacing w:before="20" w:after="20" w:line="240" w:lineRule="auto"/>
            </w:pPr>
            <w:r>
              <w:rPr>
                <w:sz w:val="17"/>
                <w:szCs w:val="17"/>
              </w:rPr>
              <w:t xml:space="preserve">Scoping review of neuropsychiatry syllabus components — a subspecialty content gap.</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Costello et al. A national survey of neuropsychiatry training experiences. </w:t>
            </w:r>
            <w:r>
              <w:rPr>
                <w:i/>
                <w:sz w:val="17"/>
                <w:szCs w:val="17"/>
              </w:rPr>
              <w:t xml:space="preserve">BJPsych Bull.</w:t>
            </w:r>
            <w:r>
              <w:rPr>
                <w:sz w:val="17"/>
                <w:szCs w:val="17"/>
              </w:rPr>
              <w:t xml:space="preserve"> 2025 </w:t>
            </w:r>
            <w:r>
              <w:rPr>
                <w:i/>
                <w:sz w:val="17"/>
                <w:szCs w:val="17"/>
              </w:rPr>
              <w:t xml:space="preserve">(online-first)</w:t>
            </w:r>
          </w:p>
        </w:tc>
        <w:tc>
          <w:tcPr>
            <w:tcW w:w="1248" w:type="dxa"/>
          </w:tcPr>
          <w:p>
            <w:pPr>
              <w:spacing w:before="20" w:after="20" w:line="240" w:lineRule="auto"/>
            </w:pPr>
            <w:hyperlink r:id="rId1025">
              <w:r>
                <w:rPr>
                  <w:rStyle w:val="Hyperlink"/>
                  <w:sz w:val="17"/>
                  <w:szCs w:val="17"/>
                </w:rPr>
                <w:t xml:space="preserve">doi:10.1192/bjb.2025.34</w:t>
              </w:r>
            </w:hyperlink>
          </w:p>
        </w:tc>
        <w:tc>
          <w:tcPr>
            <w:tcW w:w="4320" w:type="dxa"/>
          </w:tcPr>
          <w:p>
            <w:pPr>
              <w:spacing w:before="20" w:after="20" w:line="240" w:lineRule="auto"/>
            </w:pPr>
            <w:r>
              <w:rPr>
                <w:sz w:val="17"/>
                <w:szCs w:val="17"/>
              </w:rPr>
              <w:t xml:space="preserve">Survey evidence of neuropsychiatry training gaps.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Evans et al. 'See one, do one, teach one': leadership and management training in Australian medical curricula. </w:t>
            </w:r>
            <w:r>
              <w:rPr>
                <w:i/>
                <w:sz w:val="17"/>
                <w:szCs w:val="17"/>
              </w:rPr>
              <w:t xml:space="preserve">Australas Psychiatry.</w:t>
            </w:r>
            <w:r>
              <w:rPr>
                <w:sz w:val="17"/>
                <w:szCs w:val="17"/>
              </w:rPr>
              <w:t xml:space="preserve"> 2022;30(1):136</w:t>
            </w:r>
          </w:p>
        </w:tc>
        <w:tc>
          <w:tcPr>
            <w:tcW w:w="1248" w:type="dxa"/>
          </w:tcPr>
          <w:p>
            <w:pPr>
              <w:spacing w:before="20" w:after="20" w:line="240" w:lineRule="auto"/>
            </w:pPr>
            <w:hyperlink r:id="rId1026">
              <w:r>
                <w:rPr>
                  <w:rStyle w:val="Hyperlink"/>
                  <w:sz w:val="17"/>
                  <w:szCs w:val="17"/>
                </w:rPr>
                <w:t xml:space="preserve">doi:10.1177/10398562211029949</w:t>
              </w:r>
            </w:hyperlink>
          </w:p>
        </w:tc>
        <w:tc>
          <w:tcPr>
            <w:tcW w:w="4320" w:type="dxa"/>
          </w:tcPr>
          <w:p>
            <w:pPr>
              <w:spacing w:before="20" w:after="20" w:line="240" w:lineRule="auto"/>
            </w:pPr>
            <w:r>
              <w:rPr>
                <w:sz w:val="17"/>
                <w:szCs w:val="17"/>
              </w:rPr>
              <w:t xml:space="preserve">Argues leadership and management belong in the curriculum, not only clinical skills.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Till, Sen, Crimlisk. Psychiatric leadership development in postgraduate medical education and training. </w:t>
            </w:r>
            <w:r>
              <w:rPr>
                <w:i/>
                <w:sz w:val="17"/>
                <w:szCs w:val="17"/>
              </w:rPr>
              <w:t xml:space="preserve">BJPsych Bull.</w:t>
            </w:r>
            <w:r>
              <w:rPr>
                <w:sz w:val="17"/>
                <w:szCs w:val="17"/>
              </w:rPr>
              <w:t xml:space="preserve"> 2022;46(3):174–181</w:t>
            </w:r>
          </w:p>
        </w:tc>
        <w:tc>
          <w:tcPr>
            <w:tcW w:w="1248" w:type="dxa"/>
          </w:tcPr>
          <w:p>
            <w:pPr>
              <w:spacing w:before="20" w:after="20" w:line="240" w:lineRule="auto"/>
            </w:pPr>
            <w:hyperlink r:id="rId1027">
              <w:r>
                <w:rPr>
                  <w:rStyle w:val="Hyperlink"/>
                  <w:sz w:val="17"/>
                  <w:szCs w:val="17"/>
                </w:rPr>
                <w:t xml:space="preserve">doi:10.1192/bjb.2021.32</w:t>
              </w:r>
            </w:hyperlink>
          </w:p>
        </w:tc>
        <w:tc>
          <w:tcPr>
            <w:tcW w:w="4320" w:type="dxa"/>
          </w:tcPr>
          <w:p>
            <w:pPr>
              <w:spacing w:before="20" w:after="20" w:line="240" w:lineRule="auto"/>
            </w:pPr>
            <w:r>
              <w:rPr>
                <w:sz w:val="17"/>
                <w:szCs w:val="17"/>
              </w:rPr>
              <w:t xml:space="preserve">Psychiatry-specific leadership development across training.</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28">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9">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30">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31">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32">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33">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34">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35">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Blamey et al. Simulated virtual on-call training programme… out-of-hours psychiatry. </w:t>
            </w:r>
            <w:r>
              <w:rPr>
                <w:i/>
                <w:sz w:val="17"/>
                <w:szCs w:val="17"/>
              </w:rPr>
              <w:t xml:space="preserve">BJPsych Bull.</w:t>
            </w:r>
            <w:r>
              <w:rPr>
                <w:sz w:val="17"/>
                <w:szCs w:val="17"/>
              </w:rPr>
              <w:t xml:space="preserve"> 2023;47(5):287–295</w:t>
            </w:r>
          </w:p>
        </w:tc>
        <w:tc>
          <w:tcPr>
            <w:tcW w:w="1248" w:type="dxa"/>
          </w:tcPr>
          <w:p>
            <w:pPr>
              <w:spacing w:before="20" w:after="20" w:line="240" w:lineRule="auto"/>
            </w:pPr>
            <w:hyperlink r:id="rId1036">
              <w:r>
                <w:rPr>
                  <w:rStyle w:val="Hyperlink"/>
                  <w:sz w:val="17"/>
                  <w:szCs w:val="17"/>
                </w:rPr>
                <w:t xml:space="preserve">doi:10.1192/bjb.2022.40</w:t>
              </w:r>
            </w:hyperlink>
          </w:p>
        </w:tc>
        <w:tc>
          <w:tcPr>
            <w:tcW w:w="4320" w:type="dxa"/>
          </w:tcPr>
          <w:p>
            <w:pPr>
              <w:spacing w:before="20" w:after="20" w:line="240" w:lineRule="auto"/>
            </w:pPr>
            <w:r>
              <w:rPr>
                <w:sz w:val="17"/>
                <w:szCs w:val="17"/>
              </w:rPr>
              <w:t xml:space="preserve">Simulation improves junior doctors' confidence in psychiatry — evidence for simulation-based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Hewson, Foster, Sanderson. Socially distanced and online simulation training… psychiatry. </w:t>
            </w:r>
            <w:r>
              <w:rPr>
                <w:i/>
                <w:sz w:val="17"/>
                <w:szCs w:val="17"/>
              </w:rPr>
              <w:t xml:space="preserve">BJPsych Bull.</w:t>
            </w:r>
            <w:r>
              <w:rPr>
                <w:sz w:val="17"/>
                <w:szCs w:val="17"/>
              </w:rPr>
              <w:t xml:space="preserve"> 2023;47(4):235–241</w:t>
            </w:r>
          </w:p>
        </w:tc>
        <w:tc>
          <w:tcPr>
            <w:tcW w:w="1248" w:type="dxa"/>
          </w:tcPr>
          <w:p>
            <w:pPr>
              <w:spacing w:before="20" w:after="20" w:line="240" w:lineRule="auto"/>
            </w:pPr>
            <w:hyperlink r:id="rId1037">
              <w:r>
                <w:rPr>
                  <w:rStyle w:val="Hyperlink"/>
                  <w:sz w:val="17"/>
                  <w:szCs w:val="17"/>
                </w:rPr>
                <w:t xml:space="preserve">doi:10.1192/bjb.2022.18</w:t>
              </w:r>
            </w:hyperlink>
          </w:p>
        </w:tc>
        <w:tc>
          <w:tcPr>
            <w:tcW w:w="4320" w:type="dxa"/>
          </w:tcPr>
          <w:p>
            <w:pPr>
              <w:spacing w:before="20" w:after="20" w:line="240" w:lineRule="auto"/>
            </w:pPr>
            <w:r>
              <w:rPr>
                <w:sz w:val="17"/>
                <w:szCs w:val="17"/>
              </w:rPr>
              <w:t xml:space="preserve">Online/distanced simulation for psychiatry trainees — a delivery-mode option.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Gill et al. 'I, robot, can help you': generative AI in RANZCP psychiatry training. </w:t>
            </w:r>
            <w:r>
              <w:rPr>
                <w:i/>
                <w:sz w:val="17"/>
                <w:szCs w:val="17"/>
              </w:rPr>
              <w:t xml:space="preserve">Australas Psychiatry.</w:t>
            </w:r>
            <w:r>
              <w:rPr>
                <w:sz w:val="17"/>
                <w:szCs w:val="17"/>
              </w:rPr>
              <w:t xml:space="preserve"> 2025;33(4)</w:t>
            </w:r>
          </w:p>
        </w:tc>
        <w:tc>
          <w:tcPr>
            <w:tcW w:w="1248" w:type="dxa"/>
          </w:tcPr>
          <w:p>
            <w:pPr>
              <w:spacing w:before="20" w:after="20" w:line="240" w:lineRule="auto"/>
            </w:pPr>
            <w:hyperlink r:id="rId1038">
              <w:r>
                <w:rPr>
                  <w:rStyle w:val="Hyperlink"/>
                  <w:sz w:val="17"/>
                  <w:szCs w:val="17"/>
                </w:rPr>
                <w:t xml:space="preserve">doi:10.1177/10398562251344470</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RANZCP-specific survey of generative-AI applications in 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Gauld et al. AI-generated visualisations to improve teaching of psychiatric symptom characterisation. </w:t>
            </w:r>
            <w:r>
              <w:rPr>
                <w:i/>
                <w:sz w:val="17"/>
                <w:szCs w:val="17"/>
              </w:rPr>
              <w:t xml:space="preserve">Br J Psychiatry.</w:t>
            </w:r>
            <w:r>
              <w:rPr>
                <w:sz w:val="17"/>
                <w:szCs w:val="17"/>
              </w:rPr>
              <w:t xml:space="preserve"> 2025 </w:t>
            </w:r>
            <w:r>
              <w:rPr>
                <w:i/>
                <w:sz w:val="17"/>
                <w:szCs w:val="17"/>
              </w:rPr>
              <w:t xml:space="preserve">(online)</w:t>
            </w:r>
          </w:p>
        </w:tc>
        <w:tc>
          <w:tcPr>
            <w:tcW w:w="1248" w:type="dxa"/>
          </w:tcPr>
          <w:p>
            <w:pPr>
              <w:spacing w:before="20" w:after="20" w:line="240" w:lineRule="auto"/>
            </w:pPr>
            <w:hyperlink r:id="rId1039">
              <w:r>
                <w:rPr>
                  <w:rStyle w:val="Hyperlink"/>
                  <w:sz w:val="17"/>
                  <w:szCs w:val="17"/>
                </w:rPr>
                <w:t xml:space="preserve">doi:10.1192/bjp.2025.10464</w:t>
              </w:r>
            </w:hyperlink>
          </w:p>
        </w:tc>
        <w:tc>
          <w:tcPr>
            <w:tcW w:w="4320" w:type="dxa"/>
          </w:tcPr>
          <w:p>
            <w:pPr>
              <w:spacing w:before="20" w:after="20" w:line="240" w:lineRule="auto"/>
            </w:pPr>
            <w:r>
              <w:rPr>
                <w:sz w:val="17"/>
                <w:szCs w:val="17"/>
              </w:rPr>
              <w:t xml:space="preserve">An AI teaching tool for symptom characterisation.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40">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41">
              <w:r>
                <w:rPr>
                  <w:rStyle w:val="Hyperlink"/>
                  <w:sz w:val="17"/>
                  <w:szCs w:val="17"/>
                </w:rPr>
                <w:t xml:space="preserve">doi:10.5334/pme.1110</w:t>
              </w:r>
            </w:hyperlink>
            <w:r>
              <w:rPr>
                <w:sz w:val="17"/>
                <w:szCs w:val="17"/>
              </w:rPr>
              <w:t xml:space="preserve"> </w:t>
            </w:r>
            <w:r>
              <w:rPr>
                <w:i/>
                <w:sz w:val="17"/>
                <w:szCs w:val="17"/>
              </w:rPr>
              <w:t xml:space="preserve">(confirm authors)</w:t>
            </w:r>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42">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43">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44">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45">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46">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47">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48">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49">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50">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51">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52">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53">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van der Vleuten et al. A model for programmatic assessment fit for purpose. </w:t>
            </w:r>
            <w:r>
              <w:rPr>
                <w:i/>
                <w:sz w:val="17"/>
                <w:szCs w:val="17"/>
              </w:rPr>
              <w:t xml:space="preserve">Med Teach.</w:t>
            </w:r>
            <w:r>
              <w:rPr>
                <w:sz w:val="17"/>
                <w:szCs w:val="17"/>
              </w:rPr>
              <w:t xml:space="preserve"> 2012;34(3):205–214</w:t>
            </w:r>
          </w:p>
        </w:tc>
        <w:tc>
          <w:tcPr>
            <w:tcW w:w="1248" w:type="dxa"/>
          </w:tcPr>
          <w:p>
            <w:pPr>
              <w:spacing w:before="20" w:after="20" w:line="240" w:lineRule="auto"/>
            </w:pPr>
            <w:hyperlink r:id="rId1054">
              <w:r>
                <w:rPr>
                  <w:rStyle w:val="Hyperlink"/>
                  <w:sz w:val="17"/>
                  <w:szCs w:val="17"/>
                </w:rPr>
                <w:t xml:space="preserve">doi:10.3109/0142159X.2012.652239</w:t>
              </w:r>
            </w:hyperlink>
          </w:p>
        </w:tc>
        <w:tc>
          <w:tcPr>
            <w:tcW w:w="4320" w:type="dxa"/>
          </w:tcPr>
          <w:p>
            <w:pPr>
              <w:spacing w:before="20" w:after="20" w:line="240" w:lineRule="auto"/>
            </w:pPr>
            <w:r>
              <w:rPr>
                <w:sz w:val="17"/>
                <w:szCs w:val="17"/>
              </w:rPr>
              <w:t xml:space="preserve">The operational model of programmatic assessment (its guidelines) — the design template for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Schuwirth &amp; van der Vleuten. Programmatic assessment: from assessment of learning to assessment for learning. </w:t>
            </w:r>
            <w:r>
              <w:rPr>
                <w:i/>
                <w:sz w:val="17"/>
                <w:szCs w:val="17"/>
              </w:rPr>
              <w:t xml:space="preserve">Med Teach.</w:t>
            </w:r>
            <w:r>
              <w:rPr>
                <w:sz w:val="17"/>
                <w:szCs w:val="17"/>
              </w:rPr>
              <w:t xml:space="preserve"> 2011;33(6):478–485</w:t>
            </w:r>
          </w:p>
        </w:tc>
        <w:tc>
          <w:tcPr>
            <w:tcW w:w="1248" w:type="dxa"/>
          </w:tcPr>
          <w:p>
            <w:pPr>
              <w:spacing w:before="20" w:after="20" w:line="240" w:lineRule="auto"/>
            </w:pPr>
            <w:hyperlink r:id="rId1055">
              <w:r>
                <w:rPr>
                  <w:rStyle w:val="Hyperlink"/>
                  <w:sz w:val="17"/>
                  <w:szCs w:val="17"/>
                </w:rPr>
                <w:t xml:space="preserve">doi:10.3109/0142159X.2011.565828</w:t>
              </w:r>
            </w:hyperlink>
          </w:p>
        </w:tc>
        <w:tc>
          <w:tcPr>
            <w:tcW w:w="4320" w:type="dxa"/>
          </w:tcPr>
          <w:p>
            <w:pPr>
              <w:spacing w:before="20" w:after="20" w:line="240" w:lineRule="auto"/>
            </w:pPr>
            <w:r>
              <w:rPr>
                <w:sz w:val="17"/>
                <w:szCs w:val="17"/>
              </w:rPr>
              <w:t xml:space="preserve">The paradigm shift (of→for learning) underpinning programmatic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Harris et al. (ICBME). Evolving concepts of assessment in a competency-based world. </w:t>
            </w:r>
            <w:r>
              <w:rPr>
                <w:i/>
                <w:sz w:val="17"/>
                <w:szCs w:val="17"/>
              </w:rPr>
              <w:t xml:space="preserve">Med Teach.</w:t>
            </w:r>
            <w:r>
              <w:rPr>
                <w:sz w:val="17"/>
                <w:szCs w:val="17"/>
              </w:rPr>
              <w:t xml:space="preserve"> 2017;39(6):603–608</w:t>
            </w:r>
          </w:p>
        </w:tc>
        <w:tc>
          <w:tcPr>
            <w:tcW w:w="1248" w:type="dxa"/>
          </w:tcPr>
          <w:p>
            <w:pPr>
              <w:spacing w:before="20" w:after="20" w:line="240" w:lineRule="auto"/>
            </w:pPr>
            <w:hyperlink r:id="rId1056">
              <w:r>
                <w:rPr>
                  <w:rStyle w:val="Hyperlink"/>
                  <w:sz w:val="17"/>
                  <w:szCs w:val="17"/>
                </w:rPr>
                <w:t xml:space="preserve">doi:10.1080/0142159X.2017.1315071</w:t>
              </w:r>
            </w:hyperlink>
          </w:p>
        </w:tc>
        <w:tc>
          <w:tcPr>
            <w:tcW w:w="4320" w:type="dxa"/>
          </w:tcPr>
          <w:p>
            <w:pPr>
              <w:spacing w:before="20" w:after="20" w:line="240" w:lineRule="auto"/>
            </w:pPr>
            <w:r>
              <w:rPr>
                <w:sz w:val="17"/>
                <w:szCs w:val="17"/>
              </w:rPr>
              <w:t xml:space="preserve">The international CBME consensus on how assessment must change.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Holmboe et al. The role of assessment in competency-based medical education. </w:t>
            </w:r>
            <w:r>
              <w:rPr>
                <w:i/>
                <w:sz w:val="17"/>
                <w:szCs w:val="17"/>
              </w:rPr>
              <w:t xml:space="preserve">Med Teach.</w:t>
            </w:r>
            <w:r>
              <w:rPr>
                <w:sz w:val="17"/>
                <w:szCs w:val="17"/>
              </w:rPr>
              <w:t xml:space="preserve"> 2010;32(8):676–682</w:t>
            </w:r>
          </w:p>
        </w:tc>
        <w:tc>
          <w:tcPr>
            <w:tcW w:w="1248" w:type="dxa"/>
          </w:tcPr>
          <w:p>
            <w:pPr>
              <w:spacing w:before="20" w:after="20" w:line="240" w:lineRule="auto"/>
            </w:pPr>
            <w:hyperlink r:id="rId1057">
              <w:r>
                <w:rPr>
                  <w:rStyle w:val="Hyperlink"/>
                  <w:sz w:val="17"/>
                  <w:szCs w:val="17"/>
                </w:rPr>
                <w:t xml:space="preserve">pubmed.ncbi.nlm.nih.gov/20662580/</w:t>
              </w:r>
            </w:hyperlink>
          </w:p>
        </w:tc>
        <w:tc>
          <w:tcPr>
            <w:tcW w:w="4320" w:type="dxa"/>
          </w:tcPr>
          <w:p>
            <w:pPr>
              <w:spacing w:before="20" w:after="20" w:line="240" w:lineRule="auto"/>
            </w:pPr>
            <w:r>
              <w:rPr>
                <w:sz w:val="17"/>
                <w:szCs w:val="17"/>
              </w:rPr>
              <w:t xml:space="preserve">A foundational statement on assessment's role in CBME.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Cook &amp; Lineberry. Consequences validity evidence: evaluating the impact of educational assessments. </w:t>
            </w:r>
            <w:r>
              <w:rPr>
                <w:i/>
                <w:sz w:val="17"/>
                <w:szCs w:val="17"/>
              </w:rPr>
              <w:t xml:space="preserve">Acad Med.</w:t>
            </w:r>
            <w:r>
              <w:rPr>
                <w:sz w:val="17"/>
                <w:szCs w:val="17"/>
              </w:rPr>
              <w:t xml:space="preserve"> 2016;91(6):785–795</w:t>
            </w:r>
          </w:p>
        </w:tc>
        <w:tc>
          <w:tcPr>
            <w:tcW w:w="1248" w:type="dxa"/>
          </w:tcPr>
          <w:p>
            <w:pPr>
              <w:spacing w:before="20" w:after="20" w:line="240" w:lineRule="auto"/>
            </w:pPr>
            <w:hyperlink r:id="rId1058">
              <w:r>
                <w:rPr>
                  <w:rStyle w:val="Hyperlink"/>
                  <w:sz w:val="17"/>
                  <w:szCs w:val="17"/>
                </w:rPr>
                <w:t xml:space="preserve">doi:10.1097/ACM.0000000000001114</w:t>
              </w:r>
            </w:hyperlink>
          </w:p>
        </w:tc>
        <w:tc>
          <w:tcPr>
            <w:tcW w:w="4320" w:type="dxa"/>
          </w:tcPr>
          <w:p>
            <w:pPr>
              <w:spacing w:before="20" w:after="20" w:line="240" w:lineRule="auto"/>
            </w:pPr>
            <w:r>
              <w:rPr>
                <w:sz w:val="17"/>
                <w:szCs w:val="17"/>
              </w:rPr>
              <w:t xml:space="preserve">Extends Kane: the </w:t>
            </w:r>
            <w:r>
              <w:rPr>
                <w:i/>
                <w:sz w:val="17"/>
                <w:szCs w:val="17"/>
              </w:rPr>
              <w:t xml:space="preserve">consequences</w:t>
            </w:r>
            <w:r>
              <w:rPr>
                <w:sz w:val="17"/>
                <w:szCs w:val="17"/>
              </w:rPr>
              <w:t xml:space="preserve"> of an assessment are part of its validity — central when adding or removing high-stakes exams.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Sidhu &amp; Fleming. Re-examining single-moment-in-time high-stakes examinations in specialist training: a critical narrative review. </w:t>
            </w:r>
            <w:r>
              <w:rPr>
                <w:i/>
                <w:sz w:val="17"/>
                <w:szCs w:val="17"/>
              </w:rPr>
              <w:t xml:space="preserve">Med Teach.</w:t>
            </w:r>
            <w:r>
              <w:rPr>
                <w:sz w:val="17"/>
                <w:szCs w:val="17"/>
              </w:rPr>
              <w:t xml:space="preserve"> 2024;46(4):528–536</w:t>
            </w:r>
          </w:p>
        </w:tc>
        <w:tc>
          <w:tcPr>
            <w:tcW w:w="1248" w:type="dxa"/>
          </w:tcPr>
          <w:p>
            <w:pPr>
              <w:spacing w:before="20" w:after="20" w:line="240" w:lineRule="auto"/>
            </w:pPr>
            <w:hyperlink r:id="rId1059">
              <w:r>
                <w:rPr>
                  <w:rStyle w:val="Hyperlink"/>
                  <w:sz w:val="17"/>
                  <w:szCs w:val="17"/>
                </w:rPr>
                <w:t xml:space="preserve">doi:10.1080/0142159X.2023.2260081</w:t>
              </w:r>
            </w:hyperlink>
          </w:p>
        </w:tc>
        <w:tc>
          <w:tcPr>
            <w:tcW w:w="4320" w:type="dxa"/>
          </w:tcPr>
          <w:p>
            <w:pPr>
              <w:spacing w:before="20" w:after="20" w:line="240" w:lineRule="auto"/>
            </w:pPr>
            <w:r>
              <w:rPr>
                <w:sz w:val="17"/>
                <w:szCs w:val="17"/>
              </w:rPr>
              <w:t xml:space="preserve">A critique of single-moment high-stakes exams — supports the OSCE→portfolio shift.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Ryan et al. How well do workplace-based assessments support summative entrustment decisions? A multi-institutional generalisability study. </w:t>
            </w:r>
            <w:r>
              <w:rPr>
                <w:i/>
                <w:sz w:val="17"/>
                <w:szCs w:val="17"/>
              </w:rPr>
              <w:t xml:space="preserve">Med Educ.</w:t>
            </w:r>
            <w:r>
              <w:rPr>
                <w:sz w:val="17"/>
                <w:szCs w:val="17"/>
              </w:rPr>
              <w:t xml:space="preserve"> 2024;58(7):825–837</w:t>
            </w:r>
          </w:p>
        </w:tc>
        <w:tc>
          <w:tcPr>
            <w:tcW w:w="1248" w:type="dxa"/>
          </w:tcPr>
          <w:p>
            <w:pPr>
              <w:spacing w:before="20" w:after="20" w:line="240" w:lineRule="auto"/>
            </w:pPr>
            <w:hyperlink r:id="rId1060">
              <w:r>
                <w:rPr>
                  <w:rStyle w:val="Hyperlink"/>
                  <w:sz w:val="17"/>
                  <w:szCs w:val="17"/>
                </w:rPr>
                <w:t xml:space="preserve">doi:10.1111/medu.15291</w:t>
              </w:r>
            </w:hyperlink>
          </w:p>
        </w:tc>
        <w:tc>
          <w:tcPr>
            <w:tcW w:w="4320" w:type="dxa"/>
          </w:tcPr>
          <w:p>
            <w:pPr>
              <w:spacing w:before="20" w:after="20" w:line="240" w:lineRule="auto"/>
            </w:pPr>
            <w:r>
              <w:rPr>
                <w:sz w:val="17"/>
                <w:szCs w:val="17"/>
              </w:rPr>
              <w:t xml:space="preserve">Empirical: how reliably WBAs support entrustment decisions — the rigour question for the CCPR.</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Rietmeijer, Watling, Teunissen. Rethinking workplace-based assessment: the costly illusion of authenticity. </w:t>
            </w:r>
            <w:r>
              <w:rPr>
                <w:i/>
                <w:sz w:val="17"/>
                <w:szCs w:val="17"/>
              </w:rPr>
              <w:t xml:space="preserve">Acad Med.</w:t>
            </w:r>
            <w:r>
              <w:rPr>
                <w:sz w:val="17"/>
                <w:szCs w:val="17"/>
              </w:rPr>
              <w:t xml:space="preserve"> 2025</w:t>
            </w:r>
          </w:p>
        </w:tc>
        <w:tc>
          <w:tcPr>
            <w:tcW w:w="1248" w:type="dxa"/>
          </w:tcPr>
          <w:p>
            <w:pPr>
              <w:spacing w:before="20" w:after="20" w:line="240" w:lineRule="auto"/>
            </w:pPr>
            <w:hyperlink r:id="rId1061">
              <w:r>
                <w:rPr>
                  <w:rStyle w:val="Hyperlink"/>
                  <w:sz w:val="17"/>
                  <w:szCs w:val="17"/>
                </w:rPr>
                <w:t xml:space="preserve">pubmed.ncbi.nlm.nih.gov/40680201/</w:t>
              </w:r>
            </w:hyperlink>
            <w:r>
              <w:rPr>
                <w:sz w:val="17"/>
                <w:szCs w:val="17"/>
              </w:rPr>
              <w:t xml:space="preserve"> </w:t>
            </w:r>
            <w:r>
              <w:rPr>
                <w:i/>
                <w:sz w:val="17"/>
                <w:szCs w:val="17"/>
              </w:rPr>
              <w:t xml:space="preserve">(DOI to confirm)</w:t>
            </w:r>
          </w:p>
        </w:tc>
        <w:tc>
          <w:tcPr>
            <w:tcW w:w="4320" w:type="dxa"/>
          </w:tcPr>
          <w:p>
            <w:pPr>
              <w:spacing w:before="20" w:after="20" w:line="240" w:lineRule="auto"/>
            </w:pPr>
            <w:r>
              <w:rPr>
                <w:sz w:val="17"/>
                <w:szCs w:val="17"/>
              </w:rPr>
              <w:t xml:space="preserve">Challenges the assumption that WBA is inherently 'authentic' — a caution for portfolio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Bhanji et al. Competence by Design: the role of high-stakes examinations in a CBME system. </w:t>
            </w:r>
            <w:r>
              <w:rPr>
                <w:i/>
                <w:sz w:val="17"/>
                <w:szCs w:val="17"/>
              </w:rPr>
              <w:t xml:space="preserve">Perspect Med Educ.</w:t>
            </w:r>
            <w:r>
              <w:rPr>
                <w:sz w:val="17"/>
                <w:szCs w:val="17"/>
              </w:rPr>
              <w:t xml:space="preserve"> 2024;13(1):68–74</w:t>
            </w:r>
          </w:p>
        </w:tc>
        <w:tc>
          <w:tcPr>
            <w:tcW w:w="1248" w:type="dxa"/>
          </w:tcPr>
          <w:p>
            <w:pPr>
              <w:spacing w:before="20" w:after="20" w:line="240" w:lineRule="auto"/>
            </w:pPr>
            <w:hyperlink r:id="rId1062">
              <w:r>
                <w:rPr>
                  <w:rStyle w:val="Hyperlink"/>
                  <w:sz w:val="17"/>
                  <w:szCs w:val="17"/>
                </w:rPr>
                <w:t xml:space="preserve">doi:10.5334/pme.965</w:t>
              </w:r>
            </w:hyperlink>
          </w:p>
        </w:tc>
        <w:tc>
          <w:tcPr>
            <w:tcW w:w="4320" w:type="dxa"/>
          </w:tcPr>
          <w:p>
            <w:pPr>
              <w:spacing w:before="20" w:after="20" w:line="240" w:lineRule="auto"/>
            </w:pPr>
            <w:r>
              <w:rPr>
                <w:sz w:val="17"/>
                <w:szCs w:val="17"/>
              </w:rPr>
              <w:t xml:space="preserve">Argues high-stakes exams retain a defensible role within CBME — a counterpoint to wholesale OSCE removal.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Pearce &amp; Prideaux. When I say … programmatic assessment in postgraduate medical education. </w:t>
            </w:r>
            <w:r>
              <w:rPr>
                <w:i/>
                <w:sz w:val="17"/>
                <w:szCs w:val="17"/>
              </w:rPr>
              <w:t xml:space="preserve">Med Educ.</w:t>
            </w:r>
            <w:r>
              <w:rPr>
                <w:sz w:val="17"/>
                <w:szCs w:val="17"/>
              </w:rPr>
              <w:t xml:space="preserve"> 2019;53(11):1074–1076</w:t>
            </w:r>
          </w:p>
        </w:tc>
        <w:tc>
          <w:tcPr>
            <w:tcW w:w="1248" w:type="dxa"/>
          </w:tcPr>
          <w:p>
            <w:pPr>
              <w:spacing w:before="20" w:after="20" w:line="240" w:lineRule="auto"/>
            </w:pPr>
            <w:hyperlink r:id="rId1063">
              <w:r>
                <w:rPr>
                  <w:rStyle w:val="Hyperlink"/>
                  <w:sz w:val="17"/>
                  <w:szCs w:val="17"/>
                </w:rPr>
                <w:t xml:space="preserve">doi:10.1111/medu.13949</w:t>
              </w:r>
            </w:hyperlink>
          </w:p>
        </w:tc>
        <w:tc>
          <w:tcPr>
            <w:tcW w:w="4320" w:type="dxa"/>
          </w:tcPr>
          <w:p>
            <w:pPr>
              <w:spacing w:before="20" w:after="20" w:line="240" w:lineRule="auto"/>
            </w:pPr>
            <w:r>
              <w:rPr>
                <w:sz w:val="17"/>
                <w:szCs w:val="17"/>
              </w:rPr>
              <w:t xml:space="preserve">A concise conceptual primer on programmatic assessment (companion to Pearce's 'assessment burden').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(§13).</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64">
              <w:r>
                <w:rPr>
                  <w:rStyle w:val="Hyperlink"/>
                  <w:sz w:val="17"/>
                  <w:szCs w:val="17"/>
                </w:rPr>
                <w:t xml:space="preserve">doi:10.1111/medu.15708</w:t>
              </w:r>
            </w:hyperlink>
            <w:r>
              <w:rPr>
                <w:sz w:val="17"/>
                <w:szCs w:val="17"/>
              </w:rPr>
              <w:t xml:space="preserve"> </w:t>
            </w:r>
            <w:r>
              <w:rPr>
                <w:i/>
                <w:sz w:val="17"/>
                <w:szCs w:val="17"/>
              </w:rPr>
              <w:t xml:space="preserve">(vol/pages to confirm)</w:t>
            </w:r>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65">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66">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67">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68">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69">
              <w:r>
                <w:rPr>
                  <w:rStyle w:val="Hyperlink"/>
                  <w:sz w:val="17"/>
                  <w:szCs w:val="17"/>
                </w:rPr>
                <w:t xml:space="preserve">doi:10.1111/medu.14807</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70">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71">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72">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73">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74">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75">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76">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 Phinney et al. Beyond checking boxes: tensions with a workplace-based assessment tool for formative assessment in clerkships. </w:t>
            </w:r>
            <w:r>
              <w:rPr>
                <w:i/>
                <w:sz w:val="17"/>
                <w:szCs w:val="17"/>
              </w:rPr>
              <w:t xml:space="preserve">Acad Med.</w:t>
            </w:r>
            <w:r>
              <w:rPr>
                <w:sz w:val="17"/>
                <w:szCs w:val="17"/>
              </w:rPr>
              <w:t xml:space="preserve"> 2022;97(10):1511–1520</w:t>
            </w:r>
          </w:p>
        </w:tc>
        <w:tc>
          <w:tcPr>
            <w:tcW w:w="1248" w:type="dxa"/>
          </w:tcPr>
          <w:p>
            <w:pPr>
              <w:spacing w:before="20" w:after="20" w:line="240" w:lineRule="auto"/>
            </w:pPr>
            <w:hyperlink r:id="rId1077">
              <w:r>
                <w:rPr>
                  <w:rStyle w:val="Hyperlink"/>
                  <w:sz w:val="17"/>
                  <w:szCs w:val="17"/>
                </w:rPr>
                <w:t xml:space="preserve">doi:10.1097/ACM.0000000000004774</w:t>
              </w:r>
            </w:hyperlink>
          </w:p>
        </w:tc>
        <w:tc>
          <w:tcPr>
            <w:tcW w:w="4320" w:type="dxa"/>
          </w:tcPr>
          <w:p>
            <w:pPr>
              <w:spacing w:before="20" w:after="20" w:line="240" w:lineRule="auto"/>
            </w:pPr>
            <w:r>
              <w:rPr>
                <w:sz w:val="17"/>
                <w:szCs w:val="17"/>
              </w:rPr>
              <w:t xml:space="preserve">Trainee/faculty tensions with WBA tools — the 'tick-box' problem in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78">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79">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80">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81">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Atkinson, Watling, Brand. Feedback and coaching. </w:t>
            </w:r>
            <w:r>
              <w:rPr>
                <w:i/>
                <w:sz w:val="17"/>
                <w:szCs w:val="17"/>
              </w:rPr>
              <w:t xml:space="preserve">Eur J Pediatr.</w:t>
            </w:r>
            <w:r>
              <w:rPr>
                <w:sz w:val="17"/>
                <w:szCs w:val="17"/>
              </w:rPr>
              <w:t xml:space="preserve"> 2022;181(2):441–446</w:t>
            </w:r>
          </w:p>
        </w:tc>
        <w:tc>
          <w:tcPr>
            <w:tcW w:w="1248" w:type="dxa"/>
          </w:tcPr>
          <w:p>
            <w:pPr>
              <w:spacing w:before="20" w:after="20" w:line="240" w:lineRule="auto"/>
            </w:pPr>
            <w:hyperlink r:id="rId1082">
              <w:r>
                <w:rPr>
                  <w:rStyle w:val="Hyperlink"/>
                  <w:sz w:val="17"/>
                  <w:szCs w:val="17"/>
                </w:rPr>
                <w:t xml:space="preserve">doi:10.1007/s00431-021-04118-8</w:t>
              </w:r>
            </w:hyperlink>
          </w:p>
        </w:tc>
        <w:tc>
          <w:tcPr>
            <w:tcW w:w="4320" w:type="dxa"/>
          </w:tcPr>
          <w:p>
            <w:pPr>
              <w:spacing w:before="20" w:after="20" w:line="240" w:lineRule="auto"/>
            </w:pPr>
            <w:r>
              <w:rPr>
                <w:sz w:val="17"/>
                <w:szCs w:val="17"/>
              </w:rPr>
              <w:t xml:space="preserve">A concise, practical account of reframing feedback as coaching.</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83">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84">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85">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86">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87">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Schön's </w:t>
      </w:r>
      <w:r>
        <w:rPr>
          <w:i/>
        </w:rPr>
        <w:t xml:space="preserve">Educating the Reflective Practitioner</w:t>
      </w:r>
      <w:r>
        <w:t xml:space="preserve"> (1987) turns reflection into a theory of professional education that maps onto psychiatry's supervision model. Balint allows psychiatry to processpr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88">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89">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90">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91">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Seth et al. The impact of coaching on professional identity development in postgraduate medical trainees: a scoping review. </w:t>
            </w:r>
            <w:r>
              <w:rPr>
                <w:i/>
                <w:sz w:val="17"/>
                <w:szCs w:val="17"/>
              </w:rPr>
              <w:t xml:space="preserve">Med Educ.</w:t>
            </w:r>
            <w:r>
              <w:rPr>
                <w:sz w:val="17"/>
                <w:szCs w:val="17"/>
              </w:rPr>
              <w:t xml:space="preserve"> 2025 </w:t>
            </w:r>
            <w:r>
              <w:rPr>
                <w:i/>
                <w:sz w:val="17"/>
                <w:szCs w:val="17"/>
              </w:rPr>
              <w:t xml:space="preserve">(online-first)</w:t>
            </w:r>
          </w:p>
        </w:tc>
        <w:tc>
          <w:tcPr>
            <w:tcW w:w="1248" w:type="dxa"/>
          </w:tcPr>
          <w:p>
            <w:pPr>
              <w:spacing w:before="20" w:after="20" w:line="240" w:lineRule="auto"/>
            </w:pPr>
            <w:hyperlink r:id="rId1092">
              <w:r>
                <w:rPr>
                  <w:rStyle w:val="Hyperlink"/>
                  <w:sz w:val="17"/>
                  <w:szCs w:val="17"/>
                </w:rPr>
                <w:t xml:space="preserve">doi:10.1111/medu.70106</w:t>
              </w:r>
            </w:hyperlink>
          </w:p>
        </w:tc>
        <w:tc>
          <w:tcPr>
            <w:tcW w:w="4320" w:type="dxa"/>
          </w:tcPr>
          <w:p>
            <w:pPr>
              <w:spacing w:before="20" w:after="20" w:line="240" w:lineRule="auto"/>
            </w:pPr>
            <w:r>
              <w:rPr>
                <w:sz w:val="17"/>
                <w:szCs w:val="17"/>
              </w:rPr>
              <w:t xml:space="preserve">Scoping review linking coaching to professional identity formation.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10. Equity &amp; Cultural Safety</w:t>
      </w:r>
    </w:p>
    <w:p>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 xml:space="preserve">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93">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94">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95">
              <w:r>
                <w:rPr>
                  <w:rStyle w:val="Hyperlink"/>
                  <w:sz w:val="17"/>
                  <w:szCs w:val="17"/>
                </w:rPr>
                <w:t xml:space="preserve">doi:10.1111/medu.13605</w:t>
              </w:r>
            </w:hyperlink>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 Rousseau, Gomez-Carrillo, Cénat. Safe enough? Rethinking the concept of cultural safety in healthcare and training. </w:t>
            </w:r>
            <w:r>
              <w:rPr>
                <w:i/>
                <w:sz w:val="17"/>
                <w:szCs w:val="17"/>
              </w:rPr>
              <w:t xml:space="preserve">Br J Psychiatry.</w:t>
            </w:r>
            <w:r>
              <w:rPr>
                <w:sz w:val="17"/>
                <w:szCs w:val="17"/>
              </w:rPr>
              <w:t xml:space="preserve"> 2022;221(4):587–588</w:t>
            </w:r>
          </w:p>
        </w:tc>
        <w:tc>
          <w:tcPr>
            <w:tcW w:w="1248" w:type="dxa"/>
          </w:tcPr>
          <w:p>
            <w:pPr>
              <w:spacing w:before="20" w:after="20" w:line="240" w:lineRule="auto"/>
            </w:pPr>
            <w:hyperlink r:id="rId1096">
              <w:r>
                <w:rPr>
                  <w:rStyle w:val="Hyperlink"/>
                  <w:sz w:val="17"/>
                  <w:szCs w:val="17"/>
                </w:rPr>
                <w:t xml:space="preserve">doi:10.1192/bjp.2022.102</w:t>
              </w:r>
            </w:hyperlink>
          </w:p>
        </w:tc>
        <w:tc>
          <w:tcPr>
            <w:tcW w:w="4320" w:type="dxa"/>
          </w:tcPr>
          <w:p>
            <w:pPr>
              <w:spacing w:before="20" w:after="20" w:line="240" w:lineRule="auto"/>
            </w:pPr>
            <w:r>
              <w:rPr>
                <w:sz w:val="17"/>
                <w:szCs w:val="17"/>
              </w:rPr>
              <w:t xml:space="preserve">An editorial rethinking what 'cultural safety' should mean — critical framing for the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Newton-Howes et al. Does a comprehensive service user-led education programme…? (comparative cohort study). </w:t>
            </w:r>
            <w:r>
              <w:rPr>
                <w:i/>
                <w:sz w:val="17"/>
                <w:szCs w:val="17"/>
              </w:rPr>
              <w:t xml:space="preserve">ANZJP.</w:t>
            </w:r>
            <w:r>
              <w:rPr>
                <w:sz w:val="17"/>
                <w:szCs w:val="17"/>
              </w:rPr>
              <w:t xml:space="preserve"> 2021;55(9):903–910</w:t>
            </w:r>
          </w:p>
        </w:tc>
        <w:tc>
          <w:tcPr>
            <w:tcW w:w="1248" w:type="dxa"/>
          </w:tcPr>
          <w:p>
            <w:pPr>
              <w:spacing w:before="20" w:after="20" w:line="240" w:lineRule="auto"/>
            </w:pPr>
            <w:hyperlink r:id="rId1097">
              <w:r>
                <w:rPr>
                  <w:rStyle w:val="Hyperlink"/>
                  <w:sz w:val="17"/>
                  <w:szCs w:val="17"/>
                </w:rPr>
                <w:t xml:space="preserve">doi:10.1177/0004867420987886</w:t>
              </w:r>
            </w:hyperlink>
          </w:p>
        </w:tc>
        <w:tc>
          <w:tcPr>
            <w:tcW w:w="4320" w:type="dxa"/>
          </w:tcPr>
          <w:p>
            <w:pPr>
              <w:spacing w:before="20" w:after="20" w:line="240" w:lineRule="auto"/>
            </w:pPr>
            <w:r>
              <w:rPr>
                <w:sz w:val="17"/>
                <w:szCs w:val="17"/>
              </w:rPr>
              <w:t xml:space="preserve">Evidence that lived-experience (service-user-led) education shifts trainee attitudes toward recovery.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Ahir-Knight et al. Growing the lived experience voice in psychiatry education and research. </w:t>
            </w:r>
            <w:r>
              <w:rPr>
                <w:i/>
                <w:sz w:val="17"/>
                <w:szCs w:val="17"/>
              </w:rPr>
              <w:t xml:space="preserve">ANZJP.</w:t>
            </w:r>
            <w:r>
              <w:rPr>
                <w:sz w:val="17"/>
                <w:szCs w:val="17"/>
              </w:rPr>
              <w:t xml:space="preserve"> 2024;58(10):825–828</w:t>
            </w:r>
          </w:p>
        </w:tc>
        <w:tc>
          <w:tcPr>
            <w:tcW w:w="1248" w:type="dxa"/>
          </w:tcPr>
          <w:p>
            <w:pPr>
              <w:spacing w:before="20" w:after="20" w:line="240" w:lineRule="auto"/>
            </w:pPr>
            <w:hyperlink r:id="rId1098">
              <w:r>
                <w:rPr>
                  <w:rStyle w:val="Hyperlink"/>
                  <w:sz w:val="17"/>
                  <w:szCs w:val="17"/>
                </w:rPr>
                <w:t xml:space="preserve">doi:10.1177/00048674241274278</w:t>
              </w:r>
            </w:hyperlink>
          </w:p>
        </w:tc>
        <w:tc>
          <w:tcPr>
            <w:tcW w:w="4320" w:type="dxa"/>
          </w:tcPr>
          <w:p>
            <w:pPr>
              <w:spacing w:before="20" w:after="20" w:line="240" w:lineRule="auto"/>
            </w:pPr>
            <w:r>
              <w:rPr>
                <w:sz w:val="17"/>
                <w:szCs w:val="17"/>
              </w:rPr>
              <w:t xml:space="preserve">An academic department's journey embedding lived experience in education.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Leandre, Diaz-Fernandez, Ginory. Are medical students and residents receiving an appropriate education on LGBTQ+ health? </w:t>
            </w:r>
            <w:r>
              <w:rPr>
                <w:i/>
                <w:sz w:val="17"/>
                <w:szCs w:val="17"/>
              </w:rPr>
              <w:t xml:space="preserve">ANZJP.</w:t>
            </w:r>
            <w:r>
              <w:rPr>
                <w:sz w:val="17"/>
                <w:szCs w:val="17"/>
              </w:rPr>
              <w:t xml:space="preserve"> 2021;55(4):426–427</w:t>
            </w:r>
          </w:p>
        </w:tc>
        <w:tc>
          <w:tcPr>
            <w:tcW w:w="1248" w:type="dxa"/>
          </w:tcPr>
          <w:p>
            <w:pPr>
              <w:spacing w:before="20" w:after="20" w:line="240" w:lineRule="auto"/>
            </w:pPr>
            <w:hyperlink r:id="rId1099">
              <w:r>
                <w:rPr>
                  <w:rStyle w:val="Hyperlink"/>
                  <w:sz w:val="17"/>
                  <w:szCs w:val="17"/>
                </w:rPr>
                <w:t xml:space="preserve">doi:10.1177/0004867420982069</w:t>
              </w:r>
            </w:hyperlink>
          </w:p>
        </w:tc>
        <w:tc>
          <w:tcPr>
            <w:tcW w:w="4320" w:type="dxa"/>
          </w:tcPr>
          <w:p>
            <w:pPr>
              <w:spacing w:before="20" w:after="20" w:line="240" w:lineRule="auto"/>
            </w:pPr>
            <w:r>
              <w:rPr>
                <w:sz w:val="17"/>
                <w:szCs w:val="17"/>
              </w:rPr>
              <w:t xml:space="preserve">Flags LGBTQ+ health as an under-taught equity gap.</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Stanyon et al. Diversity in psychiatry education and patient and public involvement: roundtable analysis. </w:t>
            </w:r>
            <w:r>
              <w:rPr>
                <w:i/>
                <w:sz w:val="17"/>
                <w:szCs w:val="17"/>
              </w:rPr>
              <w:t xml:space="preserve">BJPsych Bull.</w:t>
            </w:r>
            <w:r>
              <w:rPr>
                <w:sz w:val="17"/>
                <w:szCs w:val="17"/>
              </w:rPr>
              <w:t xml:space="preserve"> 2025 </w:t>
            </w:r>
            <w:r>
              <w:rPr>
                <w:i/>
                <w:sz w:val="17"/>
                <w:szCs w:val="17"/>
              </w:rPr>
              <w:t xml:space="preserve">(DOI to confirm)</w:t>
            </w:r>
          </w:p>
        </w:tc>
        <w:tc>
          <w:tcPr>
            <w:tcW w:w="1248" w:type="dxa"/>
          </w:tcPr>
          <w:p>
            <w:pPr>
              <w:spacing w:before="20" w:after="20" w:line="240" w:lineRule="auto"/>
            </w:pPr>
            <w:hyperlink r:id="rId1100">
              <w:r>
                <w:rPr>
                  <w:rStyle w:val="Hyperlink"/>
                  <w:sz w:val="17"/>
                  <w:szCs w:val="17"/>
                </w:rPr>
                <w:t xml:space="preserve">www.cambridge.org/core/journals/bjpsych-bulletin/article/diversity-in-psychiatry-education-and-patient-and-public-involvement-roundtable-analysis/D74B4267ED05AB473F10E9B70BE39554</w:t>
              </w:r>
            </w:hyperlink>
          </w:p>
        </w:tc>
        <w:tc>
          <w:tcPr>
            <w:tcW w:w="4320" w:type="dxa"/>
          </w:tcPr>
          <w:p>
            <w:pPr>
              <w:spacing w:before="20" w:after="20" w:line="240" w:lineRule="auto"/>
            </w:pPr>
            <w:r>
              <w:rPr>
                <w:sz w:val="17"/>
                <w:szCs w:val="17"/>
              </w:rPr>
              <w:t xml:space="preserve">Diversity and public involvement in psychiatry education.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Prashar, Schulze, Furlano. Addressing disparities in eating disorders… training deficiencies among males and men. </w:t>
            </w:r>
            <w:r>
              <w:rPr>
                <w:i/>
                <w:sz w:val="17"/>
                <w:szCs w:val="17"/>
              </w:rPr>
              <w:t xml:space="preserve">Br J Psychiatry.</w:t>
            </w:r>
            <w:r>
              <w:rPr>
                <w:sz w:val="17"/>
                <w:szCs w:val="17"/>
              </w:rPr>
              <w:t xml:space="preserve"> 2026;228(1)</w:t>
            </w:r>
          </w:p>
        </w:tc>
        <w:tc>
          <w:tcPr>
            <w:tcW w:w="1248" w:type="dxa"/>
          </w:tcPr>
          <w:p>
            <w:pPr>
              <w:spacing w:before="20" w:after="20" w:line="240" w:lineRule="auto"/>
            </w:pPr>
            <w:hyperlink r:id="rId1101">
              <w:r>
                <w:rPr>
                  <w:rStyle w:val="Hyperlink"/>
                  <w:sz w:val="17"/>
                  <w:szCs w:val="17"/>
                </w:rPr>
                <w:t xml:space="preserve">doi:10.1192/bjp.2025.70</w:t>
              </w:r>
            </w:hyperlink>
            <w:r>
              <w:rPr>
                <w:sz w:val="17"/>
                <w:szCs w:val="17"/>
              </w:rPr>
              <w:t xml:space="preserve"> </w:t>
            </w:r>
            <w:r>
              <w:rPr>
                <w:i/>
                <w:sz w:val="17"/>
                <w:szCs w:val="17"/>
              </w:rPr>
              <w:t xml:space="preserve">(confirm pages)</w:t>
            </w:r>
          </w:p>
        </w:tc>
        <w:tc>
          <w:tcPr>
            <w:tcW w:w="4320" w:type="dxa"/>
          </w:tcPr>
          <w:p>
            <w:pPr>
              <w:spacing w:before="20" w:after="20" w:line="240" w:lineRule="auto"/>
            </w:pPr>
            <w:r>
              <w:rPr>
                <w:sz w:val="17"/>
                <w:szCs w:val="17"/>
              </w:rPr>
              <w:t xml:space="preserve">An equity/training-gap example (men and eating disorders).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Chang et al. The Pasifika Veilomani Project: a pilot online training programme… </w:t>
            </w:r>
            <w:r>
              <w:rPr>
                <w:i/>
                <w:sz w:val="17"/>
                <w:szCs w:val="17"/>
              </w:rPr>
              <w:t xml:space="preserve">Australas Psychiatry.</w:t>
            </w:r>
            <w:r>
              <w:rPr>
                <w:sz w:val="17"/>
                <w:szCs w:val="17"/>
              </w:rPr>
              <w:t xml:space="preserve"> 2022;30(6):762–767</w:t>
            </w:r>
          </w:p>
        </w:tc>
        <w:tc>
          <w:tcPr>
            <w:tcW w:w="1248" w:type="dxa"/>
          </w:tcPr>
          <w:p>
            <w:pPr>
              <w:spacing w:before="20" w:after="20" w:line="240" w:lineRule="auto"/>
            </w:pPr>
            <w:hyperlink r:id="rId1102">
              <w:r>
                <w:rPr>
                  <w:rStyle w:val="Hyperlink"/>
                  <w:sz w:val="17"/>
                  <w:szCs w:val="17"/>
                </w:rPr>
                <w:t xml:space="preserve">doi:10.1177/10398562211045090</w:t>
              </w:r>
            </w:hyperlink>
          </w:p>
        </w:tc>
        <w:tc>
          <w:tcPr>
            <w:tcW w:w="4320" w:type="dxa"/>
          </w:tcPr>
          <w:p>
            <w:pPr>
              <w:spacing w:before="20" w:after="20" w:line="240" w:lineRule="auto"/>
            </w:pPr>
            <w:r>
              <w:rPr>
                <w:sz w:val="17"/>
                <w:szCs w:val="17"/>
              </w:rPr>
              <w:t xml:space="preserve">A Pacific/Pasifika-specific, culturally-adapted training programme.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11.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hyperlink r:id="rId1103">
              <w:r>
                <w:rPr>
                  <w:rStyle w:val="Hyperlink"/>
                  <w:sz w:val="17"/>
                  <w:szCs w:val="17"/>
                </w:rPr>
                <w:t xml:space="preserve">www.thekids.org.au/globalassets/media/documents/aboriginal-health/working-together-second-edition/working-together-aboriginal-and-wellbeing-2014.pdf</w:t>
              </w:r>
            </w:hyperlink>
            <w:r>
              <w:rPr>
                <w:sz w:val="17"/>
                <w:szCs w:val="17"/>
              </w:rPr>
              <w:t xml:space="preserve"> 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hyperlink r:id="rId1104">
              <w:r>
                <w:rPr>
                  <w:rStyle w:val="Hyperlink"/>
                  <w:sz w:val="17"/>
                  <w:szCs w:val="17"/>
                </w:rPr>
                <w:t xml:space="preserve">www.thekids.org.au/globalassets/media/documents/aboriginal-health/working-together-second-edition/wt-part-1-chapt-4-final.pdf</w:t>
              </w:r>
            </w:hyperlink>
            <w:r>
              <w:rPr>
                <w:sz w:val="17"/>
                <w:szCs w:val="17"/>
              </w:rPr>
              <w:t xml:space="preserve"> 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105">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106">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107">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108">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109">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110">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r>
              <w:rPr>
                <w:sz w:val="17"/>
                <w:szCs w:val="17"/>
              </w:rPr>
              <w:t xml:space="preserve">https://nzmj.org.nz/media/pages/journal/vol-131-no-1471/mahi-a-atua-a-pathway-forward-for-maori-mental-health/2f88ad3102-1696474232/mahi-a-atua-a-pathway-forward-for-maori-mental-health.pdf</w:t>
            </w:r>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 and traditional healing practices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Vara et al. Developing a culturally informed telepsychiatry competency framework for Aotearoa New Zealand. </w:t>
            </w:r>
            <w:r>
              <w:rPr>
                <w:i/>
                <w:sz w:val="17"/>
                <w:szCs w:val="17"/>
              </w:rPr>
              <w:t xml:space="preserve">Australas Psychiatry.</w:t>
            </w:r>
            <w:r>
              <w:rPr>
                <w:sz w:val="17"/>
                <w:szCs w:val="17"/>
              </w:rPr>
              <w:t xml:space="preserve"> 2025;33(6):902–908</w:t>
            </w:r>
          </w:p>
        </w:tc>
        <w:tc>
          <w:tcPr>
            <w:tcW w:w="1248" w:type="dxa"/>
          </w:tcPr>
          <w:p>
            <w:pPr>
              <w:spacing w:before="20" w:after="20" w:line="240" w:lineRule="auto"/>
            </w:pPr>
            <w:hyperlink r:id="rId1111">
              <w:r>
                <w:rPr>
                  <w:rStyle w:val="Hyperlink"/>
                  <w:sz w:val="17"/>
                  <w:szCs w:val="17"/>
                </w:rPr>
                <w:t xml:space="preserve">doi:10.1177/10398562251345313</w:t>
              </w:r>
            </w:hyperlink>
          </w:p>
        </w:tc>
        <w:tc>
          <w:tcPr>
            <w:tcW w:w="4320" w:type="dxa"/>
          </w:tcPr>
          <w:p>
            <w:pPr>
              <w:spacing w:before="20" w:after="20" w:line="240" w:lineRule="auto"/>
            </w:pPr>
            <w:r>
              <w:rPr>
                <w:sz w:val="17"/>
                <w:szCs w:val="17"/>
              </w:rPr>
              <w:t xml:space="preserve">A culturally-informed competency framework for Aotearoa New Zealand — directly relevant to embedding cultural safety in the curriculum.</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12.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112">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113">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114">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115">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116">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117">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118">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119">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120">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Monrouxe et al. How prepared are UK medical graduates for practice? (rapid review). </w:t>
            </w:r>
            <w:r>
              <w:rPr>
                <w:i/>
                <w:sz w:val="17"/>
                <w:szCs w:val="17"/>
              </w:rPr>
              <w:t xml:space="preserve">BMJ Open</w:t>
            </w:r>
            <w:r>
              <w:rPr>
                <w:sz w:val="17"/>
                <w:szCs w:val="17"/>
              </w:rPr>
              <w:t xml:space="preserve"> 2017</w:t>
            </w:r>
          </w:p>
        </w:tc>
        <w:tc>
          <w:tcPr>
            <w:tcW w:w="1248" w:type="dxa"/>
          </w:tcPr>
          <w:p>
            <w:pPr>
              <w:spacing w:before="20" w:after="20" w:line="240" w:lineRule="auto"/>
            </w:pPr>
            <w:hyperlink r:id="rId1121">
              <w:r>
                <w:rPr>
                  <w:rStyle w:val="Hyperlink"/>
                  <w:sz w:val="17"/>
                  <w:szCs w:val="17"/>
                </w:rPr>
                <w:t xml:space="preserve">doi:10.1136/bmjopen-2016-013656</w:t>
              </w:r>
            </w:hyperlink>
          </w:p>
        </w:tc>
        <w:tc>
          <w:tcPr>
            <w:tcW w:w="4320" w:type="dxa"/>
          </w:tcPr>
          <w:p>
            <w:pPr>
              <w:spacing w:before="20" w:after="20" w:line="240" w:lineRule="auto"/>
            </w:pPr>
            <w:r>
              <w:rPr>
                <w:sz w:val="17"/>
                <w:szCs w:val="17"/>
              </w:rPr>
              <w:t xml:space="preserve">Graduates rate themselves more prepared than expert assessment shows, with persistent gaps — evidence that qualification ≠ readiness for the full demands of practice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122">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123">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124">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Dreyfus (§4) · Ericsson (§4) · Cruess (§9) </w:t>
            </w:r>
            <w:r>
              <w:rPr>
                <w:i/>
                <w:sz w:val="17"/>
                <w:szCs w:val="17"/>
              </w:rPr>
              <w:t xml:space="preserve">(cross-ref)</w:t>
            </w:r>
          </w:p>
        </w:tc>
        <w:tc>
          <w:tcPr>
            <w:tcW w:w="1248" w:type="dxa"/>
          </w:tcPr>
          <w:p>
            <w:pPr>
              <w:spacing w:before="20" w:after="20" w:line="240" w:lineRule="auto"/>
            </w:pPr>
            <w:r>
              <w:rPr>
                <w:sz w:val="17"/>
                <w:szCs w:val="17"/>
              </w:rPr>
              <w:t xml:space="preserve">—</w:t>
            </w:r>
          </w:p>
        </w:tc>
        <w:tc>
          <w:tcPr>
            <w:tcW w:w="4320" w:type="dxa"/>
          </w:tcPr>
          <w:p>
            <w:pPr>
              <w:spacing w:before="20" w:after="20" w:line="240" w:lineRule="auto"/>
            </w:pPr>
            <w:r>
              <w:rPr>
                <w:sz w:val="17"/>
                <w:szCs w:val="17"/>
              </w:rPr>
              <w:t xml:space="preserve">The developmental spine: competence at qualification ≠ proficiency/expertise/identity-maturity, which accrue over the post-Fellowship years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14.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125">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126">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127">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128">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129">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130">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131">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132">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15. Workforce &amp; System Needs</w:t>
      </w:r>
    </w:p>
    <w:p>
      <w:r>
        <w:t xml:space="preserve">The redesign does not sit in a vacuum: workforce shortages, training bottlenecks, subspecialty gaps, rural and remote access, trainee wellbeing and the safety of the learning environment all shape what a sustainable program must deliver. The references below — largely Australasian and RANZCP-specific — map that system context, plus two international training-model comparators. </w:t>
      </w:r>
      <w:r>
        <w:rPr>
          <w:i/>
        </w:rPr>
        <w:t xml:space="preserve">(These are papers from the NFPT review that concern the training system rather than education methodology per se; ★ marks them as newly added.)</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 Looi, Bastiampillai, Allison. Psychiatrist workforce planning: contexts, considerations and recommendations. </w:t>
            </w:r>
            <w:r>
              <w:rPr>
                <w:i/>
                <w:sz w:val="17"/>
                <w:szCs w:val="17"/>
              </w:rPr>
              <w:t xml:space="preserve">Australas Psychiatry.</w:t>
            </w:r>
            <w:r>
              <w:rPr>
                <w:sz w:val="17"/>
                <w:szCs w:val="17"/>
              </w:rPr>
              <w:t xml:space="preserve"> 2022</w:t>
            </w:r>
          </w:p>
        </w:tc>
        <w:tc>
          <w:tcPr>
            <w:tcW w:w="1248" w:type="dxa"/>
          </w:tcPr>
          <w:p>
            <w:pPr>
              <w:spacing w:before="20" w:after="20" w:line="240" w:lineRule="auto"/>
            </w:pPr>
            <w:hyperlink r:id="rId1133">
              <w:r>
                <w:rPr>
                  <w:rStyle w:val="Hyperlink"/>
                  <w:sz w:val="17"/>
                  <w:szCs w:val="17"/>
                </w:rPr>
                <w:t xml:space="preserve">doi:10.1177/10398562211042367</w:t>
              </w:r>
            </w:hyperlink>
          </w:p>
        </w:tc>
        <w:tc>
          <w:tcPr>
            <w:tcW w:w="4320" w:type="dxa"/>
          </w:tcPr>
          <w:p>
            <w:pPr>
              <w:spacing w:before="20" w:after="20" w:line="240" w:lineRule="auto"/>
            </w:pPr>
            <w:r>
              <w:rPr>
                <w:sz w:val="17"/>
                <w:szCs w:val="17"/>
              </w:rPr>
              <w:t xml:space="preserve">RANZCP-relevant framing of psychiatrist workforce planning.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Northwood et al. Understanding the drivers of bottlenecks in RANZCP training: modelling and a calculator to determine sustainable trainee intake. </w:t>
            </w:r>
            <w:r>
              <w:rPr>
                <w:i/>
                <w:sz w:val="17"/>
                <w:szCs w:val="17"/>
              </w:rPr>
              <w:t xml:space="preserve">Australas Psychiatry.</w:t>
            </w:r>
            <w:r>
              <w:rPr>
                <w:sz w:val="17"/>
                <w:szCs w:val="17"/>
              </w:rPr>
              <w:t xml:space="preserve"> 2021</w:t>
            </w:r>
          </w:p>
        </w:tc>
        <w:tc>
          <w:tcPr>
            <w:tcW w:w="1248" w:type="dxa"/>
          </w:tcPr>
          <w:p>
            <w:pPr>
              <w:spacing w:before="20" w:after="20" w:line="240" w:lineRule="auto"/>
            </w:pPr>
            <w:hyperlink r:id="rId1134">
              <w:r>
                <w:rPr>
                  <w:rStyle w:val="Hyperlink"/>
                  <w:sz w:val="17"/>
                  <w:szCs w:val="17"/>
                </w:rPr>
                <w:t xml:space="preserve">doi:10.1177/1039856220975281</w:t>
              </w:r>
            </w:hyperlink>
          </w:p>
        </w:tc>
        <w:tc>
          <w:tcPr>
            <w:tcW w:w="4320" w:type="dxa"/>
          </w:tcPr>
          <w:p>
            <w:pPr>
              <w:spacing w:before="20" w:after="20" w:line="240" w:lineRule="auto"/>
            </w:pPr>
            <w:r>
              <w:rPr>
                <w:sz w:val="17"/>
                <w:szCs w:val="17"/>
              </w:rPr>
              <w:t xml:space="preserve">RANZCP-specific: models training bottlenecks and sustainable trainee intake.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Lundin et al. Addiction experts: the discrepancy between expectations and reality of generalist psychiatry training. </w:t>
            </w:r>
            <w:r>
              <w:rPr>
                <w:i/>
                <w:sz w:val="17"/>
                <w:szCs w:val="17"/>
              </w:rPr>
              <w:t xml:space="preserve">Australas Psychiatry.</w:t>
            </w:r>
            <w:r>
              <w:rPr>
                <w:sz w:val="17"/>
                <w:szCs w:val="17"/>
              </w:rPr>
              <w:t xml:space="preserve"> 2023;31(2):224–227</w:t>
            </w:r>
          </w:p>
        </w:tc>
        <w:tc>
          <w:tcPr>
            <w:tcW w:w="1248" w:type="dxa"/>
          </w:tcPr>
          <w:p>
            <w:pPr>
              <w:spacing w:before="20" w:after="20" w:line="240" w:lineRule="auto"/>
            </w:pPr>
            <w:hyperlink r:id="rId1135">
              <w:r>
                <w:rPr>
                  <w:rStyle w:val="Hyperlink"/>
                  <w:sz w:val="17"/>
                  <w:szCs w:val="17"/>
                </w:rPr>
                <w:t xml:space="preserve">doi:10.1177/10398562231153015</w:t>
              </w:r>
            </w:hyperlink>
          </w:p>
        </w:tc>
        <w:tc>
          <w:tcPr>
            <w:tcW w:w="4320" w:type="dxa"/>
          </w:tcPr>
          <w:p>
            <w:pPr>
              <w:spacing w:before="20" w:after="20" w:line="240" w:lineRule="auto"/>
            </w:pPr>
            <w:r>
              <w:rPr>
                <w:sz w:val="17"/>
                <w:szCs w:val="17"/>
              </w:rPr>
              <w:t xml:space="preserve">A subspecialty (addiction) training gap between expectation and reality.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Hill et al. Addiction psychiatry training in rural Australia: a Victorian initiative. </w:t>
            </w:r>
            <w:r>
              <w:rPr>
                <w:i/>
                <w:sz w:val="17"/>
                <w:szCs w:val="17"/>
              </w:rPr>
              <w:t xml:space="preserve">Australas Psychiatry.</w:t>
            </w:r>
            <w:r>
              <w:rPr>
                <w:sz w:val="17"/>
                <w:szCs w:val="17"/>
              </w:rPr>
              <w:t xml:space="preserve"> 2021;29(2):230–233</w:t>
            </w:r>
          </w:p>
        </w:tc>
        <w:tc>
          <w:tcPr>
            <w:tcW w:w="1248" w:type="dxa"/>
          </w:tcPr>
          <w:p>
            <w:pPr>
              <w:spacing w:before="20" w:after="20" w:line="240" w:lineRule="auto"/>
            </w:pPr>
            <w:hyperlink r:id="rId1136">
              <w:r>
                <w:rPr>
                  <w:rStyle w:val="Hyperlink"/>
                  <w:sz w:val="17"/>
                  <w:szCs w:val="17"/>
                </w:rPr>
                <w:t xml:space="preserve">doi:10.1177/1039856220946593</w:t>
              </w:r>
            </w:hyperlink>
          </w:p>
        </w:tc>
        <w:tc>
          <w:tcPr>
            <w:tcW w:w="4320" w:type="dxa"/>
          </w:tcPr>
          <w:p>
            <w:pPr>
              <w:spacing w:before="20" w:after="20" w:line="240" w:lineRule="auto"/>
            </w:pPr>
            <w:r>
              <w:rPr>
                <w:sz w:val="17"/>
                <w:szCs w:val="17"/>
              </w:rPr>
              <w:t xml:space="preserve">A rural addiction-training model.</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Coleman et al. Remote supervision in psychiatry training: unlocking capacity and technology. </w:t>
            </w:r>
            <w:r>
              <w:rPr>
                <w:i/>
                <w:sz w:val="17"/>
                <w:szCs w:val="17"/>
              </w:rPr>
              <w:t xml:space="preserve">Australas Psychiatry.</w:t>
            </w:r>
            <w:r>
              <w:rPr>
                <w:sz w:val="17"/>
                <w:szCs w:val="17"/>
              </w:rPr>
              <w:t xml:space="preserve"> 2022;30(6):768–770</w:t>
            </w:r>
          </w:p>
        </w:tc>
        <w:tc>
          <w:tcPr>
            <w:tcW w:w="1248" w:type="dxa"/>
          </w:tcPr>
          <w:p>
            <w:pPr>
              <w:spacing w:before="20" w:after="20" w:line="240" w:lineRule="auto"/>
            </w:pPr>
            <w:hyperlink r:id="rId1137">
              <w:r>
                <w:rPr>
                  <w:rStyle w:val="Hyperlink"/>
                  <w:sz w:val="17"/>
                  <w:szCs w:val="17"/>
                </w:rPr>
                <w:t xml:space="preserve">doi:10.1177/10398562221127825</w:t>
              </w:r>
            </w:hyperlink>
          </w:p>
        </w:tc>
        <w:tc>
          <w:tcPr>
            <w:tcW w:w="4320" w:type="dxa"/>
          </w:tcPr>
          <w:p>
            <w:pPr>
              <w:spacing w:before="20" w:after="20" w:line="240" w:lineRule="auto"/>
            </w:pPr>
            <w:r>
              <w:rPr>
                <w:sz w:val="17"/>
                <w:szCs w:val="17"/>
              </w:rPr>
              <w:t xml:space="preserve">Remote supervision to expand rural/remote training capacity.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Coleman. Whose rural? Shaping rural psychiatry training in Aotearoa New Zealand. </w:t>
            </w:r>
            <w:r>
              <w:rPr>
                <w:i/>
                <w:sz w:val="17"/>
                <w:szCs w:val="17"/>
              </w:rPr>
              <w:t xml:space="preserve">Australas Psychiatry.</w:t>
            </w:r>
            <w:r>
              <w:rPr>
                <w:sz w:val="17"/>
                <w:szCs w:val="17"/>
              </w:rPr>
              <w:t xml:space="preserve"> 2025;33(6)</w:t>
            </w:r>
          </w:p>
        </w:tc>
        <w:tc>
          <w:tcPr>
            <w:tcW w:w="1248" w:type="dxa"/>
          </w:tcPr>
          <w:p>
            <w:pPr>
              <w:spacing w:before="20" w:after="20" w:line="240" w:lineRule="auto"/>
            </w:pPr>
            <w:hyperlink r:id="rId1138">
              <w:r>
                <w:rPr>
                  <w:rStyle w:val="Hyperlink"/>
                  <w:sz w:val="17"/>
                  <w:szCs w:val="17"/>
                </w:rPr>
                <w:t xml:space="preserve">doi:10.1177/10398562251377324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Rural psychiatry training in Aotearoa New Zealand.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 Orlik et al. Transforming the journey together: …psychiatry trainee experiences of training and wellbeing. </w:t>
            </w:r>
            <w:r>
              <w:rPr>
                <w:i/>
                <w:sz w:val="17"/>
                <w:szCs w:val="17"/>
              </w:rPr>
              <w:t xml:space="preserve">Australas Psychiatry.</w:t>
            </w:r>
            <w:r>
              <w:rPr>
                <w:sz w:val="17"/>
                <w:szCs w:val="17"/>
              </w:rPr>
              <w:t xml:space="preserve"> 2022;30(3):391–397</w:t>
            </w:r>
          </w:p>
        </w:tc>
        <w:tc>
          <w:tcPr>
            <w:tcW w:w="1248" w:type="dxa"/>
          </w:tcPr>
          <w:p>
            <w:pPr>
              <w:spacing w:before="20" w:after="20" w:line="240" w:lineRule="auto"/>
            </w:pPr>
            <w:r>
              <w:rPr>
                <w:sz w:val="17"/>
                <w:szCs w:val="17"/>
              </w:rPr>
              <w:t xml:space="preserve">journals.sagepub.com </w:t>
            </w:r>
            <w:r>
              <w:rPr>
                <w:i/>
                <w:sz w:val="17"/>
                <w:szCs w:val="17"/>
              </w:rPr>
              <w:t xml:space="preserve">(DOI to confirm)</w:t>
            </w:r>
          </w:p>
        </w:tc>
        <w:tc>
          <w:tcPr>
            <w:tcW w:w="4320" w:type="dxa"/>
          </w:tcPr>
          <w:p>
            <w:pPr>
              <w:spacing w:before="20" w:after="20" w:line="240" w:lineRule="auto"/>
            </w:pPr>
            <w:r>
              <w:rPr>
                <w:sz w:val="17"/>
                <w:szCs w:val="17"/>
              </w:rPr>
              <w:t xml:space="preserve">A co-designed study of trainee wellbeing.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Wilkes et al. Bullying within specialist medical training in Australia: analysis of the medical training survey, 2020–2023. </w:t>
            </w:r>
            <w:r>
              <w:rPr>
                <w:i/>
                <w:sz w:val="17"/>
                <w:szCs w:val="17"/>
              </w:rPr>
              <w:t xml:space="preserve">Australas Psychiatry.</w:t>
            </w:r>
            <w:r>
              <w:rPr>
                <w:sz w:val="17"/>
                <w:szCs w:val="17"/>
              </w:rPr>
              <w:t xml:space="preserve"> 2024;32(5):459–466</w:t>
            </w:r>
          </w:p>
        </w:tc>
        <w:tc>
          <w:tcPr>
            <w:tcW w:w="1248" w:type="dxa"/>
          </w:tcPr>
          <w:p>
            <w:pPr>
              <w:spacing w:before="20" w:after="20" w:line="240" w:lineRule="auto"/>
            </w:pPr>
            <w:hyperlink r:id="rId1139">
              <w:r>
                <w:rPr>
                  <w:rStyle w:val="Hyperlink"/>
                  <w:sz w:val="17"/>
                  <w:szCs w:val="17"/>
                </w:rPr>
                <w:t xml:space="preserve">doi:10.1177/10398562241269123</w:t>
              </w:r>
            </w:hyperlink>
          </w:p>
        </w:tc>
        <w:tc>
          <w:tcPr>
            <w:tcW w:w="4320" w:type="dxa"/>
          </w:tcPr>
          <w:p>
            <w:pPr>
              <w:spacing w:before="20" w:after="20" w:line="240" w:lineRule="auto"/>
            </w:pPr>
            <w:r>
              <w:rPr>
                <w:sz w:val="17"/>
                <w:szCs w:val="17"/>
              </w:rPr>
              <w:t xml:space="preserve">Evidence on bullying — the safety of the learning environment.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Tian et al. Increasing demand and persistent gaps in perceived need for mental health care: national findings 2007–2021. </w:t>
            </w:r>
            <w:r>
              <w:rPr>
                <w:i/>
                <w:sz w:val="17"/>
                <w:szCs w:val="17"/>
              </w:rPr>
              <w:t xml:space="preserve">ANZJP.</w:t>
            </w:r>
            <w:r>
              <w:rPr>
                <w:sz w:val="17"/>
                <w:szCs w:val="17"/>
              </w:rPr>
              <w:t xml:space="preserve"> 2026</w:t>
            </w:r>
          </w:p>
        </w:tc>
        <w:tc>
          <w:tcPr>
            <w:tcW w:w="1248" w:type="dxa"/>
          </w:tcPr>
          <w:p>
            <w:pPr>
              <w:spacing w:before="20" w:after="20" w:line="240" w:lineRule="auto"/>
            </w:pPr>
            <w:hyperlink r:id="rId1140">
              <w:r>
                <w:rPr>
                  <w:rStyle w:val="Hyperlink"/>
                  <w:sz w:val="17"/>
                  <w:szCs w:val="17"/>
                </w:rPr>
                <w:t xml:space="preserve">doi:10.1177/00048674251393164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System demand/need context underpinning workforce planning.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Molina-Ruiz et al. Training in neuropsychiatry: views of early career psychiatrists from across the world. </w:t>
            </w:r>
            <w:r>
              <w:rPr>
                <w:i/>
                <w:sz w:val="17"/>
                <w:szCs w:val="17"/>
              </w:rPr>
              <w:t xml:space="preserve">BJPsych Bull.</w:t>
            </w:r>
            <w:r>
              <w:rPr>
                <w:sz w:val="17"/>
                <w:szCs w:val="17"/>
              </w:rPr>
              <w:t xml:space="preserve"> 2024;48(2):78–84</w:t>
            </w:r>
          </w:p>
        </w:tc>
        <w:tc>
          <w:tcPr>
            <w:tcW w:w="1248" w:type="dxa"/>
          </w:tcPr>
          <w:p>
            <w:pPr>
              <w:spacing w:before="20" w:after="20" w:line="240" w:lineRule="auto"/>
            </w:pPr>
            <w:hyperlink r:id="rId1141">
              <w:r>
                <w:rPr>
                  <w:rStyle w:val="Hyperlink"/>
                  <w:sz w:val="17"/>
                  <w:szCs w:val="17"/>
                </w:rPr>
                <w:t xml:space="preserve">doi:10.1192/bjb.2023.32</w:t>
              </w:r>
            </w:hyperlink>
          </w:p>
        </w:tc>
        <w:tc>
          <w:tcPr>
            <w:tcW w:w="4320" w:type="dxa"/>
          </w:tcPr>
          <w:p>
            <w:pPr>
              <w:spacing w:before="20" w:after="20" w:line="240" w:lineRule="auto"/>
            </w:pPr>
            <w:r>
              <w:rPr>
                <w:sz w:val="17"/>
                <w:szCs w:val="17"/>
              </w:rPr>
              <w:t xml:space="preserve">International early-career perspectives on (neuro)psychiatry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 Booth et al. Toward a new model of training in Canadian forensic psychiatry. </w:t>
            </w:r>
            <w:r>
              <w:rPr>
                <w:i/>
                <w:sz w:val="17"/>
                <w:szCs w:val="17"/>
              </w:rPr>
              <w:t xml:space="preserve">J Am Acad Psychiatry Law.</w:t>
            </w:r>
            <w:r>
              <w:rPr>
                <w:sz w:val="17"/>
                <w:szCs w:val="17"/>
              </w:rPr>
              <w:t xml:space="preserve"> 2021;49(3):381–395</w:t>
            </w:r>
          </w:p>
        </w:tc>
        <w:tc>
          <w:tcPr>
            <w:tcW w:w="1248" w:type="dxa"/>
          </w:tcPr>
          <w:p>
            <w:pPr>
              <w:spacing w:before="20" w:after="20" w:line="240" w:lineRule="auto"/>
            </w:pPr>
            <w:hyperlink r:id="rId1142">
              <w:r>
                <w:rPr>
                  <w:rStyle w:val="Hyperlink"/>
                  <w:sz w:val="17"/>
                  <w:szCs w:val="17"/>
                </w:rPr>
                <w:t xml:space="preserve">doi:10.29158/JAAPL.200112-20</w:t>
              </w:r>
            </w:hyperlink>
          </w:p>
        </w:tc>
        <w:tc>
          <w:tcPr>
            <w:tcW w:w="4320" w:type="dxa"/>
          </w:tcPr>
          <w:p>
            <w:pPr>
              <w:spacing w:before="20" w:after="20" w:line="240" w:lineRule="auto"/>
            </w:pPr>
            <w:r>
              <w:rPr>
                <w:sz w:val="17"/>
                <w:szCs w:val="17"/>
              </w:rPr>
              <w:t xml:space="preserve">An international CBME-based subspecialty training-model comparator.</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(§11) must additionally be reviewed and led by Aboriginal and Torres Strait Islander and by Māori mental-health colleagues and knowledge-holders before use, as set out in the note within that section.</w:t>
      </w:r>
    </w:p>
    <w:p>
      <w:r>
        <w:rPr>
          <w:i/>
        </w:rPr>
        <w:t xml:space="preserve">Version 7.1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77/1039856215600898" TargetMode="External"/><Relationship Id="rId1013" Type="http://schemas.openxmlformats.org/officeDocument/2006/relationships/hyperlink" Target="https://doi.org/10.1186/s12909-024-05609-6" TargetMode="External"/><Relationship Id="rId1014" Type="http://schemas.openxmlformats.org/officeDocument/2006/relationships/hyperlink" Target="https://doi.org/10.1111/j.1365-2929.2005.02341.x" TargetMode="External"/><Relationship Id="rId1015" Type="http://schemas.openxmlformats.org/officeDocument/2006/relationships/hyperlink" Target="https://doi.org/10.3109/0142159X.2015.1060308" TargetMode="External"/><Relationship Id="rId1016" Type="http://schemas.openxmlformats.org/officeDocument/2006/relationships/hyperlink" Target="https://doi.org/10.1080/0142159X.2020.1838465" TargetMode="External"/><Relationship Id="rId1017" Type="http://schemas.openxmlformats.org/officeDocument/2006/relationships/hyperlink" Target="https://doi.org/10.1097/ACM.0b013e3182677805" TargetMode="External"/><Relationship Id="rId1018" Type="http://schemas.openxmlformats.org/officeDocument/2006/relationships/hyperlink" Target="https://doi.org/10.1007/s40596-020-01341-7" TargetMode="External"/><Relationship Id="rId1019" Type="http://schemas.openxmlformats.org/officeDocument/2006/relationships/hyperlink" Target="https://doi.org/10.1007/BF00138871" TargetMode="External"/><Relationship Id="rId1020" Type="http://schemas.openxmlformats.org/officeDocument/2006/relationships/hyperlink" Target="https://doi.org/10.1111/j.1365-2923.1984.tb01024.x" TargetMode="External"/><Relationship Id="rId1021" Type="http://schemas.openxmlformats.org/officeDocument/2006/relationships/hyperlink" Target="https://doi.org/10.1097/ACM.0000000000003270" TargetMode="External"/><Relationship Id="rId1022" Type="http://schemas.openxmlformats.org/officeDocument/2006/relationships/hyperlink" Target="https://doi.org/10.1111/medu.15681" TargetMode="External"/><Relationship Id="rId1023" Type="http://schemas.openxmlformats.org/officeDocument/2006/relationships/hyperlink" Target="https://doi.org/10.1192/bjb.2024.24" TargetMode="External"/><Relationship Id="rId1024" Type="http://schemas.openxmlformats.org/officeDocument/2006/relationships/hyperlink" Target="https://doi.org/10.1192/bjb.2025.10184" TargetMode="External"/><Relationship Id="rId1025" Type="http://schemas.openxmlformats.org/officeDocument/2006/relationships/hyperlink" Target="https://doi.org/10.1192/bjb.2025.34" TargetMode="External"/><Relationship Id="rId1026" Type="http://schemas.openxmlformats.org/officeDocument/2006/relationships/hyperlink" Target="https://doi.org/10.1177/10398562211029949" TargetMode="External"/><Relationship Id="rId1027" Type="http://schemas.openxmlformats.org/officeDocument/2006/relationships/hyperlink" Target="https://doi.org/10.1192/bjb.2021.32" TargetMode="External"/><Relationship Id="rId1028" Type="http://schemas.openxmlformats.org/officeDocument/2006/relationships/hyperlink" Target="https://doi.org/10.1097/00001888-199908000-00011" TargetMode="External"/><Relationship Id="rId1029" Type="http://schemas.openxmlformats.org/officeDocument/2006/relationships/hyperlink" Target="https://doi.org/10.1037/0003-066X.55.1.68" TargetMode="External"/><Relationship Id="rId1030" Type="http://schemas.openxmlformats.org/officeDocument/2006/relationships/hyperlink" Target="https://doi.org/10.3109/0142159X.2011.595435" TargetMode="External"/><Relationship Id="rId1031" Type="http://schemas.openxmlformats.org/officeDocument/2006/relationships/hyperlink" Target="https://doi.org/10.1207/s15516709cog1202_4" TargetMode="External"/><Relationship Id="rId1032" Type="http://schemas.openxmlformats.org/officeDocument/2006/relationships/hyperlink" Target="https://doi.org/10.1177/1529100612453266" TargetMode="External"/><Relationship Id="rId1033" Type="http://schemas.openxmlformats.org/officeDocument/2006/relationships/hyperlink" Target="https://doi.org/10.1073/pnas.1319030111" TargetMode="External"/><Relationship Id="rId1034" Type="http://schemas.openxmlformats.org/officeDocument/2006/relationships/hyperlink" Target="https://onlinelibrary.wiley.com/doi/abs/10.1111/j.1553-2712.2008.00227.x" TargetMode="External"/><Relationship Id="rId1035" Type="http://schemas.openxmlformats.org/officeDocument/2006/relationships/hyperlink" Target="https://doi.org/10.1097/ACM.0b013e318217e119" TargetMode="External"/><Relationship Id="rId1036" Type="http://schemas.openxmlformats.org/officeDocument/2006/relationships/hyperlink" Target="https://doi.org/10.1192/bjb.2022.40" TargetMode="External"/><Relationship Id="rId1037" Type="http://schemas.openxmlformats.org/officeDocument/2006/relationships/hyperlink" Target="https://doi.org/10.1192/bjb.2022.18" TargetMode="External"/><Relationship Id="rId1038" Type="http://schemas.openxmlformats.org/officeDocument/2006/relationships/hyperlink" Target="https://doi.org/10.1177/10398562251344470" TargetMode="External"/><Relationship Id="rId1039" Type="http://schemas.openxmlformats.org/officeDocument/2006/relationships/hyperlink" Target="https://doi.org/10.1192/bjp.2025.10464" TargetMode="External"/><Relationship Id="rId1040" Type="http://schemas.openxmlformats.org/officeDocument/2006/relationships/hyperlink" Target="https://doi.org/10.1111/j.1365-2929.2005.02094.x" TargetMode="External"/><Relationship Id="rId1041" Type="http://schemas.openxmlformats.org/officeDocument/2006/relationships/hyperlink" Target="https://doi.org/10.5334/pme.1110" TargetMode="External"/><Relationship Id="rId1042" Type="http://schemas.openxmlformats.org/officeDocument/2006/relationships/hyperlink" Target="https://doi.org/10.1097/00001888-199009000-00045" TargetMode="External"/><Relationship Id="rId1043" Type="http://schemas.openxmlformats.org/officeDocument/2006/relationships/hyperlink" Target="https://doi.org/10.1111/jedm.12000" TargetMode="External"/><Relationship Id="rId1044" Type="http://schemas.openxmlformats.org/officeDocument/2006/relationships/hyperlink" Target="https://doi.org/10.1111/medu.12678" TargetMode="External"/><Relationship Id="rId1045" Type="http://schemas.openxmlformats.org/officeDocument/2006/relationships/hyperlink" Target="https://pubmed.ncbi.nlm.nih.gov/10536636/" TargetMode="External"/><Relationship Id="rId1046" Type="http://schemas.openxmlformats.org/officeDocument/2006/relationships/hyperlink" Target="https://doi.org/10.1080/01421590310001002836" TargetMode="External"/><Relationship Id="rId1047" Type="http://schemas.openxmlformats.org/officeDocument/2006/relationships/hyperlink" Target="https://doi.org/10.3109/0142159X.2013.789134" TargetMode="External"/><Relationship Id="rId1048" Type="http://schemas.openxmlformats.org/officeDocument/2006/relationships/hyperlink" Target="https://doi.org/10.1080/0142159X.2024.2339413" TargetMode="External"/><Relationship Id="rId1049" Type="http://schemas.openxmlformats.org/officeDocument/2006/relationships/hyperlink" Target="https://doi.org/10.1186/s12909-021-03077-w" TargetMode="External"/><Relationship Id="rId1050" Type="http://schemas.openxmlformats.org/officeDocument/2006/relationships/hyperlink" Target="https://doi.org/10.1080/0142159X.2020.1830052" TargetMode="External"/><Relationship Id="rId1051" Type="http://schemas.openxmlformats.org/officeDocument/2006/relationships/hyperlink" Target="https://doi.org/10.1080/0142159X.2010.507716" TargetMode="External"/><Relationship Id="rId1052" Type="http://schemas.openxmlformats.org/officeDocument/2006/relationships/hyperlink" Target="https://doi.org/10.1177/10398562231202120" TargetMode="External"/><Relationship Id="rId1053" Type="http://schemas.openxmlformats.org/officeDocument/2006/relationships/hyperlink" Target="https://doi.org/10.1177/10398562241233995" TargetMode="External"/><Relationship Id="rId1054" Type="http://schemas.openxmlformats.org/officeDocument/2006/relationships/hyperlink" Target="https://doi.org/10.3109/0142159X.2012.652239" TargetMode="External"/><Relationship Id="rId1055" Type="http://schemas.openxmlformats.org/officeDocument/2006/relationships/hyperlink" Target="https://doi.org/10.3109/0142159X.2011.565828" TargetMode="External"/><Relationship Id="rId1056" Type="http://schemas.openxmlformats.org/officeDocument/2006/relationships/hyperlink" Target="https://doi.org/10.1080/0142159X.2017.1315071" TargetMode="External"/><Relationship Id="rId1057" Type="http://schemas.openxmlformats.org/officeDocument/2006/relationships/hyperlink" Target="https://pubmed.ncbi.nlm.nih.gov/20662580/" TargetMode="External"/><Relationship Id="rId1058" Type="http://schemas.openxmlformats.org/officeDocument/2006/relationships/hyperlink" Target="https://doi.org/10.1097/ACM.0000000000001114" TargetMode="External"/><Relationship Id="rId1059" Type="http://schemas.openxmlformats.org/officeDocument/2006/relationships/hyperlink" Target="https://doi.org/10.1080/0142159X.2023.2260081" TargetMode="External"/><Relationship Id="rId1060" Type="http://schemas.openxmlformats.org/officeDocument/2006/relationships/hyperlink" Target="https://doi.org/10.1111/medu.15291" TargetMode="External"/><Relationship Id="rId1061" Type="http://schemas.openxmlformats.org/officeDocument/2006/relationships/hyperlink" Target="https://pubmed.ncbi.nlm.nih.gov/40680201/" TargetMode="External"/><Relationship Id="rId1062" Type="http://schemas.openxmlformats.org/officeDocument/2006/relationships/hyperlink" Target="https://doi.org/10.5334/pme.965" TargetMode="External"/><Relationship Id="rId1063" Type="http://schemas.openxmlformats.org/officeDocument/2006/relationships/hyperlink" Target="https://doi.org/10.1111/medu.13949" TargetMode="External"/><Relationship Id="rId1064" Type="http://schemas.openxmlformats.org/officeDocument/2006/relationships/hyperlink" Target="https://doi.org/10.1111/medu.15708" TargetMode="External"/><Relationship Id="rId1065" Type="http://schemas.openxmlformats.org/officeDocument/2006/relationships/hyperlink" Target="https://doi.org/10.4300/JGME-D-22-00050.1" TargetMode="External"/><Relationship Id="rId1066" Type="http://schemas.openxmlformats.org/officeDocument/2006/relationships/hyperlink" Target="https://doi.org/10.1177/08465371211038963" TargetMode="External"/><Relationship Id="rId1067" Type="http://schemas.openxmlformats.org/officeDocument/2006/relationships/hyperlink" Target="https://doi.org/10.1097/ACM.0000000000005305" TargetMode="External"/><Relationship Id="rId1068" Type="http://schemas.openxmlformats.org/officeDocument/2006/relationships/hyperlink" Target="https://doi.org/10.1111/medu.14075" TargetMode="External"/><Relationship Id="rId1069" Type="http://schemas.openxmlformats.org/officeDocument/2006/relationships/hyperlink" Target="https://doi.org/10.1111/medu.14807" TargetMode="External"/><Relationship Id="rId1070" Type="http://schemas.openxmlformats.org/officeDocument/2006/relationships/hyperlink" Target="https://doi.org/10.1080/0142159X.2017.1315082" TargetMode="External"/><Relationship Id="rId1071" Type="http://schemas.openxmlformats.org/officeDocument/2006/relationships/hyperlink" Target="https://doi.org/10.1111/medu.14047" TargetMode="External"/><Relationship Id="rId1072" Type="http://schemas.openxmlformats.org/officeDocument/2006/relationships/hyperlink" Target="https://doi.org/10.4300/JGME-D-23-00204.1" TargetMode="External"/><Relationship Id="rId1073" Type="http://schemas.openxmlformats.org/officeDocument/2006/relationships/hyperlink" Target="https://doi.org/10.36834/cmej.72765" TargetMode="External"/><Relationship Id="rId1074" Type="http://schemas.openxmlformats.org/officeDocument/2006/relationships/hyperlink" Target="https://doi.org/10.36834/cmej.67958" TargetMode="External"/><Relationship Id="rId1075" Type="http://schemas.openxmlformats.org/officeDocument/2006/relationships/hyperlink" Target="https://doi.org/10.1111/medu.13232" TargetMode="External"/><Relationship Id="rId1076" Type="http://schemas.openxmlformats.org/officeDocument/2006/relationships/hyperlink" Target="https://doi.org/10.3109/0142159X.2011.558140" TargetMode="External"/><Relationship Id="rId1077" Type="http://schemas.openxmlformats.org/officeDocument/2006/relationships/hyperlink" Target="https://doi.org/10.1097/ACM.0000000000004774" TargetMode="External"/><Relationship Id="rId1078" Type="http://schemas.openxmlformats.org/officeDocument/2006/relationships/hyperlink" Target="https://doi.org/10.1001/jama.1983.03340060055026" TargetMode="External"/><Relationship Id="rId1079" Type="http://schemas.openxmlformats.org/officeDocument/2006/relationships/hyperlink" Target="https://doi.org/10.3102/003465430298487" TargetMode="External"/><Relationship Id="rId1080" Type="http://schemas.openxmlformats.org/officeDocument/2006/relationships/hyperlink" Target="https://doi.org/10.1111/j.1365-2923.2007.02973.x" TargetMode="External"/><Relationship Id="rId1081" Type="http://schemas.openxmlformats.org/officeDocument/2006/relationships/hyperlink" Target="https://doi.org/10.1097/ACM.0000000000000809" TargetMode="External"/><Relationship Id="rId1082" Type="http://schemas.openxmlformats.org/officeDocument/2006/relationships/hyperlink" Target="https://doi.org/10.1007/s00431-021-04118-8" TargetMode="External"/><Relationship Id="rId1083" Type="http://schemas.openxmlformats.org/officeDocument/2006/relationships/hyperlink" Target="https://doi.org/10.1080/01421590701210907" TargetMode="External"/><Relationship Id="rId1084" Type="http://schemas.openxmlformats.org/officeDocument/2006/relationships/hyperlink" Target="https://doi.org/10.1080/014215900409429" TargetMode="External"/><Relationship Id="rId1085" Type="http://schemas.openxmlformats.org/officeDocument/2006/relationships/hyperlink" Target="https://doi.org/10.1080/01421590600902976" TargetMode="External"/><Relationship Id="rId1086" Type="http://schemas.openxmlformats.org/officeDocument/2006/relationships/hyperlink" Target="https://doi.org/10.1080/0142159X.2016.1181851" TargetMode="External"/><Relationship Id="rId1087" Type="http://schemas.openxmlformats.org/officeDocument/2006/relationships/hyperlink" Target="https://doi.org/10.1177/0270467604264992" TargetMode="External"/><Relationship Id="rId1088" Type="http://schemas.openxmlformats.org/officeDocument/2006/relationships/hyperlink" Target="https://doi.org/10.1097/ACM.0000000000000427" TargetMode="External"/><Relationship Id="rId1089" Type="http://schemas.openxmlformats.org/officeDocument/2006/relationships/hyperlink" Target="https://doi.org/10.1097/ACM.0000000000000913" TargetMode="External"/><Relationship Id="rId1090" Type="http://schemas.openxmlformats.org/officeDocument/2006/relationships/hyperlink" Target="https://doi.org/10.1007/s10459-007-9090-2" TargetMode="External"/><Relationship Id="rId1091" Type="http://schemas.openxmlformats.org/officeDocument/2006/relationships/hyperlink" Target="https://doi.org/10.1176/appi.ap.33.3.198" TargetMode="External"/><Relationship Id="rId1092" Type="http://schemas.openxmlformats.org/officeDocument/2006/relationships/hyperlink" Target="https://doi.org/10.1111/medu.70106" TargetMode="External"/><Relationship Id="rId1093" Type="http://schemas.openxmlformats.org/officeDocument/2006/relationships/hyperlink" Target="https://doi.org/10.1136/bmj.d901" TargetMode="External"/><Relationship Id="rId1094" Type="http://schemas.openxmlformats.org/officeDocument/2006/relationships/hyperlink" Target="https://doi.org/10.1136/bmj.f5662" TargetMode="External"/><Relationship Id="rId1095" Type="http://schemas.openxmlformats.org/officeDocument/2006/relationships/hyperlink" Target="https://doi.org/10.1111/medu.13605" TargetMode="External"/><Relationship Id="rId1096" Type="http://schemas.openxmlformats.org/officeDocument/2006/relationships/hyperlink" Target="https://doi.org/10.1192/bjp.2022.102" TargetMode="External"/><Relationship Id="rId1097" Type="http://schemas.openxmlformats.org/officeDocument/2006/relationships/hyperlink" Target="https://doi.org/10.1177/0004867420987886" TargetMode="External"/><Relationship Id="rId1098" Type="http://schemas.openxmlformats.org/officeDocument/2006/relationships/hyperlink" Target="https://doi.org/10.1177/00048674241274278" TargetMode="External"/><Relationship Id="rId1099" Type="http://schemas.openxmlformats.org/officeDocument/2006/relationships/hyperlink" Target="https://doi.org/10.1177/0004867420982069" TargetMode="External"/><Relationship Id="rId1100" Type="http://schemas.openxmlformats.org/officeDocument/2006/relationships/hyperlink" Target="https://www.cambridge.org/core/journals/bjpsych-bulletin/article/diversity-in-psychiatry-education-and-patient-and-public-involvement-roundtable-analysis/D74B4267ED05AB473F10E9B70BE39554" TargetMode="External"/><Relationship Id="rId1101" Type="http://schemas.openxmlformats.org/officeDocument/2006/relationships/hyperlink" Target="https://doi.org/10.1192/bjp.2025.70" TargetMode="External"/><Relationship Id="rId1102" Type="http://schemas.openxmlformats.org/officeDocument/2006/relationships/hyperlink" Target="https://doi.org/10.1177/10398562211045090" TargetMode="External"/><Relationship Id="rId1103" Type="http://schemas.openxmlformats.org/officeDocument/2006/relationships/hyperlink" Target="https://www.thekids.org.au/globalassets/media/documents/aboriginal-health/working-together-second-edition/working-together-aboriginal-and-wellbeing-2014.pdf" TargetMode="External"/><Relationship Id="rId1104" Type="http://schemas.openxmlformats.org/officeDocument/2006/relationships/hyperlink" Target="https://www.thekids.org.au/globalassets/media/documents/aboriginal-health/working-together-second-edition/wt-part-1-chapt-4-final.pdf" TargetMode="External"/><Relationship Id="rId1105" Type="http://schemas.openxmlformats.org/officeDocument/2006/relationships/hyperlink" Target="https://www.niaa.gov.au" TargetMode="External"/><Relationship Id="rId1106" Type="http://schemas.openxmlformats.org/officeDocument/2006/relationships/hyperlink" Target="https://doi.org/10.5964/jspp.v3i1.126" TargetMode="External"/><Relationship Id="rId1107" Type="http://schemas.openxmlformats.org/officeDocument/2006/relationships/hyperlink" Target="https://doi.org/10.1046/j.1038-5282.2003.02009.x" TargetMode="External"/><Relationship Id="rId1108" Type="http://schemas.openxmlformats.org/officeDocument/2006/relationships/hyperlink" Target="https://www.wgtn.ac.nz" TargetMode="External"/><Relationship Id="rId1109" Type="http://schemas.openxmlformats.org/officeDocument/2006/relationships/hyperlink" Target="https://doi.org/10.1093/intqhc/8.5.491" TargetMode="External"/><Relationship Id="rId1110" Type="http://schemas.openxmlformats.org/officeDocument/2006/relationships/hyperlink" Target="https://mentalhealth.inquiry.govt.nz" TargetMode="External"/><Relationship Id="rId1111" Type="http://schemas.openxmlformats.org/officeDocument/2006/relationships/hyperlink" Target="https://doi.org/10.1177/10398562251345313" TargetMode="External"/><Relationship Id="rId1112" Type="http://schemas.openxmlformats.org/officeDocument/2006/relationships/hyperlink" Target="https://doi.org/10.1080/01421590701682576" TargetMode="External"/><Relationship Id="rId1113" Type="http://schemas.openxmlformats.org/officeDocument/2006/relationships/hyperlink" Target="https://doi.org/10.1016/j.amjmed.2005.10.036" TargetMode="External"/><Relationship Id="rId1114" Type="http://schemas.openxmlformats.org/officeDocument/2006/relationships/hyperlink" Target="https://doi.org/10.5334/pme.1096" TargetMode="External"/><Relationship Id="rId1115" Type="http://schemas.openxmlformats.org/officeDocument/2006/relationships/hyperlink" Target="https://doi.org/10.1097/ACM.0000000000001048" TargetMode="External"/><Relationship Id="rId1116" Type="http://schemas.openxmlformats.org/officeDocument/2006/relationships/hyperlink" Target="https://doi.org/10.1186/s12909-022-03673-4" TargetMode="External"/><Relationship Id="rId1117" Type="http://schemas.openxmlformats.org/officeDocument/2006/relationships/hyperlink" Target="https://doi.org/10.1097/ACM.0b013e3181fa2913" TargetMode="External"/><Relationship Id="rId1118" Type="http://schemas.openxmlformats.org/officeDocument/2006/relationships/hyperlink" Target="https://doi.org/10.1111/j.1365-2923.2010.03755.x" TargetMode="External"/><Relationship Id="rId1119" Type="http://schemas.openxmlformats.org/officeDocument/2006/relationships/hyperlink" Target="https://doi.org/10.3109/0142159X.2012.735381" TargetMode="External"/><Relationship Id="rId1120" Type="http://schemas.openxmlformats.org/officeDocument/2006/relationships/hyperlink" Target="https://doi.org/10.1111/j.1365-2923.2011.04048.x" TargetMode="External"/><Relationship Id="rId1121" Type="http://schemas.openxmlformats.org/officeDocument/2006/relationships/hyperlink" Target="https://doi.org/10.1136/bmjopen-2016-013656" TargetMode="External"/><Relationship Id="rId1122" Type="http://schemas.openxmlformats.org/officeDocument/2006/relationships/hyperlink" Target="https://doi.org/10.1111/medu.15299" TargetMode="External"/><Relationship Id="rId1123" Type="http://schemas.openxmlformats.org/officeDocument/2006/relationships/hyperlink" Target="https://www.cambridge.org/core/journals/advances-in-psychiatric-treatment/article/in-at-the-deep-end-making-the-transition-from-spr-to-consultant/95F908BFC72747CF329A699388CE2DE8" TargetMode="External"/><Relationship Id="rId1124" Type="http://schemas.openxmlformats.org/officeDocument/2006/relationships/hyperlink" Target="https://www.cambridge.org/core/journals/advances-in-psychiatric-treatment/article/needs-of-new-consultants/90B8EBCEB0533C5FCBD75D726457F0EA" TargetMode="External"/><Relationship Id="rId1125" Type="http://schemas.openxmlformats.org/officeDocument/2006/relationships/hyperlink" Target="https://doi.org/10.4300/JGME-D-15-00144.1" TargetMode="External"/><Relationship Id="rId1126" Type="http://schemas.openxmlformats.org/officeDocument/2006/relationships/hyperlink" Target="https://doi.org/10.1097/ACM.0000000000000736" TargetMode="External"/><Relationship Id="rId1127" Type="http://schemas.openxmlformats.org/officeDocument/2006/relationships/hyperlink" Target="https://doi.org/10.1111/medu.13884" TargetMode="External"/><Relationship Id="rId1128" Type="http://schemas.openxmlformats.org/officeDocument/2006/relationships/hyperlink" Target="https://doi.org/10.1080/0142159X.2018.1474191" TargetMode="External"/><Relationship Id="rId1129" Type="http://schemas.openxmlformats.org/officeDocument/2006/relationships/hyperlink" Target="https://doi.org/10.1097/ACM.0000000000002495" TargetMode="External"/><Relationship Id="rId1130" Type="http://schemas.openxmlformats.org/officeDocument/2006/relationships/hyperlink" Target="https://doi.org/10.1007/s40037-019-0500-y" TargetMode="External"/><Relationship Id="rId1131" Type="http://schemas.openxmlformats.org/officeDocument/2006/relationships/hyperlink" Target="https://doi.org/10.1111/j.1365-2929.2004.02059.x" TargetMode="External"/><Relationship Id="rId1132" Type="http://schemas.openxmlformats.org/officeDocument/2006/relationships/hyperlink" Target="https://doi.org/10.1111/medu.14407" TargetMode="External"/><Relationship Id="rId1133" Type="http://schemas.openxmlformats.org/officeDocument/2006/relationships/hyperlink" Target="https://doi.org/10.1177/10398562211042367" TargetMode="External"/><Relationship Id="rId1134" Type="http://schemas.openxmlformats.org/officeDocument/2006/relationships/hyperlink" Target="https://doi.org/10.1177/1039856220975281" TargetMode="External"/><Relationship Id="rId1135" Type="http://schemas.openxmlformats.org/officeDocument/2006/relationships/hyperlink" Target="https://doi.org/10.1177/10398562231153015" TargetMode="External"/><Relationship Id="rId1136" Type="http://schemas.openxmlformats.org/officeDocument/2006/relationships/hyperlink" Target="https://doi.org/10.1177/1039856220946593" TargetMode="External"/><Relationship Id="rId1137" Type="http://schemas.openxmlformats.org/officeDocument/2006/relationships/hyperlink" Target="https://doi.org/10.1177/10398562221127825" TargetMode="External"/><Relationship Id="rId1138" Type="http://schemas.openxmlformats.org/officeDocument/2006/relationships/hyperlink" Target="https://doi.org/10.1177/10398562251377324" TargetMode="External"/><Relationship Id="rId1139" Type="http://schemas.openxmlformats.org/officeDocument/2006/relationships/hyperlink" Target="https://doi.org/10.1177/10398562241269123" TargetMode="External"/><Relationship Id="rId1140" Type="http://schemas.openxmlformats.org/officeDocument/2006/relationships/hyperlink" Target="https://doi.org/10.1177/00048674251393164" TargetMode="External"/><Relationship Id="rId1141" Type="http://schemas.openxmlformats.org/officeDocument/2006/relationships/hyperlink" Target="https://doi.org/10.1192/bjb.2023.32" TargetMode="External"/><Relationship Id="rId1142" Type="http://schemas.openxmlformats.org/officeDocument/2006/relationships/hyperlink" Target="https://doi.org/10.29158/JAAPL.200112-20" TargetMode="External"/></Relationships>
</file>