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BBB84" w14:textId="77777777" w:rsidR="00AB17F5" w:rsidRDefault="00000000">
      <w:pPr>
        <w:pStyle w:val="Title"/>
      </w:pPr>
      <w:r>
        <w:t>RANZCP Psychiatry Training Redesign — Sectioned Evidence Report</w:t>
      </w:r>
    </w:p>
    <w:p w14:paraId="08355933" w14:textId="77777777" w:rsidR="00AB17F5" w:rsidRDefault="00000000">
      <w:r>
        <w:rPr>
          <w:b/>
        </w:rPr>
        <w:t>Version 7.0 — 17 June 2026</w:t>
      </w:r>
    </w:p>
    <w:p w14:paraId="32273064" w14:textId="77777777" w:rsidR="00AB17F5" w:rsidRDefault="00000000">
      <w:r>
        <w:rPr>
          <w:i/>
        </w:rPr>
        <w:t>A synthesis of the medical-education and educational literature informing the redesign, organised by design domain. Each section opens with a short narrative on how the references bear on the redesign, followed by a reference table.</w:t>
      </w:r>
    </w:p>
    <w:p w14:paraId="2478311E" w14:textId="77777777" w:rsidR="00AB17F5" w:rsidRDefault="00000000">
      <w:pPr>
        <w:pStyle w:val="Heading2"/>
      </w:pPr>
      <w:r>
        <w:t>How to read the tables</w:t>
      </w:r>
    </w:p>
    <w:p w14:paraId="32010CA3" w14:textId="77777777" w:rsidR="00AB17F5" w:rsidRDefault="00000000">
      <w:pPr>
        <w:ind w:left="360"/>
      </w:pPr>
      <w:r>
        <w:t xml:space="preserve">•  </w:t>
      </w:r>
      <w:r>
        <w:rPr>
          <w:b/>
        </w:rPr>
        <w:t>Link</w:t>
      </w:r>
      <w:r>
        <w:t xml:space="preserve"> — DOI (doi.org/…) or PubMed for articles; ISBN for books; institutional site link.</w:t>
      </w:r>
    </w:p>
    <w:p w14:paraId="6D4EA0A7" w14:textId="77777777" w:rsidR="00AB17F5" w:rsidRDefault="00000000">
      <w:pPr>
        <w:ind w:left="360"/>
      </w:pPr>
      <w:r>
        <w:t xml:space="preserve">•  </w:t>
      </w:r>
      <w:r>
        <w:rPr>
          <w:b/>
        </w:rPr>
        <w:t>Category</w:t>
      </w:r>
      <w:r>
        <w:t xml:space="preserve"> — one of four:</w:t>
      </w:r>
    </w:p>
    <w:p w14:paraId="7C7625E5" w14:textId="77777777" w:rsidR="00AB17F5" w:rsidRDefault="00000000">
      <w:pPr>
        <w:ind w:left="360"/>
      </w:pPr>
      <w:r>
        <w:t xml:space="preserve">•  </w:t>
      </w:r>
      <w:r>
        <w:rPr>
          <w:b/>
        </w:rPr>
        <w:t>Evidence</w:t>
      </w:r>
      <w:r>
        <w:t xml:space="preserve"> — empirical studies, trials, systematic reviews.</w:t>
      </w:r>
    </w:p>
    <w:p w14:paraId="5B98AC5D" w14:textId="77777777" w:rsidR="00AB17F5" w:rsidRDefault="00000000">
      <w:pPr>
        <w:ind w:left="360"/>
      </w:pPr>
      <w:r>
        <w:t xml:space="preserve">•  </w:t>
      </w:r>
      <w:r>
        <w:rPr>
          <w:b/>
        </w:rPr>
        <w:t>Theory</w:t>
      </w:r>
      <w:r>
        <w:t xml:space="preserve"> — conceptual frameworks, models, and theoretical/critique pieces.</w:t>
      </w:r>
    </w:p>
    <w:p w14:paraId="0B195477" w14:textId="77777777" w:rsidR="00AB17F5" w:rsidRDefault="00000000">
      <w:pPr>
        <w:ind w:left="360"/>
      </w:pPr>
      <w:r>
        <w:t xml:space="preserve">•  </w:t>
      </w:r>
      <w:r>
        <w:rPr>
          <w:b/>
        </w:rPr>
        <w:t>RANZCP internal</w:t>
      </w:r>
      <w:r>
        <w:t xml:space="preserve"> — the College's own program documents.</w:t>
      </w:r>
    </w:p>
    <w:p w14:paraId="65CA0330" w14:textId="77777777" w:rsidR="00AB17F5" w:rsidRDefault="00000000">
      <w:pPr>
        <w:ind w:left="360"/>
      </w:pPr>
      <w:r>
        <w:t xml:space="preserve">•  </w:t>
      </w:r>
      <w:r>
        <w:rPr>
          <w:b/>
        </w:rPr>
        <w:t>Regulatory/AMC</w:t>
      </w:r>
      <w:r>
        <w:t xml:space="preserve"> — external accreditation standards and conditions.</w:t>
      </w:r>
    </w:p>
    <w:p w14:paraId="11E93DDA" w14:textId="77777777" w:rsidR="00AB17F5" w:rsidRDefault="00AB17F5">
      <w:pPr>
        <w:pBdr>
          <w:bottom w:val="single" w:sz="4" w:space="1" w:color="CCCCCC"/>
        </w:pBdr>
      </w:pPr>
    </w:p>
    <w:p w14:paraId="3BF69FE0" w14:textId="77777777" w:rsidR="00AB17F5" w:rsidRDefault="00000000">
      <w:pPr>
        <w:pStyle w:val="Heading1"/>
      </w:pPr>
      <w:r>
        <w:t>1. Competency Framework &amp; Its Critics</w:t>
      </w:r>
    </w:p>
    <w:p w14:paraId="7F601961" w14:textId="77777777" w:rsidR="00AB17F5" w:rsidRDefault="00000000">
      <w:r>
        <w:t xml:space="preserve">The redesign sits inside a competency-based architecture the College has already adopted, and which the AMC review reaffirmed by aligning graduate outcomes to </w:t>
      </w:r>
      <w:proofErr w:type="spellStart"/>
      <w:r>
        <w:rPr>
          <w:b/>
        </w:rPr>
        <w:t>CanMEDS</w:t>
      </w:r>
      <w:proofErr w:type="spellEnd"/>
      <w:r>
        <w:rPr>
          <w:b/>
        </w:rPr>
        <w:t xml:space="preserve"> 2015</w:t>
      </w:r>
      <w:r>
        <w:t xml:space="preserve">. The framework references below define that architecture; the critique references map its documented failure modes — reductionism, unmeasurable competencies, administrative burden — so the committee designs </w:t>
      </w:r>
      <w:r>
        <w:rPr>
          <w:i/>
        </w:rPr>
        <w:t>against</w:t>
      </w:r>
      <w:r>
        <w:t xml:space="preserve"> them rather than rediscovering them. (EPAs, the operational unit of the framework, have their own section — §2; the burden critique is developed in §6.) The honest framing: CBME is settled as direction; the work is implementation fidelity.</w:t>
      </w:r>
    </w:p>
    <w:tbl>
      <w:tblPr>
        <w:tblW w:w="9600" w:type="dxa"/>
        <w:tblInd w:w="1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CellMar>
          <w:left w:w="10" w:type="dxa"/>
          <w:right w:w="10" w:type="dxa"/>
        </w:tblCellMar>
        <w:tblLook w:val="07E0" w:firstRow="1" w:lastRow="1" w:firstColumn="1" w:lastColumn="1" w:noHBand="1" w:noVBand="1"/>
      </w:tblPr>
      <w:tblGrid>
        <w:gridCol w:w="1950"/>
        <w:gridCol w:w="3594"/>
        <w:gridCol w:w="2869"/>
        <w:gridCol w:w="1187"/>
      </w:tblGrid>
      <w:tr w:rsidR="00AB17F5" w14:paraId="2CAC79EF" w14:textId="77777777">
        <w:trPr>
          <w:tblHeader/>
        </w:trPr>
        <w:tc>
          <w:tcPr>
            <w:tcW w:w="2880" w:type="dxa"/>
            <w:shd w:val="clear" w:color="auto" w:fill="EFE9F4"/>
          </w:tcPr>
          <w:p w14:paraId="24BAA99B" w14:textId="77777777" w:rsidR="00AB17F5" w:rsidRDefault="00000000">
            <w:pPr>
              <w:spacing w:before="20" w:after="20" w:line="240" w:lineRule="auto"/>
            </w:pPr>
            <w:r>
              <w:rPr>
                <w:b/>
                <w:sz w:val="17"/>
                <w:szCs w:val="17"/>
              </w:rPr>
              <w:t>Reference</w:t>
            </w:r>
          </w:p>
        </w:tc>
        <w:tc>
          <w:tcPr>
            <w:tcW w:w="1248" w:type="dxa"/>
            <w:shd w:val="clear" w:color="auto" w:fill="EFE9F4"/>
          </w:tcPr>
          <w:p w14:paraId="28097374" w14:textId="77777777" w:rsidR="00AB17F5" w:rsidRDefault="00000000">
            <w:pPr>
              <w:spacing w:before="20" w:after="20" w:line="240" w:lineRule="auto"/>
            </w:pPr>
            <w:r>
              <w:rPr>
                <w:b/>
                <w:sz w:val="17"/>
                <w:szCs w:val="17"/>
              </w:rPr>
              <w:t>Link</w:t>
            </w:r>
          </w:p>
        </w:tc>
        <w:tc>
          <w:tcPr>
            <w:tcW w:w="4320" w:type="dxa"/>
            <w:shd w:val="clear" w:color="auto" w:fill="EFE9F4"/>
          </w:tcPr>
          <w:p w14:paraId="0D9F024F" w14:textId="77777777" w:rsidR="00AB17F5" w:rsidRDefault="00000000">
            <w:pPr>
              <w:spacing w:before="20" w:after="20" w:line="240" w:lineRule="auto"/>
            </w:pPr>
            <w:r>
              <w:rPr>
                <w:b/>
                <w:sz w:val="17"/>
                <w:szCs w:val="17"/>
              </w:rPr>
              <w:t>What it tells us</w:t>
            </w:r>
          </w:p>
        </w:tc>
        <w:tc>
          <w:tcPr>
            <w:tcW w:w="1152" w:type="dxa"/>
            <w:shd w:val="clear" w:color="auto" w:fill="EFE9F4"/>
          </w:tcPr>
          <w:p w14:paraId="28284A05" w14:textId="77777777" w:rsidR="00AB17F5" w:rsidRDefault="00000000">
            <w:pPr>
              <w:spacing w:before="20" w:after="20" w:line="240" w:lineRule="auto"/>
            </w:pPr>
            <w:r>
              <w:rPr>
                <w:b/>
                <w:sz w:val="17"/>
                <w:szCs w:val="17"/>
              </w:rPr>
              <w:t>Category</w:t>
            </w:r>
          </w:p>
        </w:tc>
      </w:tr>
      <w:tr w:rsidR="00AB17F5" w14:paraId="16D9CCB1" w14:textId="77777777">
        <w:tc>
          <w:tcPr>
            <w:tcW w:w="2880" w:type="dxa"/>
          </w:tcPr>
          <w:p w14:paraId="6FCE90AD" w14:textId="77777777" w:rsidR="00AB17F5" w:rsidRDefault="00000000">
            <w:pPr>
              <w:spacing w:before="20" w:after="20" w:line="240" w:lineRule="auto"/>
            </w:pPr>
            <w:r>
              <w:rPr>
                <w:sz w:val="17"/>
                <w:szCs w:val="17"/>
              </w:rPr>
              <w:t xml:space="preserve">Frank, Snell, </w:t>
            </w:r>
            <w:proofErr w:type="spellStart"/>
            <w:r>
              <w:rPr>
                <w:sz w:val="17"/>
                <w:szCs w:val="17"/>
              </w:rPr>
              <w:t>Sherbino</w:t>
            </w:r>
            <w:proofErr w:type="spellEnd"/>
            <w:r>
              <w:rPr>
                <w:sz w:val="17"/>
                <w:szCs w:val="17"/>
              </w:rPr>
              <w:t xml:space="preserve"> (eds). </w:t>
            </w:r>
            <w:proofErr w:type="spellStart"/>
            <w:r>
              <w:rPr>
                <w:i/>
                <w:sz w:val="17"/>
                <w:szCs w:val="17"/>
              </w:rPr>
              <w:t>CanMEDS</w:t>
            </w:r>
            <w:proofErr w:type="spellEnd"/>
            <w:r>
              <w:rPr>
                <w:i/>
                <w:sz w:val="17"/>
                <w:szCs w:val="17"/>
              </w:rPr>
              <w:t xml:space="preserve"> 2015 Physician Competency Framework.</w:t>
            </w:r>
            <w:r>
              <w:rPr>
                <w:sz w:val="17"/>
                <w:szCs w:val="17"/>
              </w:rPr>
              <w:t xml:space="preserve"> RCPSC; 2015</w:t>
            </w:r>
          </w:p>
        </w:tc>
        <w:tc>
          <w:tcPr>
            <w:tcW w:w="1248" w:type="dxa"/>
          </w:tcPr>
          <w:p w14:paraId="6291284B" w14:textId="77777777" w:rsidR="00AB17F5" w:rsidRDefault="00000000">
            <w:pPr>
              <w:spacing w:before="20" w:after="20" w:line="240" w:lineRule="auto"/>
            </w:pPr>
            <w:r>
              <w:rPr>
                <w:sz w:val="17"/>
                <w:szCs w:val="17"/>
              </w:rPr>
              <w:t>ISBN 978-1-926588-28-5</w:t>
            </w:r>
          </w:p>
        </w:tc>
        <w:tc>
          <w:tcPr>
            <w:tcW w:w="4320" w:type="dxa"/>
          </w:tcPr>
          <w:p w14:paraId="75C3B137" w14:textId="77777777" w:rsidR="00AB17F5" w:rsidRDefault="00000000">
            <w:pPr>
              <w:spacing w:before="20" w:after="20" w:line="240" w:lineRule="auto"/>
            </w:pPr>
            <w:r>
              <w:rPr>
                <w:sz w:val="17"/>
                <w:szCs w:val="17"/>
              </w:rPr>
              <w:t>Defines competence as seven physician Roles (Medical Expert plus six "intrinsic" roles); the explicit template RANZCP graduate outcomes are being mapped to.</w:t>
            </w:r>
          </w:p>
        </w:tc>
        <w:tc>
          <w:tcPr>
            <w:tcW w:w="1152" w:type="dxa"/>
          </w:tcPr>
          <w:p w14:paraId="6F72815D" w14:textId="77777777" w:rsidR="00AB17F5" w:rsidRDefault="00000000">
            <w:pPr>
              <w:spacing w:before="20" w:after="20" w:line="240" w:lineRule="auto"/>
            </w:pPr>
            <w:r>
              <w:rPr>
                <w:sz w:val="17"/>
                <w:szCs w:val="17"/>
              </w:rPr>
              <w:t>Theory</w:t>
            </w:r>
          </w:p>
        </w:tc>
      </w:tr>
      <w:tr w:rsidR="00AB17F5" w14:paraId="6D8652F8" w14:textId="77777777">
        <w:tc>
          <w:tcPr>
            <w:tcW w:w="2880" w:type="dxa"/>
          </w:tcPr>
          <w:p w14:paraId="3C8E582D" w14:textId="77777777" w:rsidR="00AB17F5" w:rsidRDefault="00000000">
            <w:pPr>
              <w:spacing w:before="20" w:after="20" w:line="240" w:lineRule="auto"/>
            </w:pPr>
            <w:r>
              <w:rPr>
                <w:sz w:val="17"/>
                <w:szCs w:val="17"/>
              </w:rPr>
              <w:t xml:space="preserve">RCPSC. </w:t>
            </w:r>
            <w:proofErr w:type="spellStart"/>
            <w:r>
              <w:rPr>
                <w:sz w:val="17"/>
                <w:szCs w:val="17"/>
              </w:rPr>
              <w:t>CanMEDS</w:t>
            </w:r>
            <w:proofErr w:type="spellEnd"/>
            <w:r>
              <w:rPr>
                <w:sz w:val="17"/>
                <w:szCs w:val="17"/>
              </w:rPr>
              <w:t xml:space="preserve"> 2025 revision — </w:t>
            </w:r>
            <w:proofErr w:type="gramStart"/>
            <w:r>
              <w:rPr>
                <w:sz w:val="17"/>
                <w:szCs w:val="17"/>
              </w:rPr>
              <w:t>current status</w:t>
            </w:r>
            <w:proofErr w:type="gramEnd"/>
            <w:r>
              <w:rPr>
                <w:sz w:val="17"/>
                <w:szCs w:val="17"/>
              </w:rPr>
              <w:t xml:space="preserve"> (</w:t>
            </w:r>
            <w:proofErr w:type="spellStart"/>
            <w:r>
              <w:rPr>
                <w:sz w:val="17"/>
                <w:szCs w:val="17"/>
              </w:rPr>
              <w:t>CanMEDS</w:t>
            </w:r>
            <w:proofErr w:type="spellEnd"/>
            <w:r>
              <w:rPr>
                <w:sz w:val="17"/>
                <w:szCs w:val="17"/>
              </w:rPr>
              <w:t xml:space="preserve"> Project)</w:t>
            </w:r>
          </w:p>
        </w:tc>
        <w:tc>
          <w:tcPr>
            <w:tcW w:w="1248" w:type="dxa"/>
          </w:tcPr>
          <w:p w14:paraId="3BD980D4" w14:textId="77777777" w:rsidR="00AB17F5" w:rsidRDefault="00AB17F5">
            <w:pPr>
              <w:spacing w:before="20" w:after="20" w:line="240" w:lineRule="auto"/>
            </w:pPr>
            <w:hyperlink r:id="rId4">
              <w:r>
                <w:rPr>
                  <w:rStyle w:val="Hyperlink"/>
                  <w:sz w:val="17"/>
                  <w:szCs w:val="17"/>
                </w:rPr>
                <w:t>www.royalcollege.ca/en/standards-and-accreditation/canmeds/development-and-updates.html</w:t>
              </w:r>
            </w:hyperlink>
          </w:p>
        </w:tc>
        <w:tc>
          <w:tcPr>
            <w:tcW w:w="4320" w:type="dxa"/>
          </w:tcPr>
          <w:p w14:paraId="22300DA0" w14:textId="77777777" w:rsidR="00AB17F5" w:rsidRDefault="00000000">
            <w:pPr>
              <w:spacing w:before="20" w:after="20" w:line="240" w:lineRule="auto"/>
            </w:pPr>
            <w:proofErr w:type="spellStart"/>
            <w:r>
              <w:rPr>
                <w:sz w:val="17"/>
                <w:szCs w:val="17"/>
              </w:rPr>
              <w:t>CanMEDS</w:t>
            </w:r>
            <w:proofErr w:type="spellEnd"/>
            <w:r>
              <w:rPr>
                <w:sz w:val="17"/>
                <w:szCs w:val="17"/>
              </w:rPr>
              <w:t xml:space="preserve"> is under revision (draft due 2026): the </w:t>
            </w:r>
            <w:r>
              <w:rPr>
                <w:b/>
                <w:sz w:val="17"/>
                <w:szCs w:val="17"/>
              </w:rPr>
              <w:t>seven Roles are being retained</w:t>
            </w:r>
            <w:r>
              <w:rPr>
                <w:sz w:val="17"/>
                <w:szCs w:val="17"/>
              </w:rPr>
              <w:t xml:space="preserve">, and emerging topics (wellness, planetary &amp; Indigenous health, anti-racism, AI/data, EDI) are woven through existing Roles as competencies </w:t>
            </w:r>
            <w:r>
              <w:rPr>
                <w:b/>
                <w:sz w:val="17"/>
                <w:szCs w:val="17"/>
              </w:rPr>
              <w:t>rather than added as a new Role</w:t>
            </w:r>
            <w:r>
              <w:rPr>
                <w:sz w:val="17"/>
                <w:szCs w:val="17"/>
              </w:rPr>
              <w:t xml:space="preserve"> — so align to the seven Roles, not an eighth </w:t>
            </w:r>
            <w:r>
              <w:rPr>
                <w:i/>
                <w:sz w:val="17"/>
                <w:szCs w:val="17"/>
              </w:rPr>
              <w:t>(confirm exact wording/date).</w:t>
            </w:r>
          </w:p>
        </w:tc>
        <w:tc>
          <w:tcPr>
            <w:tcW w:w="1152" w:type="dxa"/>
          </w:tcPr>
          <w:p w14:paraId="288766FA" w14:textId="77777777" w:rsidR="00AB17F5" w:rsidRDefault="00000000">
            <w:pPr>
              <w:spacing w:before="20" w:after="20" w:line="240" w:lineRule="auto"/>
            </w:pPr>
            <w:r>
              <w:rPr>
                <w:sz w:val="17"/>
                <w:szCs w:val="17"/>
              </w:rPr>
              <w:t>Theory</w:t>
            </w:r>
          </w:p>
        </w:tc>
      </w:tr>
      <w:tr w:rsidR="00AB17F5" w14:paraId="11D2EE0F" w14:textId="77777777">
        <w:tc>
          <w:tcPr>
            <w:tcW w:w="2880" w:type="dxa"/>
          </w:tcPr>
          <w:p w14:paraId="5529DF3E" w14:textId="77777777" w:rsidR="00AB17F5" w:rsidRDefault="00000000">
            <w:pPr>
              <w:spacing w:before="20" w:after="20" w:line="240" w:lineRule="auto"/>
            </w:pPr>
            <w:r>
              <w:rPr>
                <w:sz w:val="17"/>
                <w:szCs w:val="17"/>
              </w:rPr>
              <w:t xml:space="preserve">Frank et al. Competency-based medical education: theory to practice. </w:t>
            </w:r>
            <w:r>
              <w:rPr>
                <w:i/>
                <w:sz w:val="17"/>
                <w:szCs w:val="17"/>
              </w:rPr>
              <w:t>Med Teach.</w:t>
            </w:r>
            <w:r>
              <w:rPr>
                <w:sz w:val="17"/>
                <w:szCs w:val="17"/>
              </w:rPr>
              <w:t xml:space="preserve"> 2010</w:t>
            </w:r>
          </w:p>
        </w:tc>
        <w:tc>
          <w:tcPr>
            <w:tcW w:w="1248" w:type="dxa"/>
          </w:tcPr>
          <w:p w14:paraId="42661D9F" w14:textId="77777777" w:rsidR="00AB17F5" w:rsidRDefault="00AB17F5">
            <w:pPr>
              <w:spacing w:before="20" w:after="20" w:line="240" w:lineRule="auto"/>
            </w:pPr>
            <w:hyperlink r:id="rId5">
              <w:r>
                <w:rPr>
                  <w:rStyle w:val="Hyperlink"/>
                  <w:sz w:val="17"/>
                  <w:szCs w:val="17"/>
                </w:rPr>
                <w:t>doi:10.3109/0142159X.2010.501190</w:t>
              </w:r>
            </w:hyperlink>
          </w:p>
        </w:tc>
        <w:tc>
          <w:tcPr>
            <w:tcW w:w="4320" w:type="dxa"/>
          </w:tcPr>
          <w:p w14:paraId="628B3D44" w14:textId="77777777" w:rsidR="00AB17F5" w:rsidRDefault="00000000">
            <w:pPr>
              <w:spacing w:before="20" w:after="20" w:line="240" w:lineRule="auto"/>
            </w:pPr>
            <w:r>
              <w:rPr>
                <w:sz w:val="17"/>
                <w:szCs w:val="17"/>
              </w:rPr>
              <w:t>The canonical statement of CBME's rationale, promises and predictable pitfalls — read it before committing, to anticipate the failure modes</w:t>
            </w:r>
          </w:p>
        </w:tc>
        <w:tc>
          <w:tcPr>
            <w:tcW w:w="1152" w:type="dxa"/>
          </w:tcPr>
          <w:p w14:paraId="12BA581C" w14:textId="77777777" w:rsidR="00AB17F5" w:rsidRDefault="00000000">
            <w:pPr>
              <w:spacing w:before="20" w:after="20" w:line="240" w:lineRule="auto"/>
            </w:pPr>
            <w:r>
              <w:rPr>
                <w:sz w:val="17"/>
                <w:szCs w:val="17"/>
              </w:rPr>
              <w:t>Theory</w:t>
            </w:r>
          </w:p>
        </w:tc>
      </w:tr>
      <w:tr w:rsidR="00AB17F5" w14:paraId="74AB2C10" w14:textId="77777777">
        <w:tc>
          <w:tcPr>
            <w:tcW w:w="2880" w:type="dxa"/>
          </w:tcPr>
          <w:p w14:paraId="64037EA7" w14:textId="77777777" w:rsidR="00AB17F5" w:rsidRDefault="00000000">
            <w:pPr>
              <w:spacing w:before="20" w:after="20" w:line="240" w:lineRule="auto"/>
            </w:pPr>
            <w:r>
              <w:rPr>
                <w:sz w:val="17"/>
                <w:szCs w:val="17"/>
              </w:rPr>
              <w:t xml:space="preserve">ACGME. </w:t>
            </w:r>
            <w:r>
              <w:rPr>
                <w:i/>
                <w:sz w:val="17"/>
                <w:szCs w:val="17"/>
              </w:rPr>
              <w:t>The Psychiatry Milestones</w:t>
            </w:r>
            <w:r>
              <w:rPr>
                <w:sz w:val="17"/>
                <w:szCs w:val="17"/>
              </w:rPr>
              <w:t xml:space="preserve"> (2.0); 2020</w:t>
            </w:r>
          </w:p>
        </w:tc>
        <w:tc>
          <w:tcPr>
            <w:tcW w:w="1248" w:type="dxa"/>
          </w:tcPr>
          <w:p w14:paraId="751EB843" w14:textId="77777777" w:rsidR="00AB17F5" w:rsidRDefault="00AB17F5">
            <w:pPr>
              <w:spacing w:before="20" w:after="20" w:line="240" w:lineRule="auto"/>
            </w:pPr>
            <w:hyperlink r:id="rId6">
              <w:r>
                <w:rPr>
                  <w:rStyle w:val="Hyperlink"/>
                  <w:sz w:val="17"/>
                  <w:szCs w:val="17"/>
                </w:rPr>
                <w:t>www.acgme.org/specialties/psychiatry/milestones/</w:t>
              </w:r>
            </w:hyperlink>
          </w:p>
        </w:tc>
        <w:tc>
          <w:tcPr>
            <w:tcW w:w="4320" w:type="dxa"/>
          </w:tcPr>
          <w:p w14:paraId="368FDC40" w14:textId="77777777" w:rsidR="00AB17F5" w:rsidRDefault="00000000">
            <w:pPr>
              <w:spacing w:before="20" w:after="20" w:line="240" w:lineRule="auto"/>
            </w:pPr>
            <w:proofErr w:type="gramStart"/>
            <w:r>
              <w:rPr>
                <w:sz w:val="17"/>
                <w:szCs w:val="17"/>
              </w:rPr>
              <w:t>Behaviourally-anchored</w:t>
            </w:r>
            <w:proofErr w:type="gramEnd"/>
            <w:r>
              <w:rPr>
                <w:sz w:val="17"/>
                <w:szCs w:val="17"/>
              </w:rPr>
              <w:t xml:space="preserve"> </w:t>
            </w:r>
            <w:proofErr w:type="spellStart"/>
            <w:r>
              <w:rPr>
                <w:sz w:val="17"/>
                <w:szCs w:val="17"/>
              </w:rPr>
              <w:t>novice→expert</w:t>
            </w:r>
            <w:proofErr w:type="spellEnd"/>
            <w:r>
              <w:rPr>
                <w:sz w:val="17"/>
                <w:szCs w:val="17"/>
              </w:rPr>
              <w:t xml:space="preserve"> developmental trajectories per competency, validated for psychiatry residents; a defensible model for progression decisions.</w:t>
            </w:r>
          </w:p>
        </w:tc>
        <w:tc>
          <w:tcPr>
            <w:tcW w:w="1152" w:type="dxa"/>
          </w:tcPr>
          <w:p w14:paraId="48014B1B" w14:textId="77777777" w:rsidR="00AB17F5" w:rsidRDefault="00000000">
            <w:pPr>
              <w:spacing w:before="20" w:after="20" w:line="240" w:lineRule="auto"/>
            </w:pPr>
            <w:r>
              <w:rPr>
                <w:sz w:val="17"/>
                <w:szCs w:val="17"/>
              </w:rPr>
              <w:t>Theory</w:t>
            </w:r>
          </w:p>
        </w:tc>
      </w:tr>
      <w:tr w:rsidR="00AB17F5" w14:paraId="2062FAA1" w14:textId="77777777">
        <w:tc>
          <w:tcPr>
            <w:tcW w:w="2880" w:type="dxa"/>
          </w:tcPr>
          <w:p w14:paraId="65C6592C" w14:textId="77777777" w:rsidR="00AB17F5" w:rsidRDefault="00000000">
            <w:pPr>
              <w:spacing w:before="20" w:after="20" w:line="240" w:lineRule="auto"/>
            </w:pPr>
            <w:r>
              <w:rPr>
                <w:sz w:val="17"/>
                <w:szCs w:val="17"/>
              </w:rPr>
              <w:t xml:space="preserve">Touchie &amp; ten Cate. The promise, perils, problems and progress of CBME. </w:t>
            </w:r>
            <w:r>
              <w:rPr>
                <w:i/>
                <w:sz w:val="17"/>
                <w:szCs w:val="17"/>
              </w:rPr>
              <w:t>Med Educ.</w:t>
            </w:r>
            <w:r>
              <w:rPr>
                <w:sz w:val="17"/>
                <w:szCs w:val="17"/>
              </w:rPr>
              <w:t xml:space="preserve"> 2016</w:t>
            </w:r>
          </w:p>
        </w:tc>
        <w:tc>
          <w:tcPr>
            <w:tcW w:w="1248" w:type="dxa"/>
          </w:tcPr>
          <w:p w14:paraId="0557D477" w14:textId="77777777" w:rsidR="00AB17F5" w:rsidRDefault="00AB17F5">
            <w:pPr>
              <w:spacing w:before="20" w:after="20" w:line="240" w:lineRule="auto"/>
            </w:pPr>
            <w:hyperlink r:id="rId7">
              <w:r>
                <w:rPr>
                  <w:rStyle w:val="Hyperlink"/>
                  <w:sz w:val="17"/>
                  <w:szCs w:val="17"/>
                </w:rPr>
                <w:t>doi:10.1111/medu.12839</w:t>
              </w:r>
            </w:hyperlink>
          </w:p>
        </w:tc>
        <w:tc>
          <w:tcPr>
            <w:tcW w:w="4320" w:type="dxa"/>
          </w:tcPr>
          <w:p w14:paraId="157E86CA" w14:textId="77777777" w:rsidR="00AB17F5" w:rsidRDefault="00000000">
            <w:pPr>
              <w:spacing w:before="20" w:after="20" w:line="240" w:lineRule="auto"/>
            </w:pPr>
            <w:r>
              <w:rPr>
                <w:sz w:val="17"/>
                <w:szCs w:val="17"/>
              </w:rPr>
              <w:t>From CBME proponents, a candid catalogue of the documented harms — assessment burden, reductionism, gaming — useful as a standing risk register.</w:t>
            </w:r>
          </w:p>
        </w:tc>
        <w:tc>
          <w:tcPr>
            <w:tcW w:w="1152" w:type="dxa"/>
          </w:tcPr>
          <w:p w14:paraId="3205B7A5" w14:textId="77777777" w:rsidR="00AB17F5" w:rsidRDefault="00000000">
            <w:pPr>
              <w:spacing w:before="20" w:after="20" w:line="240" w:lineRule="auto"/>
            </w:pPr>
            <w:r>
              <w:rPr>
                <w:sz w:val="17"/>
                <w:szCs w:val="17"/>
              </w:rPr>
              <w:t>Theory/Evidence</w:t>
            </w:r>
          </w:p>
        </w:tc>
      </w:tr>
      <w:tr w:rsidR="00AB17F5" w14:paraId="586A1646" w14:textId="77777777">
        <w:tc>
          <w:tcPr>
            <w:tcW w:w="2880" w:type="dxa"/>
          </w:tcPr>
          <w:p w14:paraId="1035A31F" w14:textId="77777777" w:rsidR="00AB17F5" w:rsidRDefault="00000000">
            <w:pPr>
              <w:spacing w:before="20" w:after="20" w:line="240" w:lineRule="auto"/>
            </w:pPr>
            <w:r>
              <w:rPr>
                <w:sz w:val="17"/>
                <w:szCs w:val="17"/>
              </w:rPr>
              <w:t xml:space="preserve">Van Melle et al. A Core Components Framework </w:t>
            </w:r>
            <w:r>
              <w:rPr>
                <w:sz w:val="17"/>
                <w:szCs w:val="17"/>
              </w:rPr>
              <w:lastRenderedPageBreak/>
              <w:t xml:space="preserve">for Evaluating CBME. </w:t>
            </w:r>
            <w:proofErr w:type="spellStart"/>
            <w:r>
              <w:rPr>
                <w:i/>
                <w:sz w:val="17"/>
                <w:szCs w:val="17"/>
              </w:rPr>
              <w:t>Acad</w:t>
            </w:r>
            <w:proofErr w:type="spellEnd"/>
            <w:r>
              <w:rPr>
                <w:i/>
                <w:sz w:val="17"/>
                <w:szCs w:val="17"/>
              </w:rPr>
              <w:t xml:space="preserve"> Med.</w:t>
            </w:r>
            <w:r>
              <w:rPr>
                <w:sz w:val="17"/>
                <w:szCs w:val="17"/>
              </w:rPr>
              <w:t xml:space="preserve"> 2019</w:t>
            </w:r>
          </w:p>
        </w:tc>
        <w:tc>
          <w:tcPr>
            <w:tcW w:w="1248" w:type="dxa"/>
          </w:tcPr>
          <w:p w14:paraId="74BF8B50" w14:textId="77777777" w:rsidR="00AB17F5" w:rsidRDefault="00AB17F5">
            <w:pPr>
              <w:spacing w:before="20" w:after="20" w:line="240" w:lineRule="auto"/>
            </w:pPr>
            <w:hyperlink r:id="rId8">
              <w:r>
                <w:rPr>
                  <w:rStyle w:val="Hyperlink"/>
                  <w:sz w:val="17"/>
                  <w:szCs w:val="17"/>
                </w:rPr>
                <w:t>doi:10.1097/ACM.0000000000002743</w:t>
              </w:r>
            </w:hyperlink>
          </w:p>
        </w:tc>
        <w:tc>
          <w:tcPr>
            <w:tcW w:w="4320" w:type="dxa"/>
          </w:tcPr>
          <w:p w14:paraId="73507EF6" w14:textId="77777777" w:rsidR="00AB17F5" w:rsidRDefault="00000000">
            <w:pPr>
              <w:spacing w:before="20" w:after="20" w:line="240" w:lineRule="auto"/>
            </w:pPr>
            <w:r>
              <w:rPr>
                <w:sz w:val="17"/>
                <w:szCs w:val="17"/>
              </w:rPr>
              <w:t xml:space="preserve">A fidelity framework for judging whether a CBME rollout is implemented as </w:t>
            </w:r>
            <w:r>
              <w:rPr>
                <w:sz w:val="17"/>
                <w:szCs w:val="17"/>
              </w:rPr>
              <w:lastRenderedPageBreak/>
              <w:t>intended — because most "CBME failed" stories are really implementation failures.</w:t>
            </w:r>
          </w:p>
        </w:tc>
        <w:tc>
          <w:tcPr>
            <w:tcW w:w="1152" w:type="dxa"/>
          </w:tcPr>
          <w:p w14:paraId="722389CB" w14:textId="77777777" w:rsidR="00AB17F5" w:rsidRDefault="00000000">
            <w:pPr>
              <w:spacing w:before="20" w:after="20" w:line="240" w:lineRule="auto"/>
            </w:pPr>
            <w:r>
              <w:rPr>
                <w:sz w:val="17"/>
                <w:szCs w:val="17"/>
              </w:rPr>
              <w:lastRenderedPageBreak/>
              <w:t>Theory</w:t>
            </w:r>
          </w:p>
        </w:tc>
      </w:tr>
      <w:tr w:rsidR="00AB17F5" w14:paraId="043386A6" w14:textId="77777777">
        <w:tc>
          <w:tcPr>
            <w:tcW w:w="2880" w:type="dxa"/>
          </w:tcPr>
          <w:p w14:paraId="78E55A10" w14:textId="77777777" w:rsidR="00AB17F5" w:rsidRDefault="00000000">
            <w:pPr>
              <w:spacing w:before="20" w:after="20" w:line="240" w:lineRule="auto"/>
            </w:pPr>
            <w:r>
              <w:rPr>
                <w:sz w:val="17"/>
                <w:szCs w:val="17"/>
              </w:rPr>
              <w:t xml:space="preserve">Talbot. Monkey see, monkey do: a critique of the competency model. </w:t>
            </w:r>
            <w:r>
              <w:rPr>
                <w:i/>
                <w:sz w:val="17"/>
                <w:szCs w:val="17"/>
              </w:rPr>
              <w:t>Med Educ.</w:t>
            </w:r>
            <w:r>
              <w:rPr>
                <w:sz w:val="17"/>
                <w:szCs w:val="17"/>
              </w:rPr>
              <w:t xml:space="preserve"> 2004</w:t>
            </w:r>
          </w:p>
        </w:tc>
        <w:tc>
          <w:tcPr>
            <w:tcW w:w="1248" w:type="dxa"/>
          </w:tcPr>
          <w:p w14:paraId="11BD0177" w14:textId="77777777" w:rsidR="00AB17F5" w:rsidRDefault="00AB17F5">
            <w:pPr>
              <w:spacing w:before="20" w:after="20" w:line="240" w:lineRule="auto"/>
            </w:pPr>
            <w:hyperlink r:id="rId9">
              <w:r>
                <w:rPr>
                  <w:rStyle w:val="Hyperlink"/>
                  <w:sz w:val="17"/>
                  <w:szCs w:val="17"/>
                </w:rPr>
                <w:t>doi:10.1046/j.1365-2923.</w:t>
              </w:r>
              <w:proofErr w:type="gramStart"/>
              <w:r>
                <w:rPr>
                  <w:rStyle w:val="Hyperlink"/>
                  <w:sz w:val="17"/>
                  <w:szCs w:val="17"/>
                </w:rPr>
                <w:t>2004.01794.x</w:t>
              </w:r>
              <w:proofErr w:type="gramEnd"/>
            </w:hyperlink>
          </w:p>
        </w:tc>
        <w:tc>
          <w:tcPr>
            <w:tcW w:w="4320" w:type="dxa"/>
          </w:tcPr>
          <w:p w14:paraId="1AEDEA0E" w14:textId="77777777" w:rsidR="00AB17F5" w:rsidRDefault="00000000">
            <w:pPr>
              <w:spacing w:before="20" w:after="20" w:line="240" w:lineRule="auto"/>
            </w:pPr>
            <w:r>
              <w:rPr>
                <w:sz w:val="17"/>
                <w:szCs w:val="17"/>
              </w:rPr>
              <w:t>The classic philosophical critique: competency models fragment holistic professional practice into atomised, checkable units and lose the whole</w:t>
            </w:r>
          </w:p>
        </w:tc>
        <w:tc>
          <w:tcPr>
            <w:tcW w:w="1152" w:type="dxa"/>
          </w:tcPr>
          <w:p w14:paraId="3438DAED" w14:textId="77777777" w:rsidR="00AB17F5" w:rsidRDefault="00000000">
            <w:pPr>
              <w:spacing w:before="20" w:after="20" w:line="240" w:lineRule="auto"/>
            </w:pPr>
            <w:r>
              <w:rPr>
                <w:sz w:val="17"/>
                <w:szCs w:val="17"/>
              </w:rPr>
              <w:t>Theory</w:t>
            </w:r>
          </w:p>
        </w:tc>
      </w:tr>
      <w:tr w:rsidR="00AB17F5" w14:paraId="52640DDE" w14:textId="77777777">
        <w:tc>
          <w:tcPr>
            <w:tcW w:w="2880" w:type="dxa"/>
          </w:tcPr>
          <w:p w14:paraId="47C14BE5" w14:textId="77777777" w:rsidR="00AB17F5" w:rsidRDefault="00000000">
            <w:pPr>
              <w:spacing w:before="20" w:after="20" w:line="240" w:lineRule="auto"/>
            </w:pPr>
            <w:r>
              <w:rPr>
                <w:sz w:val="17"/>
                <w:szCs w:val="17"/>
              </w:rPr>
              <w:t xml:space="preserve">Lurie, Mooney, Lyness. Measurement of the general ACGME competencies: systematic review. </w:t>
            </w:r>
            <w:proofErr w:type="spellStart"/>
            <w:r>
              <w:rPr>
                <w:i/>
                <w:sz w:val="17"/>
                <w:szCs w:val="17"/>
              </w:rPr>
              <w:t>Acad</w:t>
            </w:r>
            <w:proofErr w:type="spellEnd"/>
            <w:r>
              <w:rPr>
                <w:i/>
                <w:sz w:val="17"/>
                <w:szCs w:val="17"/>
              </w:rPr>
              <w:t xml:space="preserve"> Med.</w:t>
            </w:r>
            <w:r>
              <w:rPr>
                <w:sz w:val="17"/>
                <w:szCs w:val="17"/>
              </w:rPr>
              <w:t xml:space="preserve"> 2009</w:t>
            </w:r>
          </w:p>
        </w:tc>
        <w:tc>
          <w:tcPr>
            <w:tcW w:w="1248" w:type="dxa"/>
          </w:tcPr>
          <w:p w14:paraId="5D8975DE" w14:textId="77777777" w:rsidR="00AB17F5" w:rsidRDefault="00AB17F5">
            <w:pPr>
              <w:spacing w:before="20" w:after="20" w:line="240" w:lineRule="auto"/>
            </w:pPr>
            <w:hyperlink r:id="rId10">
              <w:r>
                <w:rPr>
                  <w:rStyle w:val="Hyperlink"/>
                  <w:sz w:val="17"/>
                  <w:szCs w:val="17"/>
                </w:rPr>
                <w:t>doi:10.1097/ACM.0b013e3181971f08</w:t>
              </w:r>
            </w:hyperlink>
          </w:p>
        </w:tc>
        <w:tc>
          <w:tcPr>
            <w:tcW w:w="4320" w:type="dxa"/>
          </w:tcPr>
          <w:p w14:paraId="7D7BB224" w14:textId="77777777" w:rsidR="00AB17F5" w:rsidRDefault="00000000">
            <w:pPr>
              <w:spacing w:before="20" w:after="20" w:line="240" w:lineRule="auto"/>
            </w:pPr>
            <w:r>
              <w:rPr>
                <w:sz w:val="17"/>
                <w:szCs w:val="17"/>
              </w:rPr>
              <w:t>Systematic-review evidence that the competencies cannot be reliably measured as independent constructs — assessors form global judgements and back-fill the framework.</w:t>
            </w:r>
          </w:p>
        </w:tc>
        <w:tc>
          <w:tcPr>
            <w:tcW w:w="1152" w:type="dxa"/>
          </w:tcPr>
          <w:p w14:paraId="0D6E0FE2" w14:textId="77777777" w:rsidR="00AB17F5" w:rsidRDefault="00000000">
            <w:pPr>
              <w:spacing w:before="20" w:after="20" w:line="240" w:lineRule="auto"/>
            </w:pPr>
            <w:r>
              <w:rPr>
                <w:sz w:val="17"/>
                <w:szCs w:val="17"/>
              </w:rPr>
              <w:t>Evidence</w:t>
            </w:r>
          </w:p>
        </w:tc>
      </w:tr>
      <w:tr w:rsidR="00AB17F5" w14:paraId="59714A6B" w14:textId="77777777">
        <w:tc>
          <w:tcPr>
            <w:tcW w:w="2880" w:type="dxa"/>
          </w:tcPr>
          <w:p w14:paraId="6374E366" w14:textId="77777777" w:rsidR="00AB17F5" w:rsidRDefault="00000000">
            <w:pPr>
              <w:spacing w:before="20" w:after="20" w:line="240" w:lineRule="auto"/>
            </w:pPr>
            <w:r>
              <w:rPr>
                <w:sz w:val="17"/>
                <w:szCs w:val="17"/>
              </w:rPr>
              <w:t xml:space="preserve">Norman, Norcini, </w:t>
            </w:r>
            <w:proofErr w:type="spellStart"/>
            <w:r>
              <w:rPr>
                <w:sz w:val="17"/>
                <w:szCs w:val="17"/>
              </w:rPr>
              <w:t>Bordage</w:t>
            </w:r>
            <w:proofErr w:type="spellEnd"/>
            <w:r>
              <w:rPr>
                <w:sz w:val="17"/>
                <w:szCs w:val="17"/>
              </w:rPr>
              <w:t xml:space="preserve">. Competency-based education: milestones or millstones? </w:t>
            </w:r>
            <w:r>
              <w:rPr>
                <w:i/>
                <w:sz w:val="17"/>
                <w:szCs w:val="17"/>
              </w:rPr>
              <w:t>J Grad Med Educ.</w:t>
            </w:r>
            <w:r>
              <w:rPr>
                <w:sz w:val="17"/>
                <w:szCs w:val="17"/>
              </w:rPr>
              <w:t xml:space="preserve"> 2014</w:t>
            </w:r>
          </w:p>
        </w:tc>
        <w:tc>
          <w:tcPr>
            <w:tcW w:w="1248" w:type="dxa"/>
          </w:tcPr>
          <w:p w14:paraId="1644B386" w14:textId="77777777" w:rsidR="00AB17F5" w:rsidRDefault="00AB17F5">
            <w:pPr>
              <w:spacing w:before="20" w:after="20" w:line="240" w:lineRule="auto"/>
            </w:pPr>
            <w:hyperlink r:id="rId11">
              <w:r>
                <w:rPr>
                  <w:rStyle w:val="Hyperlink"/>
                  <w:sz w:val="17"/>
                  <w:szCs w:val="17"/>
                </w:rPr>
                <w:t>doi:10.4300/JGME-D-13-00445.1</w:t>
              </w:r>
            </w:hyperlink>
          </w:p>
        </w:tc>
        <w:tc>
          <w:tcPr>
            <w:tcW w:w="4320" w:type="dxa"/>
          </w:tcPr>
          <w:p w14:paraId="64A7CBA2" w14:textId="77777777" w:rsidR="00AB17F5" w:rsidRDefault="00000000">
            <w:pPr>
              <w:spacing w:before="20" w:after="20" w:line="240" w:lineRule="auto"/>
            </w:pPr>
            <w:r>
              <w:rPr>
                <w:sz w:val="17"/>
                <w:szCs w:val="17"/>
              </w:rPr>
              <w:t>Warns the milestones/assessment machinery can become an administrative burden out of proportion to its educational yield ("millstones").</w:t>
            </w:r>
          </w:p>
        </w:tc>
        <w:tc>
          <w:tcPr>
            <w:tcW w:w="1152" w:type="dxa"/>
          </w:tcPr>
          <w:p w14:paraId="143BE949" w14:textId="77777777" w:rsidR="00AB17F5" w:rsidRDefault="00000000">
            <w:pPr>
              <w:spacing w:before="20" w:after="20" w:line="240" w:lineRule="auto"/>
            </w:pPr>
            <w:r>
              <w:rPr>
                <w:sz w:val="17"/>
                <w:szCs w:val="17"/>
              </w:rPr>
              <w:t>Theory</w:t>
            </w:r>
          </w:p>
        </w:tc>
      </w:tr>
      <w:tr w:rsidR="00AB17F5" w14:paraId="18C0C44E" w14:textId="77777777">
        <w:tc>
          <w:tcPr>
            <w:tcW w:w="2880" w:type="dxa"/>
          </w:tcPr>
          <w:p w14:paraId="6A40CDD9" w14:textId="77777777" w:rsidR="00AB17F5" w:rsidRDefault="00000000">
            <w:pPr>
              <w:spacing w:before="20" w:after="20" w:line="240" w:lineRule="auto"/>
            </w:pPr>
            <w:r>
              <w:rPr>
                <w:sz w:val="17"/>
                <w:szCs w:val="17"/>
              </w:rPr>
              <w:t>RANZCP Competency-Based Fellowship Program (CBFP)</w:t>
            </w:r>
          </w:p>
        </w:tc>
        <w:tc>
          <w:tcPr>
            <w:tcW w:w="1248" w:type="dxa"/>
          </w:tcPr>
          <w:p w14:paraId="5325FC03" w14:textId="77777777" w:rsidR="00AB17F5" w:rsidRDefault="00AB17F5">
            <w:pPr>
              <w:spacing w:before="20" w:after="20" w:line="240" w:lineRule="auto"/>
            </w:pPr>
            <w:hyperlink r:id="rId12">
              <w:r>
                <w:rPr>
                  <w:rStyle w:val="Hyperlink"/>
                  <w:sz w:val="17"/>
                  <w:szCs w:val="17"/>
                </w:rPr>
                <w:t>www.ranzcp.org/pre-fellowship/about-the-training-program</w:t>
              </w:r>
            </w:hyperlink>
          </w:p>
        </w:tc>
        <w:tc>
          <w:tcPr>
            <w:tcW w:w="4320" w:type="dxa"/>
          </w:tcPr>
          <w:p w14:paraId="7341D46E" w14:textId="77777777" w:rsidR="00AB17F5" w:rsidRDefault="00000000">
            <w:pPr>
              <w:spacing w:before="20" w:after="20" w:line="240" w:lineRule="auto"/>
            </w:pPr>
            <w:r>
              <w:rPr>
                <w:sz w:val="17"/>
                <w:szCs w:val="17"/>
              </w:rPr>
              <w:t>The current five-year, three-stage (Basic / Proficient / Advanced) competency-based program — the architecture being redesigned.</w:t>
            </w:r>
          </w:p>
        </w:tc>
        <w:tc>
          <w:tcPr>
            <w:tcW w:w="1152" w:type="dxa"/>
          </w:tcPr>
          <w:p w14:paraId="3F7F7BE5" w14:textId="77777777" w:rsidR="00AB17F5" w:rsidRDefault="00000000">
            <w:pPr>
              <w:spacing w:before="20" w:after="20" w:line="240" w:lineRule="auto"/>
            </w:pPr>
            <w:r>
              <w:rPr>
                <w:sz w:val="17"/>
                <w:szCs w:val="17"/>
              </w:rPr>
              <w:t>RANZCP internal</w:t>
            </w:r>
          </w:p>
        </w:tc>
      </w:tr>
      <w:tr w:rsidR="00AB17F5" w14:paraId="1D9BE38C" w14:textId="77777777">
        <w:tc>
          <w:tcPr>
            <w:tcW w:w="2880" w:type="dxa"/>
          </w:tcPr>
          <w:p w14:paraId="36379C15" w14:textId="77777777" w:rsidR="00AB17F5" w:rsidRDefault="00000000">
            <w:pPr>
              <w:spacing w:before="20" w:after="20" w:line="240" w:lineRule="auto"/>
            </w:pPr>
            <w:r>
              <w:rPr>
                <w:sz w:val="17"/>
                <w:szCs w:val="17"/>
              </w:rPr>
              <w:t>RANZCP Draft Program and Graduate Outcomes</w:t>
            </w:r>
          </w:p>
        </w:tc>
        <w:tc>
          <w:tcPr>
            <w:tcW w:w="1248" w:type="dxa"/>
          </w:tcPr>
          <w:p w14:paraId="0E6BB0DE" w14:textId="77777777" w:rsidR="00AB17F5" w:rsidRDefault="00AB17F5">
            <w:pPr>
              <w:spacing w:before="20" w:after="20" w:line="240" w:lineRule="auto"/>
            </w:pPr>
            <w:hyperlink r:id="rId13">
              <w:r>
                <w:rPr>
                  <w:rStyle w:val="Hyperlink"/>
                  <w:sz w:val="17"/>
                  <w:szCs w:val="17"/>
                </w:rPr>
                <w:t>www.ranzcp.org/college-committees/current-projects/revised-program-graduate-outcomes</w:t>
              </w:r>
            </w:hyperlink>
          </w:p>
        </w:tc>
        <w:tc>
          <w:tcPr>
            <w:tcW w:w="4320" w:type="dxa"/>
          </w:tcPr>
          <w:p w14:paraId="546CE2F4" w14:textId="77777777" w:rsidR="00AB17F5" w:rsidRDefault="00000000">
            <w:pPr>
              <w:spacing w:before="20" w:after="20" w:line="240" w:lineRule="auto"/>
            </w:pPr>
            <w:r>
              <w:rPr>
                <w:sz w:val="17"/>
                <w:szCs w:val="17"/>
              </w:rPr>
              <w:t xml:space="preserve">The live overhaul realigning graduate outcomes to </w:t>
            </w:r>
            <w:proofErr w:type="spellStart"/>
            <w:r>
              <w:rPr>
                <w:sz w:val="17"/>
                <w:szCs w:val="17"/>
              </w:rPr>
              <w:t>CanMEDS</w:t>
            </w:r>
            <w:proofErr w:type="spellEnd"/>
            <w:r>
              <w:rPr>
                <w:sz w:val="17"/>
                <w:szCs w:val="17"/>
              </w:rPr>
              <w:t xml:space="preserve"> 2015 in response to AMC conditions, with implementation targeted initially for ~2028 now 2030.</w:t>
            </w:r>
          </w:p>
        </w:tc>
        <w:tc>
          <w:tcPr>
            <w:tcW w:w="1152" w:type="dxa"/>
          </w:tcPr>
          <w:p w14:paraId="704B8E38" w14:textId="77777777" w:rsidR="00AB17F5" w:rsidRDefault="00000000">
            <w:pPr>
              <w:spacing w:before="20" w:after="20" w:line="240" w:lineRule="auto"/>
            </w:pPr>
            <w:r>
              <w:rPr>
                <w:sz w:val="17"/>
                <w:szCs w:val="17"/>
              </w:rPr>
              <w:t>RANZCP internal</w:t>
            </w:r>
          </w:p>
        </w:tc>
      </w:tr>
      <w:tr w:rsidR="00AB17F5" w14:paraId="5900B885" w14:textId="77777777">
        <w:tc>
          <w:tcPr>
            <w:tcW w:w="2880" w:type="dxa"/>
          </w:tcPr>
          <w:p w14:paraId="0075263D" w14:textId="77777777" w:rsidR="00AB17F5" w:rsidRDefault="00000000">
            <w:pPr>
              <w:spacing w:before="20" w:after="20" w:line="240" w:lineRule="auto"/>
            </w:pPr>
            <w:r>
              <w:rPr>
                <w:sz w:val="17"/>
                <w:szCs w:val="17"/>
              </w:rPr>
              <w:t>RANZCP Draft Knowledge Base</w:t>
            </w:r>
          </w:p>
        </w:tc>
        <w:tc>
          <w:tcPr>
            <w:tcW w:w="1248" w:type="dxa"/>
          </w:tcPr>
          <w:p w14:paraId="2948A45D" w14:textId="77777777" w:rsidR="00AB17F5" w:rsidRDefault="00AB17F5">
            <w:pPr>
              <w:spacing w:before="20" w:after="20" w:line="240" w:lineRule="auto"/>
            </w:pPr>
            <w:hyperlink r:id="rId14">
              <w:r>
                <w:rPr>
                  <w:rStyle w:val="Hyperlink"/>
                  <w:sz w:val="17"/>
                  <w:szCs w:val="17"/>
                </w:rPr>
                <w:t>www.ranzcp.org/college-committees/current-projects/revised-program-graduate-outcomes</w:t>
              </w:r>
            </w:hyperlink>
          </w:p>
        </w:tc>
        <w:tc>
          <w:tcPr>
            <w:tcW w:w="4320" w:type="dxa"/>
          </w:tcPr>
          <w:p w14:paraId="62D65216" w14:textId="77777777" w:rsidR="00AB17F5" w:rsidRDefault="00000000">
            <w:pPr>
              <w:spacing w:before="20" w:after="20" w:line="240" w:lineRule="auto"/>
            </w:pPr>
            <w:r>
              <w:rPr>
                <w:sz w:val="17"/>
                <w:szCs w:val="17"/>
              </w:rPr>
              <w:t>Associated knowledgebase, syllabus.</w:t>
            </w:r>
          </w:p>
        </w:tc>
        <w:tc>
          <w:tcPr>
            <w:tcW w:w="1152" w:type="dxa"/>
          </w:tcPr>
          <w:p w14:paraId="5317F437" w14:textId="77777777" w:rsidR="00AB17F5" w:rsidRDefault="00000000">
            <w:pPr>
              <w:spacing w:before="20" w:after="20" w:line="240" w:lineRule="auto"/>
            </w:pPr>
            <w:r>
              <w:rPr>
                <w:sz w:val="17"/>
                <w:szCs w:val="17"/>
              </w:rPr>
              <w:t>RANZCP internal</w:t>
            </w:r>
          </w:p>
        </w:tc>
      </w:tr>
      <w:tr w:rsidR="00AB17F5" w14:paraId="56208E89" w14:textId="77777777">
        <w:tc>
          <w:tcPr>
            <w:tcW w:w="2880" w:type="dxa"/>
          </w:tcPr>
          <w:p w14:paraId="0BB3BEA8" w14:textId="77777777" w:rsidR="00AB17F5" w:rsidRDefault="00000000">
            <w:pPr>
              <w:spacing w:before="20" w:after="20" w:line="240" w:lineRule="auto"/>
            </w:pPr>
            <w:r>
              <w:rPr>
                <w:sz w:val="17"/>
                <w:szCs w:val="17"/>
              </w:rPr>
              <w:t xml:space="preserve">AMC. </w:t>
            </w:r>
            <w:r>
              <w:rPr>
                <w:i/>
                <w:sz w:val="17"/>
                <w:szCs w:val="17"/>
              </w:rPr>
              <w:t>Standards for Assessment and Accreditation of Specialist Medical Programs.</w:t>
            </w:r>
            <w:r>
              <w:rPr>
                <w:sz w:val="17"/>
                <w:szCs w:val="17"/>
              </w:rPr>
              <w:t xml:space="preserve"> AMC; 2023</w:t>
            </w:r>
          </w:p>
        </w:tc>
        <w:tc>
          <w:tcPr>
            <w:tcW w:w="1248" w:type="dxa"/>
          </w:tcPr>
          <w:p w14:paraId="09A5DB92" w14:textId="77777777" w:rsidR="00AB17F5" w:rsidRDefault="00AB17F5">
            <w:pPr>
              <w:spacing w:before="20" w:after="20" w:line="240" w:lineRule="auto"/>
            </w:pPr>
            <w:hyperlink r:id="rId15">
              <w:r>
                <w:rPr>
                  <w:rStyle w:val="Hyperlink"/>
                  <w:sz w:val="17"/>
                  <w:szCs w:val="17"/>
                </w:rPr>
                <w:t>www.amc.org.au/wp-content/uploads/2023/08/Standards-for-Assessment-and-Accreditation-of-Specialist-Medical-Programs-by-the-Australian-Medical-Council-2023-secured.pdf</w:t>
              </w:r>
            </w:hyperlink>
          </w:p>
        </w:tc>
        <w:tc>
          <w:tcPr>
            <w:tcW w:w="4320" w:type="dxa"/>
          </w:tcPr>
          <w:p w14:paraId="3AE52DC8" w14:textId="77777777" w:rsidR="00AB17F5" w:rsidRDefault="00000000">
            <w:pPr>
              <w:spacing w:before="20" w:after="20" w:line="240" w:lineRule="auto"/>
            </w:pPr>
            <w:r>
              <w:rPr>
                <w:sz w:val="17"/>
                <w:szCs w:val="17"/>
              </w:rPr>
              <w:t xml:space="preserve">The external accreditation standards the College is held to — including the </w:t>
            </w:r>
            <w:r>
              <w:rPr>
                <w:b/>
                <w:sz w:val="17"/>
                <w:szCs w:val="17"/>
              </w:rPr>
              <w:t>Standard 5</w:t>
            </w:r>
            <w:r>
              <w:rPr>
                <w:sz w:val="17"/>
                <w:szCs w:val="17"/>
              </w:rPr>
              <w:t xml:space="preserve"> conditions (reduce assessment burden; cultural safety; curriculum structure) that mandate and shape this redesign.</w:t>
            </w:r>
          </w:p>
        </w:tc>
        <w:tc>
          <w:tcPr>
            <w:tcW w:w="1152" w:type="dxa"/>
          </w:tcPr>
          <w:p w14:paraId="051A1EE9" w14:textId="77777777" w:rsidR="00AB17F5" w:rsidRDefault="00000000">
            <w:pPr>
              <w:spacing w:before="20" w:after="20" w:line="240" w:lineRule="auto"/>
            </w:pPr>
            <w:r>
              <w:rPr>
                <w:sz w:val="17"/>
                <w:szCs w:val="17"/>
              </w:rPr>
              <w:t>Regulatory/AMC</w:t>
            </w:r>
          </w:p>
        </w:tc>
      </w:tr>
      <w:tr w:rsidR="00AB17F5" w14:paraId="76155DB2" w14:textId="77777777">
        <w:tc>
          <w:tcPr>
            <w:tcW w:w="2880" w:type="dxa"/>
          </w:tcPr>
          <w:p w14:paraId="3A08F8F5" w14:textId="77777777" w:rsidR="00AB17F5" w:rsidRDefault="00000000">
            <w:pPr>
              <w:spacing w:before="20" w:after="20" w:line="240" w:lineRule="auto"/>
            </w:pPr>
            <w:r>
              <w:rPr>
                <w:sz w:val="17"/>
                <w:szCs w:val="17"/>
              </w:rPr>
              <w:t>Australian Medical Council Limited. Accreditation report: The education and training programs of the Royal Australian and New Zealand College of Psychiatrists. Specialist Education Accreditation Committee; 2023.</w:t>
            </w:r>
          </w:p>
        </w:tc>
        <w:tc>
          <w:tcPr>
            <w:tcW w:w="1248" w:type="dxa"/>
          </w:tcPr>
          <w:p w14:paraId="0543AB05" w14:textId="77777777" w:rsidR="00AB17F5" w:rsidRDefault="00AB17F5">
            <w:pPr>
              <w:spacing w:before="20" w:after="20" w:line="240" w:lineRule="auto"/>
            </w:pPr>
            <w:hyperlink r:id="rId16">
              <w:r>
                <w:rPr>
                  <w:rStyle w:val="Hyperlink"/>
                  <w:sz w:val="17"/>
                  <w:szCs w:val="17"/>
                </w:rPr>
                <w:t>www.ranzcp.org/getmedia/397638ad-1fdb-43f5-8ff6-870a22b1dbdd/2023-RANZCP-Report-secured.pdf</w:t>
              </w:r>
            </w:hyperlink>
          </w:p>
        </w:tc>
        <w:tc>
          <w:tcPr>
            <w:tcW w:w="4320" w:type="dxa"/>
          </w:tcPr>
          <w:p w14:paraId="10049465" w14:textId="77777777" w:rsidR="00AB17F5" w:rsidRDefault="00000000">
            <w:pPr>
              <w:spacing w:before="20" w:after="20" w:line="240" w:lineRule="auto"/>
            </w:pPr>
            <w:r>
              <w:rPr>
                <w:sz w:val="17"/>
                <w:szCs w:val="17"/>
              </w:rPr>
              <w:t>The College's most recent accreditation report from the Australian Medical Council.</w:t>
            </w:r>
          </w:p>
        </w:tc>
        <w:tc>
          <w:tcPr>
            <w:tcW w:w="1152" w:type="dxa"/>
          </w:tcPr>
          <w:p w14:paraId="1ABD954D" w14:textId="77777777" w:rsidR="00AB17F5" w:rsidRDefault="00000000">
            <w:pPr>
              <w:spacing w:before="20" w:after="20" w:line="240" w:lineRule="auto"/>
            </w:pPr>
            <w:r>
              <w:rPr>
                <w:sz w:val="17"/>
                <w:szCs w:val="17"/>
              </w:rPr>
              <w:t>RANZCP internal</w:t>
            </w:r>
          </w:p>
        </w:tc>
      </w:tr>
      <w:tr w:rsidR="00AB17F5" w14:paraId="71AC3C7A" w14:textId="77777777">
        <w:tc>
          <w:tcPr>
            <w:tcW w:w="2880" w:type="dxa"/>
          </w:tcPr>
          <w:p w14:paraId="2CB874BE" w14:textId="2B9D05A9" w:rsidR="00AB17F5" w:rsidRDefault="00000000">
            <w:pPr>
              <w:spacing w:before="20" w:after="20" w:line="240" w:lineRule="auto"/>
            </w:pPr>
            <w:proofErr w:type="spellStart"/>
            <w:r>
              <w:rPr>
                <w:sz w:val="17"/>
                <w:szCs w:val="17"/>
              </w:rPr>
              <w:t>Jurd</w:t>
            </w:r>
            <w:proofErr w:type="spellEnd"/>
            <w:r>
              <w:rPr>
                <w:sz w:val="17"/>
                <w:szCs w:val="17"/>
              </w:rPr>
              <w:t xml:space="preserve"> et al. Introducing a </w:t>
            </w:r>
            <w:proofErr w:type="gramStart"/>
            <w:r>
              <w:rPr>
                <w:sz w:val="17"/>
                <w:szCs w:val="17"/>
              </w:rPr>
              <w:t>competency based</w:t>
            </w:r>
            <w:proofErr w:type="gramEnd"/>
            <w:r>
              <w:rPr>
                <w:sz w:val="17"/>
                <w:szCs w:val="17"/>
              </w:rPr>
              <w:t xml:space="preserve"> Fellowship programme for psychiatry in Australia and New Zealand. </w:t>
            </w:r>
            <w:proofErr w:type="spellStart"/>
            <w:r>
              <w:rPr>
                <w:i/>
                <w:sz w:val="17"/>
                <w:szCs w:val="17"/>
              </w:rPr>
              <w:t>Australas</w:t>
            </w:r>
            <w:proofErr w:type="spellEnd"/>
            <w:r>
              <w:rPr>
                <w:i/>
                <w:sz w:val="17"/>
                <w:szCs w:val="17"/>
              </w:rPr>
              <w:t xml:space="preserve"> Psychiatry.</w:t>
            </w:r>
            <w:r>
              <w:rPr>
                <w:sz w:val="17"/>
                <w:szCs w:val="17"/>
              </w:rPr>
              <w:t xml:space="preserve"> 2015;23(6):699–705</w:t>
            </w:r>
          </w:p>
        </w:tc>
        <w:tc>
          <w:tcPr>
            <w:tcW w:w="1248" w:type="dxa"/>
          </w:tcPr>
          <w:p w14:paraId="3B637943" w14:textId="77777777" w:rsidR="00AB17F5" w:rsidRDefault="00AB17F5">
            <w:pPr>
              <w:spacing w:before="20" w:after="20" w:line="240" w:lineRule="auto"/>
            </w:pPr>
            <w:hyperlink r:id="rId17">
              <w:r>
                <w:rPr>
                  <w:rStyle w:val="Hyperlink"/>
                  <w:sz w:val="17"/>
                  <w:szCs w:val="17"/>
                </w:rPr>
                <w:t>doi:10.1177/1039856215600898</w:t>
              </w:r>
            </w:hyperlink>
          </w:p>
        </w:tc>
        <w:tc>
          <w:tcPr>
            <w:tcW w:w="4320" w:type="dxa"/>
          </w:tcPr>
          <w:p w14:paraId="722FC9D1" w14:textId="77777777" w:rsidR="00AB17F5" w:rsidRDefault="00000000">
            <w:pPr>
              <w:spacing w:before="20" w:after="20" w:line="240" w:lineRule="auto"/>
            </w:pPr>
            <w:r>
              <w:rPr>
                <w:sz w:val="17"/>
                <w:szCs w:val="17"/>
              </w:rPr>
              <w:t>The foundational RANZCP paper introducing the competency-based Fellowship program — the local origin of the CBF/EPA model now being redesigned.</w:t>
            </w:r>
          </w:p>
        </w:tc>
        <w:tc>
          <w:tcPr>
            <w:tcW w:w="1152" w:type="dxa"/>
          </w:tcPr>
          <w:p w14:paraId="2E5E45E5" w14:textId="77777777" w:rsidR="00AB17F5" w:rsidRDefault="00000000">
            <w:pPr>
              <w:spacing w:before="20" w:after="20" w:line="240" w:lineRule="auto"/>
            </w:pPr>
            <w:r>
              <w:rPr>
                <w:sz w:val="17"/>
                <w:szCs w:val="17"/>
              </w:rPr>
              <w:t>Theory</w:t>
            </w:r>
          </w:p>
        </w:tc>
      </w:tr>
      <w:tr w:rsidR="00AB17F5" w14:paraId="0C0163BE" w14:textId="77777777">
        <w:tc>
          <w:tcPr>
            <w:tcW w:w="2880" w:type="dxa"/>
          </w:tcPr>
          <w:p w14:paraId="77990FCD" w14:textId="41EEE98E" w:rsidR="00AB17F5" w:rsidRDefault="00000000">
            <w:pPr>
              <w:spacing w:before="20" w:after="20" w:line="240" w:lineRule="auto"/>
            </w:pPr>
            <w:r>
              <w:rPr>
                <w:sz w:val="17"/>
                <w:szCs w:val="17"/>
              </w:rPr>
              <w:t xml:space="preserve">Alharbi. Evaluating competency-based medical education: a systematized review of current practices. </w:t>
            </w:r>
            <w:r>
              <w:rPr>
                <w:i/>
                <w:sz w:val="17"/>
                <w:szCs w:val="17"/>
              </w:rPr>
              <w:t>BMC Med Educ.</w:t>
            </w:r>
            <w:r>
              <w:rPr>
                <w:sz w:val="17"/>
                <w:szCs w:val="17"/>
              </w:rPr>
              <w:t xml:space="preserve"> </w:t>
            </w:r>
            <w:proofErr w:type="gramStart"/>
            <w:r>
              <w:rPr>
                <w:sz w:val="17"/>
                <w:szCs w:val="17"/>
              </w:rPr>
              <w:t>2024;24:612</w:t>
            </w:r>
            <w:proofErr w:type="gramEnd"/>
          </w:p>
        </w:tc>
        <w:tc>
          <w:tcPr>
            <w:tcW w:w="1248" w:type="dxa"/>
          </w:tcPr>
          <w:p w14:paraId="46001280" w14:textId="77777777" w:rsidR="00AB17F5" w:rsidRDefault="00AB17F5">
            <w:pPr>
              <w:spacing w:before="20" w:after="20" w:line="240" w:lineRule="auto"/>
            </w:pPr>
            <w:hyperlink r:id="rId18">
              <w:r>
                <w:rPr>
                  <w:rStyle w:val="Hyperlink"/>
                  <w:sz w:val="17"/>
                  <w:szCs w:val="17"/>
                </w:rPr>
                <w:t>doi:10.1186/s12909-024-05609-6</w:t>
              </w:r>
            </w:hyperlink>
          </w:p>
        </w:tc>
        <w:tc>
          <w:tcPr>
            <w:tcW w:w="4320" w:type="dxa"/>
          </w:tcPr>
          <w:p w14:paraId="0C1B46CF" w14:textId="77777777" w:rsidR="00AB17F5" w:rsidRDefault="00000000">
            <w:pPr>
              <w:spacing w:before="20" w:after="20" w:line="240" w:lineRule="auto"/>
              <w:rPr>
                <w:sz w:val="17"/>
                <w:szCs w:val="17"/>
              </w:rPr>
            </w:pPr>
            <w:r>
              <w:rPr>
                <w:sz w:val="17"/>
                <w:szCs w:val="17"/>
              </w:rPr>
              <w:t xml:space="preserve">A systematized review of how CBME is </w:t>
            </w:r>
            <w:proofErr w:type="gramStart"/>
            <w:r>
              <w:rPr>
                <w:sz w:val="17"/>
                <w:szCs w:val="17"/>
              </w:rPr>
              <w:t>actually implemented</w:t>
            </w:r>
            <w:proofErr w:type="gramEnd"/>
            <w:r>
              <w:rPr>
                <w:sz w:val="17"/>
                <w:szCs w:val="17"/>
              </w:rPr>
              <w:t xml:space="preserve"> internationally — a stocktake of current practice.</w:t>
            </w:r>
          </w:p>
          <w:p w14:paraId="57458B10" w14:textId="77777777" w:rsidR="009D2F18" w:rsidRDefault="009D2F18" w:rsidP="009D2F18">
            <w:pPr>
              <w:spacing w:before="20" w:after="20" w:line="240" w:lineRule="auto"/>
            </w:pPr>
            <w:r>
              <w:t>This review illustrates the importance of agreeing on the</w:t>
            </w:r>
          </w:p>
          <w:p w14:paraId="21F4BA02" w14:textId="77777777" w:rsidR="009D2F18" w:rsidRDefault="009D2F18" w:rsidP="009D2F18">
            <w:pPr>
              <w:spacing w:before="20" w:after="20" w:line="240" w:lineRule="auto"/>
            </w:pPr>
            <w:r>
              <w:t>main evaluation elements to be reported when publishing</w:t>
            </w:r>
          </w:p>
          <w:p w14:paraId="0BD2890D" w14:textId="295DCCFB" w:rsidR="009D2F18" w:rsidRDefault="009D2F18" w:rsidP="009D2F18">
            <w:pPr>
              <w:spacing w:before="20" w:after="20" w:line="240" w:lineRule="auto"/>
            </w:pPr>
            <w:r>
              <w:t>a CBME evaluation.</w:t>
            </w:r>
          </w:p>
        </w:tc>
        <w:tc>
          <w:tcPr>
            <w:tcW w:w="1152" w:type="dxa"/>
          </w:tcPr>
          <w:p w14:paraId="26E07551" w14:textId="77777777" w:rsidR="00AB17F5" w:rsidRDefault="00000000">
            <w:pPr>
              <w:spacing w:before="20" w:after="20" w:line="240" w:lineRule="auto"/>
            </w:pPr>
            <w:r>
              <w:rPr>
                <w:sz w:val="17"/>
                <w:szCs w:val="17"/>
              </w:rPr>
              <w:t>Evidence</w:t>
            </w:r>
          </w:p>
        </w:tc>
      </w:tr>
    </w:tbl>
    <w:p w14:paraId="2C5C3628" w14:textId="77777777" w:rsidR="00AB17F5" w:rsidRDefault="00AB17F5"/>
    <w:p w14:paraId="689676F8" w14:textId="77777777" w:rsidR="00AB17F5" w:rsidRDefault="00AB17F5">
      <w:pPr>
        <w:pBdr>
          <w:bottom w:val="single" w:sz="4" w:space="1" w:color="CCCCCC"/>
        </w:pBdr>
      </w:pPr>
    </w:p>
    <w:p w14:paraId="6F5EEB25" w14:textId="77777777" w:rsidR="00AB17F5" w:rsidRDefault="00000000">
      <w:pPr>
        <w:pStyle w:val="Heading1"/>
      </w:pPr>
      <w:r>
        <w:lastRenderedPageBreak/>
        <w:t xml:space="preserve">2. </w:t>
      </w:r>
      <w:proofErr w:type="spellStart"/>
      <w:r>
        <w:t>Entrustable</w:t>
      </w:r>
      <w:proofErr w:type="spellEnd"/>
      <w:r>
        <w:t xml:space="preserve"> Professional Activities (EPAs)</w:t>
      </w:r>
    </w:p>
    <w:p w14:paraId="276FEF97" w14:textId="77777777" w:rsidR="00AB17F5" w:rsidRDefault="00000000">
      <w:r>
        <w:t xml:space="preserve">EPAs are an </w:t>
      </w:r>
      <w:r>
        <w:rPr>
          <w:b/>
        </w:rPr>
        <w:t>operational unit</w:t>
      </w:r>
      <w:r>
        <w:t xml:space="preserve"> of the competency framework — the bridge from abstract competencies to </w:t>
      </w:r>
      <w:proofErr w:type="spellStart"/>
      <w:r>
        <w:t>entrustable</w:t>
      </w:r>
      <w:proofErr w:type="spellEnd"/>
      <w:r>
        <w:t xml:space="preserve"> units of real clinical work, and the basis of the current RANZCP workplace-based assessment and portfolio system. The references below cover the concept and its rationale (ten Cate), the practical "how-to" of building and </w:t>
      </w:r>
      <w:r>
        <w:rPr>
          <w:i/>
        </w:rPr>
        <w:t>describing</w:t>
      </w:r>
      <w:r>
        <w:t xml:space="preserve"> EPAs (AMEE Guides 99 and 140), the entrustment/supervision scale that underpins entrustment decisions (O-SCORE), and the caution to define EPAs sparingly and validate entrustment (</w:t>
      </w:r>
      <w:proofErr w:type="spellStart"/>
      <w:r>
        <w:t>Krupat</w:t>
      </w:r>
      <w:proofErr w:type="spellEnd"/>
      <w:r>
        <w:t>).</w:t>
      </w:r>
    </w:p>
    <w:p w14:paraId="0C474528" w14:textId="77777777" w:rsidR="00AB17F5" w:rsidRDefault="00000000">
      <w:r>
        <w:rPr>
          <w:i/>
        </w:rPr>
        <w:t>Design implication: get the EPA descriptions and entrustment scale right — they drive the whole WBA/CCPR system — and keep the set lean to avoid the burden documented in §6.</w:t>
      </w:r>
    </w:p>
    <w:tbl>
      <w:tblPr>
        <w:tblW w:w="9600" w:type="dxa"/>
        <w:tblInd w:w="1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CellMar>
          <w:left w:w="10" w:type="dxa"/>
          <w:right w:w="10" w:type="dxa"/>
        </w:tblCellMar>
        <w:tblLook w:val="07E0" w:firstRow="1" w:lastRow="1" w:firstColumn="1" w:lastColumn="1" w:noHBand="1" w:noVBand="1"/>
      </w:tblPr>
      <w:tblGrid>
        <w:gridCol w:w="2374"/>
        <w:gridCol w:w="2667"/>
        <w:gridCol w:w="3555"/>
        <w:gridCol w:w="1004"/>
      </w:tblGrid>
      <w:tr w:rsidR="00AB17F5" w14:paraId="5BDFCF75" w14:textId="77777777">
        <w:trPr>
          <w:tblHeader/>
        </w:trPr>
        <w:tc>
          <w:tcPr>
            <w:tcW w:w="2880" w:type="dxa"/>
            <w:shd w:val="clear" w:color="auto" w:fill="EFE9F4"/>
          </w:tcPr>
          <w:p w14:paraId="2534C615" w14:textId="77777777" w:rsidR="00AB17F5" w:rsidRDefault="00000000">
            <w:pPr>
              <w:spacing w:before="20" w:after="20" w:line="240" w:lineRule="auto"/>
            </w:pPr>
            <w:r>
              <w:rPr>
                <w:b/>
                <w:sz w:val="17"/>
                <w:szCs w:val="17"/>
              </w:rPr>
              <w:t>Reference</w:t>
            </w:r>
          </w:p>
        </w:tc>
        <w:tc>
          <w:tcPr>
            <w:tcW w:w="1248" w:type="dxa"/>
            <w:shd w:val="clear" w:color="auto" w:fill="EFE9F4"/>
          </w:tcPr>
          <w:p w14:paraId="749FD018" w14:textId="77777777" w:rsidR="00AB17F5" w:rsidRDefault="00000000">
            <w:pPr>
              <w:spacing w:before="20" w:after="20" w:line="240" w:lineRule="auto"/>
            </w:pPr>
            <w:r>
              <w:rPr>
                <w:b/>
                <w:sz w:val="17"/>
                <w:szCs w:val="17"/>
              </w:rPr>
              <w:t>Link</w:t>
            </w:r>
          </w:p>
        </w:tc>
        <w:tc>
          <w:tcPr>
            <w:tcW w:w="4320" w:type="dxa"/>
            <w:shd w:val="clear" w:color="auto" w:fill="EFE9F4"/>
          </w:tcPr>
          <w:p w14:paraId="31FF18F6" w14:textId="77777777" w:rsidR="00AB17F5" w:rsidRDefault="00000000">
            <w:pPr>
              <w:spacing w:before="20" w:after="20" w:line="240" w:lineRule="auto"/>
            </w:pPr>
            <w:r>
              <w:rPr>
                <w:b/>
                <w:sz w:val="17"/>
                <w:szCs w:val="17"/>
              </w:rPr>
              <w:t>What it tells us</w:t>
            </w:r>
          </w:p>
        </w:tc>
        <w:tc>
          <w:tcPr>
            <w:tcW w:w="1152" w:type="dxa"/>
            <w:shd w:val="clear" w:color="auto" w:fill="EFE9F4"/>
          </w:tcPr>
          <w:p w14:paraId="226D72F4" w14:textId="77777777" w:rsidR="00AB17F5" w:rsidRDefault="00000000">
            <w:pPr>
              <w:spacing w:before="20" w:after="20" w:line="240" w:lineRule="auto"/>
            </w:pPr>
            <w:r>
              <w:rPr>
                <w:b/>
                <w:sz w:val="17"/>
                <w:szCs w:val="17"/>
              </w:rPr>
              <w:t>Category</w:t>
            </w:r>
          </w:p>
        </w:tc>
      </w:tr>
      <w:tr w:rsidR="00AB17F5" w14:paraId="7F747C24" w14:textId="77777777">
        <w:tc>
          <w:tcPr>
            <w:tcW w:w="2880" w:type="dxa"/>
          </w:tcPr>
          <w:p w14:paraId="3426AD05" w14:textId="77777777" w:rsidR="00AB17F5" w:rsidRDefault="00000000">
            <w:pPr>
              <w:spacing w:before="20" w:after="20" w:line="240" w:lineRule="auto"/>
            </w:pPr>
            <w:r>
              <w:rPr>
                <w:sz w:val="17"/>
                <w:szCs w:val="17"/>
              </w:rPr>
              <w:t xml:space="preserve">ten Cate. </w:t>
            </w:r>
            <w:proofErr w:type="spellStart"/>
            <w:r>
              <w:rPr>
                <w:sz w:val="17"/>
                <w:szCs w:val="17"/>
              </w:rPr>
              <w:t>Entrustability</w:t>
            </w:r>
            <w:proofErr w:type="spellEnd"/>
            <w:r>
              <w:rPr>
                <w:sz w:val="17"/>
                <w:szCs w:val="17"/>
              </w:rPr>
              <w:t xml:space="preserve"> of professional activities and competency-based training. </w:t>
            </w:r>
            <w:r>
              <w:rPr>
                <w:i/>
                <w:sz w:val="17"/>
                <w:szCs w:val="17"/>
              </w:rPr>
              <w:t>Med Educ.</w:t>
            </w:r>
            <w:r>
              <w:rPr>
                <w:sz w:val="17"/>
                <w:szCs w:val="17"/>
              </w:rPr>
              <w:t xml:space="preserve"> 2005</w:t>
            </w:r>
          </w:p>
        </w:tc>
        <w:tc>
          <w:tcPr>
            <w:tcW w:w="1248" w:type="dxa"/>
          </w:tcPr>
          <w:p w14:paraId="4AC879C6" w14:textId="77777777" w:rsidR="00AB17F5" w:rsidRDefault="00AB17F5">
            <w:pPr>
              <w:spacing w:before="20" w:after="20" w:line="240" w:lineRule="auto"/>
            </w:pPr>
            <w:hyperlink r:id="rId19">
              <w:r>
                <w:rPr>
                  <w:rStyle w:val="Hyperlink"/>
                  <w:sz w:val="17"/>
                  <w:szCs w:val="17"/>
                </w:rPr>
                <w:t>doi:10.1111/j.1365-2929.</w:t>
              </w:r>
              <w:proofErr w:type="gramStart"/>
              <w:r>
                <w:rPr>
                  <w:rStyle w:val="Hyperlink"/>
                  <w:sz w:val="17"/>
                  <w:szCs w:val="17"/>
                </w:rPr>
                <w:t>2005.02341.x</w:t>
              </w:r>
              <w:proofErr w:type="gramEnd"/>
            </w:hyperlink>
          </w:p>
        </w:tc>
        <w:tc>
          <w:tcPr>
            <w:tcW w:w="4320" w:type="dxa"/>
          </w:tcPr>
          <w:p w14:paraId="07F47C6C" w14:textId="77777777" w:rsidR="00AB17F5" w:rsidRDefault="00000000">
            <w:pPr>
              <w:spacing w:before="20" w:after="20" w:line="240" w:lineRule="auto"/>
            </w:pPr>
            <w:r>
              <w:rPr>
                <w:sz w:val="17"/>
                <w:szCs w:val="17"/>
              </w:rPr>
              <w:t xml:space="preserve">The origin of the EPA concept — a unit of professional work a supervisor can be trusted to delegate, translating competencies into observable, </w:t>
            </w:r>
            <w:proofErr w:type="spellStart"/>
            <w:r>
              <w:rPr>
                <w:sz w:val="17"/>
                <w:szCs w:val="17"/>
              </w:rPr>
              <w:t>entrustable</w:t>
            </w:r>
            <w:proofErr w:type="spellEnd"/>
            <w:r>
              <w:rPr>
                <w:sz w:val="17"/>
                <w:szCs w:val="17"/>
              </w:rPr>
              <w:t xml:space="preserve"> tasks.</w:t>
            </w:r>
          </w:p>
        </w:tc>
        <w:tc>
          <w:tcPr>
            <w:tcW w:w="1152" w:type="dxa"/>
          </w:tcPr>
          <w:p w14:paraId="4955E665" w14:textId="77777777" w:rsidR="00AB17F5" w:rsidRDefault="00000000">
            <w:pPr>
              <w:spacing w:before="20" w:after="20" w:line="240" w:lineRule="auto"/>
            </w:pPr>
            <w:r>
              <w:rPr>
                <w:sz w:val="17"/>
                <w:szCs w:val="17"/>
              </w:rPr>
              <w:t>Theory</w:t>
            </w:r>
          </w:p>
        </w:tc>
      </w:tr>
      <w:tr w:rsidR="00AB17F5" w14:paraId="55B9E6F3" w14:textId="77777777">
        <w:tc>
          <w:tcPr>
            <w:tcW w:w="2880" w:type="dxa"/>
          </w:tcPr>
          <w:p w14:paraId="32CB6DE9" w14:textId="77777777" w:rsidR="00AB17F5" w:rsidRDefault="00000000">
            <w:pPr>
              <w:spacing w:before="20" w:after="20" w:line="240" w:lineRule="auto"/>
            </w:pPr>
            <w:r>
              <w:rPr>
                <w:sz w:val="17"/>
                <w:szCs w:val="17"/>
              </w:rPr>
              <w:t xml:space="preserve">ten Cate, Chen et al. Curriculum development for the workplace using EPAs: AMEE Guide No. 99. </w:t>
            </w:r>
            <w:r>
              <w:rPr>
                <w:i/>
                <w:sz w:val="17"/>
                <w:szCs w:val="17"/>
              </w:rPr>
              <w:t>Med Teach.</w:t>
            </w:r>
            <w:r>
              <w:rPr>
                <w:sz w:val="17"/>
                <w:szCs w:val="17"/>
              </w:rPr>
              <w:t xml:space="preserve"> 2015</w:t>
            </w:r>
          </w:p>
        </w:tc>
        <w:tc>
          <w:tcPr>
            <w:tcW w:w="1248" w:type="dxa"/>
          </w:tcPr>
          <w:p w14:paraId="41444EA6" w14:textId="77777777" w:rsidR="00AB17F5" w:rsidRDefault="00AB17F5">
            <w:pPr>
              <w:spacing w:before="20" w:after="20" w:line="240" w:lineRule="auto"/>
            </w:pPr>
            <w:hyperlink r:id="rId20">
              <w:r>
                <w:rPr>
                  <w:rStyle w:val="Hyperlink"/>
                  <w:sz w:val="17"/>
                  <w:szCs w:val="17"/>
                </w:rPr>
                <w:t>doi:10.3109/0142159X.2015.1060308</w:t>
              </w:r>
            </w:hyperlink>
          </w:p>
        </w:tc>
        <w:tc>
          <w:tcPr>
            <w:tcW w:w="4320" w:type="dxa"/>
          </w:tcPr>
          <w:p w14:paraId="748A0953" w14:textId="77777777" w:rsidR="00AB17F5" w:rsidRDefault="00000000">
            <w:pPr>
              <w:spacing w:before="20" w:after="20" w:line="240" w:lineRule="auto"/>
            </w:pPr>
            <w:r>
              <w:rPr>
                <w:sz w:val="17"/>
                <w:szCs w:val="17"/>
              </w:rPr>
              <w:t>The practical "how-to-implement EPAs" guide — building a workplace curriculum from EPAs.</w:t>
            </w:r>
          </w:p>
        </w:tc>
        <w:tc>
          <w:tcPr>
            <w:tcW w:w="1152" w:type="dxa"/>
          </w:tcPr>
          <w:p w14:paraId="6E9498E1" w14:textId="77777777" w:rsidR="00AB17F5" w:rsidRDefault="00000000">
            <w:pPr>
              <w:spacing w:before="20" w:after="20" w:line="240" w:lineRule="auto"/>
            </w:pPr>
            <w:r>
              <w:rPr>
                <w:sz w:val="17"/>
                <w:szCs w:val="17"/>
              </w:rPr>
              <w:t>Theory</w:t>
            </w:r>
          </w:p>
        </w:tc>
      </w:tr>
      <w:tr w:rsidR="00AB17F5" w14:paraId="24366D96" w14:textId="77777777">
        <w:tc>
          <w:tcPr>
            <w:tcW w:w="2880" w:type="dxa"/>
          </w:tcPr>
          <w:p w14:paraId="57DDD1D1" w14:textId="77777777" w:rsidR="00AB17F5" w:rsidRDefault="00000000">
            <w:pPr>
              <w:spacing w:before="20" w:after="20" w:line="240" w:lineRule="auto"/>
            </w:pPr>
            <w:r>
              <w:rPr>
                <w:sz w:val="17"/>
                <w:szCs w:val="17"/>
              </w:rPr>
              <w:t xml:space="preserve">ten Cate &amp; Taylor. The recommended description of an </w:t>
            </w:r>
            <w:proofErr w:type="spellStart"/>
            <w:r>
              <w:rPr>
                <w:sz w:val="17"/>
                <w:szCs w:val="17"/>
              </w:rPr>
              <w:t>entrustable</w:t>
            </w:r>
            <w:proofErr w:type="spellEnd"/>
            <w:r>
              <w:rPr>
                <w:sz w:val="17"/>
                <w:szCs w:val="17"/>
              </w:rPr>
              <w:t xml:space="preserve"> professional activity: AMEE Guide No. 140. </w:t>
            </w:r>
            <w:r>
              <w:rPr>
                <w:i/>
                <w:sz w:val="17"/>
                <w:szCs w:val="17"/>
              </w:rPr>
              <w:t>Med Teach.</w:t>
            </w:r>
            <w:r>
              <w:rPr>
                <w:sz w:val="17"/>
                <w:szCs w:val="17"/>
              </w:rPr>
              <w:t xml:space="preserve"> 2021</w:t>
            </w:r>
          </w:p>
        </w:tc>
        <w:tc>
          <w:tcPr>
            <w:tcW w:w="1248" w:type="dxa"/>
          </w:tcPr>
          <w:p w14:paraId="73C71B16" w14:textId="77777777" w:rsidR="00AB17F5" w:rsidRDefault="00AB17F5">
            <w:pPr>
              <w:spacing w:before="20" w:after="20" w:line="240" w:lineRule="auto"/>
            </w:pPr>
            <w:hyperlink r:id="rId21">
              <w:r>
                <w:rPr>
                  <w:rStyle w:val="Hyperlink"/>
                  <w:sz w:val="17"/>
                  <w:szCs w:val="17"/>
                </w:rPr>
                <w:t>doi:10.1080/0142159X.2020.1838465</w:t>
              </w:r>
            </w:hyperlink>
          </w:p>
        </w:tc>
        <w:tc>
          <w:tcPr>
            <w:tcW w:w="4320" w:type="dxa"/>
          </w:tcPr>
          <w:p w14:paraId="386704DE" w14:textId="77777777" w:rsidR="00AB17F5" w:rsidRDefault="00000000">
            <w:pPr>
              <w:spacing w:before="20" w:after="20" w:line="240" w:lineRule="auto"/>
            </w:pPr>
            <w:r>
              <w:rPr>
                <w:sz w:val="17"/>
                <w:szCs w:val="17"/>
              </w:rPr>
              <w:t xml:space="preserve">The current standard for </w:t>
            </w:r>
            <w:r>
              <w:rPr>
                <w:i/>
                <w:sz w:val="17"/>
                <w:szCs w:val="17"/>
              </w:rPr>
              <w:t>how to write/describe an EPA</w:t>
            </w:r>
            <w:r>
              <w:rPr>
                <w:sz w:val="17"/>
                <w:szCs w:val="17"/>
              </w:rPr>
              <w:t>; a practical template for drafting the RANZCP EPA set.</w:t>
            </w:r>
          </w:p>
        </w:tc>
        <w:tc>
          <w:tcPr>
            <w:tcW w:w="1152" w:type="dxa"/>
          </w:tcPr>
          <w:p w14:paraId="63328573" w14:textId="77777777" w:rsidR="00AB17F5" w:rsidRDefault="00000000">
            <w:pPr>
              <w:spacing w:before="20" w:after="20" w:line="240" w:lineRule="auto"/>
            </w:pPr>
            <w:r>
              <w:rPr>
                <w:sz w:val="17"/>
                <w:szCs w:val="17"/>
              </w:rPr>
              <w:t>Theory</w:t>
            </w:r>
          </w:p>
        </w:tc>
      </w:tr>
      <w:tr w:rsidR="00AB17F5" w14:paraId="019F4B95" w14:textId="77777777">
        <w:tc>
          <w:tcPr>
            <w:tcW w:w="2880" w:type="dxa"/>
          </w:tcPr>
          <w:p w14:paraId="5716E10B" w14:textId="77777777" w:rsidR="00AB17F5" w:rsidRDefault="00000000">
            <w:pPr>
              <w:spacing w:before="20" w:after="20" w:line="240" w:lineRule="auto"/>
            </w:pPr>
            <w:r>
              <w:rPr>
                <w:sz w:val="17"/>
                <w:szCs w:val="17"/>
              </w:rPr>
              <w:t xml:space="preserve">Gofton, Dudek, Wood, Balaa, Hamstra. The Ottawa Surgical Competency Operating Room Evaluation (O-SCORE). </w:t>
            </w:r>
            <w:proofErr w:type="spellStart"/>
            <w:r>
              <w:rPr>
                <w:i/>
                <w:sz w:val="17"/>
                <w:szCs w:val="17"/>
              </w:rPr>
              <w:t>Acad</w:t>
            </w:r>
            <w:proofErr w:type="spellEnd"/>
            <w:r>
              <w:rPr>
                <w:i/>
                <w:sz w:val="17"/>
                <w:szCs w:val="17"/>
              </w:rPr>
              <w:t xml:space="preserve"> Med.</w:t>
            </w:r>
            <w:r>
              <w:rPr>
                <w:sz w:val="17"/>
                <w:szCs w:val="17"/>
              </w:rPr>
              <w:t xml:space="preserve"> 2012</w:t>
            </w:r>
          </w:p>
        </w:tc>
        <w:tc>
          <w:tcPr>
            <w:tcW w:w="1248" w:type="dxa"/>
          </w:tcPr>
          <w:p w14:paraId="23C43CC3" w14:textId="77777777" w:rsidR="00AB17F5" w:rsidRDefault="00AB17F5">
            <w:pPr>
              <w:spacing w:before="20" w:after="20" w:line="240" w:lineRule="auto"/>
            </w:pPr>
            <w:hyperlink r:id="rId22">
              <w:r>
                <w:rPr>
                  <w:rStyle w:val="Hyperlink"/>
                  <w:sz w:val="17"/>
                  <w:szCs w:val="17"/>
                </w:rPr>
                <w:t>doi:10.1097/ACM.0b013e3182677805</w:t>
              </w:r>
            </w:hyperlink>
          </w:p>
        </w:tc>
        <w:tc>
          <w:tcPr>
            <w:tcW w:w="4320" w:type="dxa"/>
          </w:tcPr>
          <w:p w14:paraId="3A5BCF8B" w14:textId="77777777" w:rsidR="00AB17F5" w:rsidRDefault="00000000">
            <w:pPr>
              <w:spacing w:before="20" w:after="20" w:line="240" w:lineRule="auto"/>
            </w:pPr>
            <w:r>
              <w:rPr>
                <w:sz w:val="17"/>
                <w:szCs w:val="17"/>
              </w:rPr>
              <w:t>The original entrustment/supervision rating scale ("how much guidance did the trainee need?") that underpins entrustment-based WBA and the OCA/IOCA logic</w:t>
            </w:r>
          </w:p>
        </w:tc>
        <w:tc>
          <w:tcPr>
            <w:tcW w:w="1152" w:type="dxa"/>
          </w:tcPr>
          <w:p w14:paraId="6F35E501" w14:textId="77777777" w:rsidR="00AB17F5" w:rsidRDefault="00000000">
            <w:pPr>
              <w:spacing w:before="20" w:after="20" w:line="240" w:lineRule="auto"/>
            </w:pPr>
            <w:r>
              <w:rPr>
                <w:sz w:val="17"/>
                <w:szCs w:val="17"/>
              </w:rPr>
              <w:t>Theory</w:t>
            </w:r>
          </w:p>
        </w:tc>
      </w:tr>
      <w:tr w:rsidR="00AB17F5" w14:paraId="6688D1DA" w14:textId="77777777">
        <w:tc>
          <w:tcPr>
            <w:tcW w:w="2880" w:type="dxa"/>
          </w:tcPr>
          <w:p w14:paraId="57233C1D" w14:textId="77777777" w:rsidR="00AB17F5" w:rsidRDefault="00000000">
            <w:pPr>
              <w:spacing w:before="20" w:after="20" w:line="240" w:lineRule="auto"/>
            </w:pPr>
            <w:r w:rsidRPr="009D2F18">
              <w:rPr>
                <w:sz w:val="17"/>
                <w:szCs w:val="17"/>
                <w:lang w:val="de-DE"/>
              </w:rPr>
              <w:t xml:space="preserve">Hung, Jibson, Sadhu, Stewart, Walker, Wichser, Young. </w:t>
            </w:r>
            <w:r>
              <w:rPr>
                <w:sz w:val="17"/>
                <w:szCs w:val="17"/>
              </w:rPr>
              <w:t xml:space="preserve">Wresting with implementation: a step-by-step guide to implementing EPAs in psychiatry residency programs. </w:t>
            </w:r>
            <w:proofErr w:type="spellStart"/>
            <w:r>
              <w:rPr>
                <w:i/>
                <w:sz w:val="17"/>
                <w:szCs w:val="17"/>
              </w:rPr>
              <w:t>Acad</w:t>
            </w:r>
            <w:proofErr w:type="spellEnd"/>
            <w:r>
              <w:rPr>
                <w:i/>
                <w:sz w:val="17"/>
                <w:szCs w:val="17"/>
              </w:rPr>
              <w:t xml:space="preserve"> Psychiatry.</w:t>
            </w:r>
            <w:r>
              <w:rPr>
                <w:sz w:val="17"/>
                <w:szCs w:val="17"/>
              </w:rPr>
              <w:t xml:space="preserve"> 2021;45(2):210–216</w:t>
            </w:r>
          </w:p>
        </w:tc>
        <w:tc>
          <w:tcPr>
            <w:tcW w:w="1248" w:type="dxa"/>
          </w:tcPr>
          <w:p w14:paraId="7DC60C15" w14:textId="77777777" w:rsidR="00AB17F5" w:rsidRDefault="00AB17F5">
            <w:pPr>
              <w:spacing w:before="20" w:after="20" w:line="240" w:lineRule="auto"/>
            </w:pPr>
            <w:hyperlink r:id="rId23">
              <w:r>
                <w:rPr>
                  <w:rStyle w:val="Hyperlink"/>
                  <w:sz w:val="17"/>
                  <w:szCs w:val="17"/>
                </w:rPr>
                <w:t>doi:10.1007/s40596-020-01341-7</w:t>
              </w:r>
            </w:hyperlink>
          </w:p>
        </w:tc>
        <w:tc>
          <w:tcPr>
            <w:tcW w:w="4320" w:type="dxa"/>
          </w:tcPr>
          <w:p w14:paraId="31CA8E58" w14:textId="77777777" w:rsidR="00AB17F5" w:rsidRDefault="00000000">
            <w:pPr>
              <w:spacing w:before="20" w:after="20" w:line="240" w:lineRule="auto"/>
            </w:pPr>
            <w:r>
              <w:rPr>
                <w:sz w:val="17"/>
                <w:szCs w:val="17"/>
              </w:rPr>
              <w:t xml:space="preserve">The practical, </w:t>
            </w:r>
            <w:r>
              <w:rPr>
                <w:b/>
                <w:sz w:val="17"/>
                <w:szCs w:val="17"/>
              </w:rPr>
              <w:t>psychiatry-specific</w:t>
            </w:r>
            <w:r>
              <w:rPr>
                <w:sz w:val="17"/>
                <w:szCs w:val="17"/>
              </w:rPr>
              <w:t xml:space="preserve"> "how to implement EPAs" guide (the AADPRT 11-step toolkit): adopt/adapt the 13 end-of-training psychiatry EPAs (Young et al. 2018), choose an entrustment scale, build a multi-tool/multi-assessor assessment strategy, invest in faculty development, and link EPAs to milestones and the competence committee. The most directly applicable reference for the RANZCP EPA rollout.</w:t>
            </w:r>
          </w:p>
        </w:tc>
        <w:tc>
          <w:tcPr>
            <w:tcW w:w="1152" w:type="dxa"/>
          </w:tcPr>
          <w:p w14:paraId="42C3A474" w14:textId="77777777" w:rsidR="00AB17F5" w:rsidRDefault="00000000">
            <w:pPr>
              <w:spacing w:before="20" w:after="20" w:line="240" w:lineRule="auto"/>
            </w:pPr>
            <w:r>
              <w:rPr>
                <w:sz w:val="17"/>
                <w:szCs w:val="17"/>
              </w:rPr>
              <w:t>Theory</w:t>
            </w:r>
          </w:p>
        </w:tc>
      </w:tr>
    </w:tbl>
    <w:p w14:paraId="29E77EA0" w14:textId="77777777" w:rsidR="00AB17F5" w:rsidRDefault="00AB17F5"/>
    <w:p w14:paraId="30F17F37" w14:textId="77777777" w:rsidR="00AB17F5" w:rsidRDefault="00AB17F5">
      <w:pPr>
        <w:pBdr>
          <w:bottom w:val="single" w:sz="4" w:space="1" w:color="CCCCCC"/>
        </w:pBdr>
      </w:pPr>
    </w:p>
    <w:p w14:paraId="3BAA3892" w14:textId="77777777" w:rsidR="00AB17F5" w:rsidRDefault="00000000">
      <w:pPr>
        <w:pStyle w:val="Heading1"/>
      </w:pPr>
      <w:r>
        <w:t>3. Curriculum Design</w:t>
      </w:r>
    </w:p>
    <w:p w14:paraId="0C491FD8" w14:textId="77777777" w:rsidR="00AB17F5" w:rsidRDefault="00000000">
      <w:r>
        <w:t xml:space="preserve">Curriculum design is a method, not an act of taste. Kern's six-step approach is the process backbone; constructive alignment is the non-negotiable principle that outcomes, learning activities and assessment must line up; and Harden's SPICES model gives a vocabulary for the </w:t>
      </w:r>
      <w:r>
        <w:rPr>
          <w:i/>
        </w:rPr>
        <w:t>strategic</w:t>
      </w:r>
      <w:r>
        <w:t xml:space="preserve"> choices. Together they supply the discipline to reduce the syllabus duplication the AMC flagged while keeping outcomes, teaching and the new portfolio assessment coherent.</w:t>
      </w:r>
    </w:p>
    <w:tbl>
      <w:tblPr>
        <w:tblW w:w="9600" w:type="dxa"/>
        <w:tblInd w:w="1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CellMar>
          <w:left w:w="10" w:type="dxa"/>
          <w:right w:w="10" w:type="dxa"/>
        </w:tblCellMar>
        <w:tblLook w:val="07E0" w:firstRow="1" w:lastRow="1" w:firstColumn="1" w:lastColumn="1" w:noHBand="1" w:noVBand="1"/>
      </w:tblPr>
      <w:tblGrid>
        <w:gridCol w:w="2427"/>
        <w:gridCol w:w="2665"/>
        <w:gridCol w:w="3502"/>
        <w:gridCol w:w="1006"/>
      </w:tblGrid>
      <w:tr w:rsidR="00AB17F5" w14:paraId="49EBC1FE" w14:textId="77777777" w:rsidTr="009D2F18">
        <w:trPr>
          <w:tblHeader/>
        </w:trPr>
        <w:tc>
          <w:tcPr>
            <w:tcW w:w="2427" w:type="dxa"/>
            <w:shd w:val="clear" w:color="auto" w:fill="EFE9F4"/>
          </w:tcPr>
          <w:p w14:paraId="6C575D09" w14:textId="77777777" w:rsidR="00AB17F5" w:rsidRDefault="00000000">
            <w:pPr>
              <w:spacing w:before="20" w:after="20" w:line="240" w:lineRule="auto"/>
            </w:pPr>
            <w:r>
              <w:rPr>
                <w:b/>
                <w:sz w:val="17"/>
                <w:szCs w:val="17"/>
              </w:rPr>
              <w:t>Reference</w:t>
            </w:r>
          </w:p>
        </w:tc>
        <w:tc>
          <w:tcPr>
            <w:tcW w:w="2665" w:type="dxa"/>
            <w:shd w:val="clear" w:color="auto" w:fill="EFE9F4"/>
          </w:tcPr>
          <w:p w14:paraId="6E990B9E" w14:textId="77777777" w:rsidR="00AB17F5" w:rsidRDefault="00000000">
            <w:pPr>
              <w:spacing w:before="20" w:after="20" w:line="240" w:lineRule="auto"/>
            </w:pPr>
            <w:r>
              <w:rPr>
                <w:b/>
                <w:sz w:val="17"/>
                <w:szCs w:val="17"/>
              </w:rPr>
              <w:t>Link</w:t>
            </w:r>
          </w:p>
        </w:tc>
        <w:tc>
          <w:tcPr>
            <w:tcW w:w="3502" w:type="dxa"/>
            <w:shd w:val="clear" w:color="auto" w:fill="EFE9F4"/>
          </w:tcPr>
          <w:p w14:paraId="005F9514" w14:textId="77777777" w:rsidR="00AB17F5" w:rsidRDefault="00000000">
            <w:pPr>
              <w:spacing w:before="20" w:after="20" w:line="240" w:lineRule="auto"/>
            </w:pPr>
            <w:r>
              <w:rPr>
                <w:b/>
                <w:sz w:val="17"/>
                <w:szCs w:val="17"/>
              </w:rPr>
              <w:t>What it tells us</w:t>
            </w:r>
          </w:p>
        </w:tc>
        <w:tc>
          <w:tcPr>
            <w:tcW w:w="1006" w:type="dxa"/>
            <w:shd w:val="clear" w:color="auto" w:fill="EFE9F4"/>
          </w:tcPr>
          <w:p w14:paraId="6DE6CA4C" w14:textId="77777777" w:rsidR="00AB17F5" w:rsidRDefault="00000000">
            <w:pPr>
              <w:spacing w:before="20" w:after="20" w:line="240" w:lineRule="auto"/>
            </w:pPr>
            <w:r>
              <w:rPr>
                <w:b/>
                <w:sz w:val="17"/>
                <w:szCs w:val="17"/>
              </w:rPr>
              <w:t>Category</w:t>
            </w:r>
          </w:p>
        </w:tc>
      </w:tr>
      <w:tr w:rsidR="00AB17F5" w14:paraId="41890930" w14:textId="77777777" w:rsidTr="009D2F18">
        <w:tc>
          <w:tcPr>
            <w:tcW w:w="2427" w:type="dxa"/>
          </w:tcPr>
          <w:p w14:paraId="747E0337" w14:textId="77777777" w:rsidR="00AB17F5" w:rsidRDefault="00000000">
            <w:pPr>
              <w:spacing w:before="20" w:after="20" w:line="240" w:lineRule="auto"/>
            </w:pPr>
            <w:r>
              <w:rPr>
                <w:sz w:val="17"/>
                <w:szCs w:val="17"/>
              </w:rPr>
              <w:t xml:space="preserve">Thomas, Kern, Hughes, Tackett, Chen (eds). </w:t>
            </w:r>
            <w:r>
              <w:rPr>
                <w:i/>
                <w:sz w:val="17"/>
                <w:szCs w:val="17"/>
              </w:rPr>
              <w:t>Curriculum Development for Medical Education: A Six-Step Approach.</w:t>
            </w:r>
            <w:r>
              <w:rPr>
                <w:sz w:val="17"/>
                <w:szCs w:val="17"/>
              </w:rPr>
              <w:t xml:space="preserve"> 4th ed; 2022</w:t>
            </w:r>
          </w:p>
        </w:tc>
        <w:tc>
          <w:tcPr>
            <w:tcW w:w="2665" w:type="dxa"/>
          </w:tcPr>
          <w:p w14:paraId="214E3BEF" w14:textId="77777777" w:rsidR="00AB17F5" w:rsidRDefault="00000000">
            <w:pPr>
              <w:spacing w:before="20" w:after="20" w:line="240" w:lineRule="auto"/>
            </w:pPr>
            <w:r>
              <w:rPr>
                <w:sz w:val="17"/>
                <w:szCs w:val="17"/>
              </w:rPr>
              <w:t>ISBN 9781421444093</w:t>
            </w:r>
          </w:p>
        </w:tc>
        <w:tc>
          <w:tcPr>
            <w:tcW w:w="3502" w:type="dxa"/>
          </w:tcPr>
          <w:p w14:paraId="515E0954" w14:textId="77777777" w:rsidR="00AB17F5" w:rsidRDefault="00000000">
            <w:pPr>
              <w:spacing w:before="20" w:after="20" w:line="240" w:lineRule="auto"/>
            </w:pPr>
            <w:r>
              <w:rPr>
                <w:sz w:val="17"/>
                <w:szCs w:val="17"/>
              </w:rPr>
              <w:t>The standard operational playbook — problem identification → targeted needs assessment → goals/objectives → educational strategies → implementation → evaluation; the scaffolding for the whole redesign</w:t>
            </w:r>
          </w:p>
        </w:tc>
        <w:tc>
          <w:tcPr>
            <w:tcW w:w="1006" w:type="dxa"/>
          </w:tcPr>
          <w:p w14:paraId="1F98BCA0" w14:textId="77777777" w:rsidR="00AB17F5" w:rsidRDefault="00000000">
            <w:pPr>
              <w:spacing w:before="20" w:after="20" w:line="240" w:lineRule="auto"/>
            </w:pPr>
            <w:r>
              <w:rPr>
                <w:sz w:val="17"/>
                <w:szCs w:val="17"/>
              </w:rPr>
              <w:t>Theory</w:t>
            </w:r>
          </w:p>
        </w:tc>
      </w:tr>
      <w:tr w:rsidR="00AB17F5" w14:paraId="343A7D1E" w14:textId="77777777" w:rsidTr="009D2F18">
        <w:tc>
          <w:tcPr>
            <w:tcW w:w="2427" w:type="dxa"/>
          </w:tcPr>
          <w:p w14:paraId="41323FB8" w14:textId="77777777" w:rsidR="00AB17F5" w:rsidRDefault="00000000">
            <w:pPr>
              <w:spacing w:before="20" w:after="20" w:line="240" w:lineRule="auto"/>
            </w:pPr>
            <w:r>
              <w:rPr>
                <w:sz w:val="17"/>
                <w:szCs w:val="17"/>
              </w:rPr>
              <w:t xml:space="preserve">Biggs &amp; Tang. </w:t>
            </w:r>
            <w:r>
              <w:rPr>
                <w:i/>
                <w:sz w:val="17"/>
                <w:szCs w:val="17"/>
              </w:rPr>
              <w:t>Teaching for Quality Learning at University.</w:t>
            </w:r>
            <w:r>
              <w:rPr>
                <w:sz w:val="17"/>
                <w:szCs w:val="17"/>
              </w:rPr>
              <w:t xml:space="preserve"> 5th ed; 2022</w:t>
            </w:r>
          </w:p>
        </w:tc>
        <w:tc>
          <w:tcPr>
            <w:tcW w:w="2665" w:type="dxa"/>
          </w:tcPr>
          <w:p w14:paraId="3FC3420C" w14:textId="77777777" w:rsidR="00AB17F5" w:rsidRDefault="00000000">
            <w:pPr>
              <w:spacing w:before="20" w:after="20" w:line="240" w:lineRule="auto"/>
            </w:pPr>
            <w:r>
              <w:rPr>
                <w:sz w:val="17"/>
                <w:szCs w:val="17"/>
              </w:rPr>
              <w:t>ISBN 9780335250820</w:t>
            </w:r>
          </w:p>
        </w:tc>
        <w:tc>
          <w:tcPr>
            <w:tcW w:w="3502" w:type="dxa"/>
          </w:tcPr>
          <w:p w14:paraId="40C995C9" w14:textId="77777777" w:rsidR="00AB17F5" w:rsidRDefault="00000000">
            <w:pPr>
              <w:spacing w:before="20" w:after="20" w:line="240" w:lineRule="auto"/>
            </w:pPr>
            <w:r>
              <w:rPr>
                <w:sz w:val="17"/>
                <w:szCs w:val="17"/>
              </w:rPr>
              <w:t>Constructive alignment: intended outcomes, teaching/learning activities and assessment must all line up — the operational backbone of coherent course design</w:t>
            </w:r>
          </w:p>
        </w:tc>
        <w:tc>
          <w:tcPr>
            <w:tcW w:w="1006" w:type="dxa"/>
          </w:tcPr>
          <w:p w14:paraId="1084082E" w14:textId="77777777" w:rsidR="00AB17F5" w:rsidRDefault="00000000">
            <w:pPr>
              <w:spacing w:before="20" w:after="20" w:line="240" w:lineRule="auto"/>
            </w:pPr>
            <w:r>
              <w:rPr>
                <w:sz w:val="17"/>
                <w:szCs w:val="17"/>
              </w:rPr>
              <w:t>Theory</w:t>
            </w:r>
          </w:p>
        </w:tc>
      </w:tr>
      <w:tr w:rsidR="00AB17F5" w14:paraId="65EA0A39" w14:textId="77777777" w:rsidTr="009D2F18">
        <w:tc>
          <w:tcPr>
            <w:tcW w:w="2427" w:type="dxa"/>
          </w:tcPr>
          <w:p w14:paraId="42DEA869" w14:textId="77777777" w:rsidR="00AB17F5" w:rsidRDefault="00000000">
            <w:pPr>
              <w:spacing w:before="20" w:after="20" w:line="240" w:lineRule="auto"/>
            </w:pPr>
            <w:r>
              <w:rPr>
                <w:sz w:val="17"/>
                <w:szCs w:val="17"/>
              </w:rPr>
              <w:t xml:space="preserve">Biggs. Enhancing teaching through constructive alignment. </w:t>
            </w:r>
            <w:r>
              <w:rPr>
                <w:i/>
                <w:sz w:val="17"/>
                <w:szCs w:val="17"/>
              </w:rPr>
              <w:t>Higher Educ.</w:t>
            </w:r>
            <w:r>
              <w:rPr>
                <w:sz w:val="17"/>
                <w:szCs w:val="17"/>
              </w:rPr>
              <w:t xml:space="preserve"> 1996</w:t>
            </w:r>
          </w:p>
        </w:tc>
        <w:tc>
          <w:tcPr>
            <w:tcW w:w="2665" w:type="dxa"/>
          </w:tcPr>
          <w:p w14:paraId="72EFAD0B" w14:textId="77777777" w:rsidR="00AB17F5" w:rsidRDefault="00AB17F5">
            <w:pPr>
              <w:spacing w:before="20" w:after="20" w:line="240" w:lineRule="auto"/>
            </w:pPr>
            <w:hyperlink r:id="rId24">
              <w:r>
                <w:rPr>
                  <w:rStyle w:val="Hyperlink"/>
                  <w:sz w:val="17"/>
                  <w:szCs w:val="17"/>
                </w:rPr>
                <w:t>doi:10.1007/BF00138871</w:t>
              </w:r>
            </w:hyperlink>
          </w:p>
        </w:tc>
        <w:tc>
          <w:tcPr>
            <w:tcW w:w="3502" w:type="dxa"/>
          </w:tcPr>
          <w:p w14:paraId="6FCE6439" w14:textId="77777777" w:rsidR="00AB17F5" w:rsidRDefault="00000000">
            <w:pPr>
              <w:spacing w:before="20" w:after="20" w:line="240" w:lineRule="auto"/>
            </w:pPr>
            <w:r>
              <w:rPr>
                <w:sz w:val="17"/>
                <w:szCs w:val="17"/>
              </w:rPr>
              <w:t>The original journal statement of constructive alignment</w:t>
            </w:r>
          </w:p>
        </w:tc>
        <w:tc>
          <w:tcPr>
            <w:tcW w:w="1006" w:type="dxa"/>
          </w:tcPr>
          <w:p w14:paraId="5BE7C7D4" w14:textId="77777777" w:rsidR="00AB17F5" w:rsidRDefault="00000000">
            <w:pPr>
              <w:spacing w:before="20" w:after="20" w:line="240" w:lineRule="auto"/>
            </w:pPr>
            <w:r>
              <w:rPr>
                <w:sz w:val="17"/>
                <w:szCs w:val="17"/>
              </w:rPr>
              <w:t>Theory</w:t>
            </w:r>
          </w:p>
        </w:tc>
      </w:tr>
      <w:tr w:rsidR="00AB17F5" w14:paraId="39113055" w14:textId="77777777" w:rsidTr="009D2F18">
        <w:tc>
          <w:tcPr>
            <w:tcW w:w="2427" w:type="dxa"/>
          </w:tcPr>
          <w:p w14:paraId="5E97105C" w14:textId="77777777" w:rsidR="00AB17F5" w:rsidRDefault="00000000">
            <w:pPr>
              <w:spacing w:before="20" w:after="20" w:line="240" w:lineRule="auto"/>
            </w:pPr>
            <w:r>
              <w:rPr>
                <w:sz w:val="17"/>
                <w:szCs w:val="17"/>
              </w:rPr>
              <w:t xml:space="preserve">Harden RM, Laidlaw JM. Essential skills for a medical teacher: an </w:t>
            </w:r>
            <w:r>
              <w:rPr>
                <w:sz w:val="17"/>
                <w:szCs w:val="17"/>
              </w:rPr>
              <w:lastRenderedPageBreak/>
              <w:t>introduction to teaching and learning in medicine. 3rd ed. Elsevier; 2021.</w:t>
            </w:r>
          </w:p>
        </w:tc>
        <w:tc>
          <w:tcPr>
            <w:tcW w:w="2665" w:type="dxa"/>
          </w:tcPr>
          <w:p w14:paraId="645B8996" w14:textId="77777777" w:rsidR="00AB17F5" w:rsidRDefault="00AB17F5">
            <w:pPr>
              <w:spacing w:before="20" w:after="20" w:line="240" w:lineRule="auto"/>
            </w:pPr>
            <w:hyperlink r:id="rId25">
              <w:r>
                <w:rPr>
                  <w:rStyle w:val="Hyperlink"/>
                  <w:sz w:val="17"/>
                  <w:szCs w:val="17"/>
                </w:rPr>
                <w:t>doi:10.1111/j.1365-</w:t>
              </w:r>
              <w:proofErr w:type="gramStart"/>
              <w:r>
                <w:rPr>
                  <w:rStyle w:val="Hyperlink"/>
                  <w:sz w:val="17"/>
                  <w:szCs w:val="17"/>
                </w:rPr>
                <w:t>2923.1984.tb</w:t>
              </w:r>
              <w:proofErr w:type="gramEnd"/>
              <w:r>
                <w:rPr>
                  <w:rStyle w:val="Hyperlink"/>
                  <w:sz w:val="17"/>
                  <w:szCs w:val="17"/>
                </w:rPr>
                <w:t>01024.x</w:t>
              </w:r>
            </w:hyperlink>
          </w:p>
        </w:tc>
        <w:tc>
          <w:tcPr>
            <w:tcW w:w="3502" w:type="dxa"/>
          </w:tcPr>
          <w:p w14:paraId="26BA3C79" w14:textId="77777777" w:rsidR="00AB17F5" w:rsidRDefault="00000000">
            <w:pPr>
              <w:spacing w:before="20" w:after="20" w:line="240" w:lineRule="auto"/>
            </w:pPr>
            <w:r>
              <w:rPr>
                <w:sz w:val="17"/>
                <w:szCs w:val="17"/>
              </w:rPr>
              <w:t xml:space="preserve">A six-dimension spectrum (Student-centred, Problem-based, Integrated, Community-based, </w:t>
            </w:r>
            <w:r>
              <w:rPr>
                <w:sz w:val="17"/>
                <w:szCs w:val="17"/>
              </w:rPr>
              <w:lastRenderedPageBreak/>
              <w:t xml:space="preserve">Elective, Systematic) for positioning the </w:t>
            </w:r>
            <w:r>
              <w:rPr>
                <w:i/>
                <w:sz w:val="17"/>
                <w:szCs w:val="17"/>
              </w:rPr>
              <w:t>strategic</w:t>
            </w:r>
            <w:r>
              <w:rPr>
                <w:sz w:val="17"/>
                <w:szCs w:val="17"/>
              </w:rPr>
              <w:t xml:space="preserve"> shape of a curriculum — e.g. how integrated and recovery/community-oriented the psychiatry program should be</w:t>
            </w:r>
          </w:p>
        </w:tc>
        <w:tc>
          <w:tcPr>
            <w:tcW w:w="1006" w:type="dxa"/>
          </w:tcPr>
          <w:p w14:paraId="51AEC6E5" w14:textId="77777777" w:rsidR="00AB17F5" w:rsidRDefault="00000000">
            <w:pPr>
              <w:spacing w:before="20" w:after="20" w:line="240" w:lineRule="auto"/>
            </w:pPr>
            <w:r>
              <w:rPr>
                <w:sz w:val="17"/>
                <w:szCs w:val="17"/>
              </w:rPr>
              <w:lastRenderedPageBreak/>
              <w:t>Theory</w:t>
            </w:r>
          </w:p>
        </w:tc>
      </w:tr>
      <w:tr w:rsidR="00AB17F5" w14:paraId="403D4950" w14:textId="77777777" w:rsidTr="009D2F18">
        <w:tc>
          <w:tcPr>
            <w:tcW w:w="2427" w:type="dxa"/>
          </w:tcPr>
          <w:p w14:paraId="6378115B" w14:textId="03064C2A" w:rsidR="00AB17F5" w:rsidRDefault="00000000">
            <w:pPr>
              <w:spacing w:before="20" w:after="20" w:line="240" w:lineRule="auto"/>
            </w:pPr>
            <w:proofErr w:type="spellStart"/>
            <w:r>
              <w:rPr>
                <w:sz w:val="17"/>
                <w:szCs w:val="17"/>
              </w:rPr>
              <w:t>Schwartzstein</w:t>
            </w:r>
            <w:proofErr w:type="spellEnd"/>
            <w:r>
              <w:rPr>
                <w:sz w:val="17"/>
                <w:szCs w:val="17"/>
              </w:rPr>
              <w:t xml:space="preserve"> et al. The Harvard Medical School Pathways Curriculum. </w:t>
            </w:r>
            <w:proofErr w:type="spellStart"/>
            <w:r>
              <w:rPr>
                <w:i/>
                <w:sz w:val="17"/>
                <w:szCs w:val="17"/>
              </w:rPr>
              <w:t>Acad</w:t>
            </w:r>
            <w:proofErr w:type="spellEnd"/>
            <w:r>
              <w:rPr>
                <w:i/>
                <w:sz w:val="17"/>
                <w:szCs w:val="17"/>
              </w:rPr>
              <w:t xml:space="preserve"> Med.</w:t>
            </w:r>
            <w:r>
              <w:rPr>
                <w:sz w:val="17"/>
                <w:szCs w:val="17"/>
              </w:rPr>
              <w:t xml:space="preserve"> 2020;95(11):1687–1695</w:t>
            </w:r>
          </w:p>
        </w:tc>
        <w:tc>
          <w:tcPr>
            <w:tcW w:w="2665" w:type="dxa"/>
          </w:tcPr>
          <w:p w14:paraId="103EC028" w14:textId="77777777" w:rsidR="00AB17F5" w:rsidRDefault="00AB17F5">
            <w:pPr>
              <w:spacing w:before="20" w:after="20" w:line="240" w:lineRule="auto"/>
            </w:pPr>
            <w:hyperlink r:id="rId26">
              <w:r>
                <w:rPr>
                  <w:rStyle w:val="Hyperlink"/>
                  <w:sz w:val="17"/>
                  <w:szCs w:val="17"/>
                </w:rPr>
                <w:t>doi:10.1097/ACM.0000000000003270</w:t>
              </w:r>
            </w:hyperlink>
          </w:p>
        </w:tc>
        <w:tc>
          <w:tcPr>
            <w:tcW w:w="3502" w:type="dxa"/>
          </w:tcPr>
          <w:p w14:paraId="525E67D1" w14:textId="77777777" w:rsidR="00AB17F5" w:rsidRDefault="00000000">
            <w:pPr>
              <w:spacing w:before="20" w:after="20" w:line="240" w:lineRule="auto"/>
            </w:pPr>
            <w:r>
              <w:rPr>
                <w:sz w:val="17"/>
                <w:szCs w:val="17"/>
              </w:rPr>
              <w:t>A worked example of redesigning a curriculum for contemporary learners — developmentally staged and integrated.</w:t>
            </w:r>
          </w:p>
        </w:tc>
        <w:tc>
          <w:tcPr>
            <w:tcW w:w="1006" w:type="dxa"/>
          </w:tcPr>
          <w:p w14:paraId="0AC199FE" w14:textId="77777777" w:rsidR="00AB17F5" w:rsidRDefault="00000000">
            <w:pPr>
              <w:spacing w:before="20" w:after="20" w:line="240" w:lineRule="auto"/>
            </w:pPr>
            <w:r>
              <w:rPr>
                <w:sz w:val="17"/>
                <w:szCs w:val="17"/>
              </w:rPr>
              <w:t>Theory</w:t>
            </w:r>
          </w:p>
        </w:tc>
      </w:tr>
      <w:tr w:rsidR="00AB17F5" w14:paraId="338A4807" w14:textId="77777777" w:rsidTr="009D2F18">
        <w:tc>
          <w:tcPr>
            <w:tcW w:w="2427" w:type="dxa"/>
          </w:tcPr>
          <w:p w14:paraId="0A326A11" w14:textId="7CD3CFD7" w:rsidR="00AB17F5" w:rsidRDefault="00000000">
            <w:pPr>
              <w:spacing w:before="20" w:after="20" w:line="240" w:lineRule="auto"/>
            </w:pPr>
            <w:proofErr w:type="spellStart"/>
            <w:r>
              <w:rPr>
                <w:sz w:val="17"/>
                <w:szCs w:val="17"/>
              </w:rPr>
              <w:t>Ellaway</w:t>
            </w:r>
            <w:proofErr w:type="spellEnd"/>
            <w:r>
              <w:rPr>
                <w:sz w:val="17"/>
                <w:szCs w:val="17"/>
              </w:rPr>
              <w:t xml:space="preserve">, Wyatt, Kelly. Grim fairy tales of curriculum change in medical education. </w:t>
            </w:r>
            <w:r>
              <w:rPr>
                <w:i/>
                <w:sz w:val="17"/>
                <w:szCs w:val="17"/>
              </w:rPr>
              <w:t>Med Educ.</w:t>
            </w:r>
            <w:r>
              <w:rPr>
                <w:sz w:val="17"/>
                <w:szCs w:val="17"/>
              </w:rPr>
              <w:t xml:space="preserve"> 2026;60(1):25–27</w:t>
            </w:r>
          </w:p>
        </w:tc>
        <w:tc>
          <w:tcPr>
            <w:tcW w:w="2665" w:type="dxa"/>
          </w:tcPr>
          <w:p w14:paraId="4B1BC626" w14:textId="77777777" w:rsidR="00AB17F5" w:rsidRDefault="00AB17F5">
            <w:pPr>
              <w:spacing w:before="20" w:after="20" w:line="240" w:lineRule="auto"/>
            </w:pPr>
            <w:hyperlink r:id="rId27">
              <w:r>
                <w:rPr>
                  <w:rStyle w:val="Hyperlink"/>
                  <w:sz w:val="17"/>
                  <w:szCs w:val="17"/>
                </w:rPr>
                <w:t>doi:10.1111/medu.15681</w:t>
              </w:r>
            </w:hyperlink>
          </w:p>
        </w:tc>
        <w:tc>
          <w:tcPr>
            <w:tcW w:w="3502" w:type="dxa"/>
          </w:tcPr>
          <w:p w14:paraId="038D6D96" w14:textId="77777777" w:rsidR="00AB17F5" w:rsidRDefault="00000000">
            <w:pPr>
              <w:spacing w:before="20" w:after="20" w:line="240" w:lineRule="auto"/>
            </w:pPr>
            <w:r>
              <w:rPr>
                <w:sz w:val="17"/>
                <w:szCs w:val="17"/>
              </w:rPr>
              <w:t>A cautionary reflection on how curriculum-change efforts founder — a standing warning on implementation risk.</w:t>
            </w:r>
          </w:p>
        </w:tc>
        <w:tc>
          <w:tcPr>
            <w:tcW w:w="1006" w:type="dxa"/>
          </w:tcPr>
          <w:p w14:paraId="63B1B56F" w14:textId="77777777" w:rsidR="00AB17F5" w:rsidRDefault="00000000">
            <w:pPr>
              <w:spacing w:before="20" w:after="20" w:line="240" w:lineRule="auto"/>
            </w:pPr>
            <w:r>
              <w:rPr>
                <w:sz w:val="17"/>
                <w:szCs w:val="17"/>
              </w:rPr>
              <w:t>Theory</w:t>
            </w:r>
          </w:p>
        </w:tc>
      </w:tr>
      <w:tr w:rsidR="00AB17F5" w14:paraId="6D027FED" w14:textId="77777777" w:rsidTr="009D2F18">
        <w:tc>
          <w:tcPr>
            <w:tcW w:w="2427" w:type="dxa"/>
          </w:tcPr>
          <w:p w14:paraId="3AD8BAB4" w14:textId="64D95760" w:rsidR="00AB17F5" w:rsidRDefault="00000000">
            <w:pPr>
              <w:spacing w:before="20" w:after="20" w:line="240" w:lineRule="auto"/>
            </w:pPr>
            <w:r>
              <w:rPr>
                <w:sz w:val="17"/>
                <w:szCs w:val="17"/>
              </w:rPr>
              <w:t xml:space="preserve">Evans et al. 'See one, do one, teach one': leadership and management training in Australian medical curricula. </w:t>
            </w:r>
            <w:proofErr w:type="spellStart"/>
            <w:r>
              <w:rPr>
                <w:i/>
                <w:sz w:val="17"/>
                <w:szCs w:val="17"/>
              </w:rPr>
              <w:t>Australas</w:t>
            </w:r>
            <w:proofErr w:type="spellEnd"/>
            <w:r>
              <w:rPr>
                <w:i/>
                <w:sz w:val="17"/>
                <w:szCs w:val="17"/>
              </w:rPr>
              <w:t xml:space="preserve"> Psychiatry.</w:t>
            </w:r>
            <w:r>
              <w:rPr>
                <w:sz w:val="17"/>
                <w:szCs w:val="17"/>
              </w:rPr>
              <w:t xml:space="preserve"> 2022;30(1):136</w:t>
            </w:r>
          </w:p>
        </w:tc>
        <w:tc>
          <w:tcPr>
            <w:tcW w:w="2665" w:type="dxa"/>
          </w:tcPr>
          <w:p w14:paraId="277F544C" w14:textId="77777777" w:rsidR="00AB17F5" w:rsidRDefault="00AB17F5">
            <w:pPr>
              <w:spacing w:before="20" w:after="20" w:line="240" w:lineRule="auto"/>
            </w:pPr>
            <w:hyperlink r:id="rId28">
              <w:r>
                <w:rPr>
                  <w:rStyle w:val="Hyperlink"/>
                  <w:sz w:val="17"/>
                  <w:szCs w:val="17"/>
                </w:rPr>
                <w:t>doi:10.1177/10398562211029949</w:t>
              </w:r>
            </w:hyperlink>
          </w:p>
        </w:tc>
        <w:tc>
          <w:tcPr>
            <w:tcW w:w="3502" w:type="dxa"/>
          </w:tcPr>
          <w:p w14:paraId="5AD1B755" w14:textId="77777777" w:rsidR="00AB17F5" w:rsidRDefault="00000000">
            <w:pPr>
              <w:spacing w:before="20" w:after="20" w:line="240" w:lineRule="auto"/>
            </w:pPr>
            <w:r>
              <w:rPr>
                <w:sz w:val="17"/>
                <w:szCs w:val="17"/>
              </w:rPr>
              <w:t>Argues leadership and management belong in the curriculum, not only clinical skills.</w:t>
            </w:r>
          </w:p>
        </w:tc>
        <w:tc>
          <w:tcPr>
            <w:tcW w:w="1006" w:type="dxa"/>
          </w:tcPr>
          <w:p w14:paraId="3A731BE9" w14:textId="77777777" w:rsidR="00AB17F5" w:rsidRDefault="00000000">
            <w:pPr>
              <w:spacing w:before="20" w:after="20" w:line="240" w:lineRule="auto"/>
            </w:pPr>
            <w:r>
              <w:rPr>
                <w:sz w:val="17"/>
                <w:szCs w:val="17"/>
              </w:rPr>
              <w:t>Theory</w:t>
            </w:r>
          </w:p>
        </w:tc>
      </w:tr>
      <w:tr w:rsidR="00AB17F5" w14:paraId="1A5FA880" w14:textId="77777777" w:rsidTr="009D2F18">
        <w:tc>
          <w:tcPr>
            <w:tcW w:w="2427" w:type="dxa"/>
          </w:tcPr>
          <w:p w14:paraId="13F28F7A" w14:textId="0E8CF9DC" w:rsidR="00AB17F5" w:rsidRDefault="00000000">
            <w:pPr>
              <w:spacing w:before="20" w:after="20" w:line="240" w:lineRule="auto"/>
            </w:pPr>
            <w:r>
              <w:rPr>
                <w:sz w:val="17"/>
                <w:szCs w:val="17"/>
              </w:rPr>
              <w:t xml:space="preserve">Till, Sen, </w:t>
            </w:r>
            <w:proofErr w:type="spellStart"/>
            <w:r>
              <w:rPr>
                <w:sz w:val="17"/>
                <w:szCs w:val="17"/>
              </w:rPr>
              <w:t>Crimlisk</w:t>
            </w:r>
            <w:proofErr w:type="spellEnd"/>
            <w:r>
              <w:rPr>
                <w:sz w:val="17"/>
                <w:szCs w:val="17"/>
              </w:rPr>
              <w:t xml:space="preserve">. Psychiatric leadership development in postgraduate medical education and training. </w:t>
            </w:r>
            <w:proofErr w:type="spellStart"/>
            <w:r>
              <w:rPr>
                <w:i/>
                <w:sz w:val="17"/>
                <w:szCs w:val="17"/>
              </w:rPr>
              <w:t>BJPsych</w:t>
            </w:r>
            <w:proofErr w:type="spellEnd"/>
            <w:r>
              <w:rPr>
                <w:i/>
                <w:sz w:val="17"/>
                <w:szCs w:val="17"/>
              </w:rPr>
              <w:t xml:space="preserve"> Bull.</w:t>
            </w:r>
            <w:r>
              <w:rPr>
                <w:sz w:val="17"/>
                <w:szCs w:val="17"/>
              </w:rPr>
              <w:t xml:space="preserve"> 2022;46(3):174–181</w:t>
            </w:r>
          </w:p>
        </w:tc>
        <w:tc>
          <w:tcPr>
            <w:tcW w:w="2665" w:type="dxa"/>
          </w:tcPr>
          <w:p w14:paraId="5B76EFD8" w14:textId="77777777" w:rsidR="00AB17F5" w:rsidRDefault="00AB17F5">
            <w:pPr>
              <w:spacing w:before="20" w:after="20" w:line="240" w:lineRule="auto"/>
            </w:pPr>
            <w:hyperlink r:id="rId29">
              <w:r>
                <w:rPr>
                  <w:rStyle w:val="Hyperlink"/>
                  <w:sz w:val="17"/>
                  <w:szCs w:val="17"/>
                </w:rPr>
                <w:t>doi:10.1192/bjb.2021.32</w:t>
              </w:r>
            </w:hyperlink>
          </w:p>
        </w:tc>
        <w:tc>
          <w:tcPr>
            <w:tcW w:w="3502" w:type="dxa"/>
          </w:tcPr>
          <w:p w14:paraId="7CDC17F8" w14:textId="77777777" w:rsidR="00AB17F5" w:rsidRDefault="00000000">
            <w:pPr>
              <w:spacing w:before="20" w:after="20" w:line="240" w:lineRule="auto"/>
            </w:pPr>
            <w:r>
              <w:rPr>
                <w:sz w:val="17"/>
                <w:szCs w:val="17"/>
              </w:rPr>
              <w:t>Psychiatry-specific leadership development across training.</w:t>
            </w:r>
          </w:p>
        </w:tc>
        <w:tc>
          <w:tcPr>
            <w:tcW w:w="1006" w:type="dxa"/>
          </w:tcPr>
          <w:p w14:paraId="22907184" w14:textId="77777777" w:rsidR="00AB17F5" w:rsidRDefault="00000000">
            <w:pPr>
              <w:spacing w:before="20" w:after="20" w:line="240" w:lineRule="auto"/>
            </w:pPr>
            <w:r>
              <w:rPr>
                <w:sz w:val="17"/>
                <w:szCs w:val="17"/>
              </w:rPr>
              <w:t>Theory</w:t>
            </w:r>
          </w:p>
        </w:tc>
      </w:tr>
    </w:tbl>
    <w:p w14:paraId="62CFFE48" w14:textId="77777777" w:rsidR="00AB17F5" w:rsidRDefault="00AB17F5"/>
    <w:p w14:paraId="605AEA71" w14:textId="77777777" w:rsidR="00AB17F5" w:rsidRDefault="00AB17F5">
      <w:pPr>
        <w:pBdr>
          <w:bottom w:val="single" w:sz="4" w:space="1" w:color="CCCCCC"/>
        </w:pBdr>
      </w:pPr>
    </w:p>
    <w:p w14:paraId="1AE0EC89" w14:textId="77777777" w:rsidR="00AB17F5" w:rsidRDefault="00000000">
      <w:pPr>
        <w:pStyle w:val="Heading1"/>
      </w:pPr>
      <w:r>
        <w:t>4. Pedagogy</w:t>
      </w:r>
    </w:p>
    <w:p w14:paraId="41DF046F" w14:textId="77777777" w:rsidR="00AB17F5" w:rsidRDefault="00000000">
      <w:r>
        <w:t xml:space="preserve">This is where the redesign should be boldest and most evidence-led — caution against leaning too much on andragogy (adult learning theory). Norman's "mythical species" is the citable basis for </w:t>
      </w:r>
      <w:r>
        <w:rPr>
          <w:i/>
        </w:rPr>
        <w:t>not</w:t>
      </w:r>
      <w:r>
        <w:t xml:space="preserve"> making adult-learning theory </w:t>
      </w:r>
      <w:proofErr w:type="gramStart"/>
      <w:r>
        <w:t>load-bearing</w:t>
      </w:r>
      <w:proofErr w:type="gramEnd"/>
      <w:r>
        <w:t>: it tends to justify under-structuring. Build instead on frameworks with real traction: Self-Determination Theory for motivation, reducing cognitive load for instructional design, the cognitive science of learning (retrieval, spacing) for retention, deliberate practice and simulation for skill, and situated learning for how psychiatric identity forms in teams.</w:t>
      </w:r>
    </w:p>
    <w:tbl>
      <w:tblPr>
        <w:tblW w:w="9600" w:type="dxa"/>
        <w:tblInd w:w="1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CellMar>
          <w:left w:w="10" w:type="dxa"/>
          <w:right w:w="10" w:type="dxa"/>
        </w:tblCellMar>
        <w:tblLook w:val="07E0" w:firstRow="1" w:lastRow="1" w:firstColumn="1" w:lastColumn="1" w:noHBand="1" w:noVBand="1"/>
      </w:tblPr>
      <w:tblGrid>
        <w:gridCol w:w="2192"/>
        <w:gridCol w:w="3398"/>
        <w:gridCol w:w="3060"/>
        <w:gridCol w:w="950"/>
      </w:tblGrid>
      <w:tr w:rsidR="00AB17F5" w14:paraId="68791DDC" w14:textId="77777777" w:rsidTr="009D2F18">
        <w:trPr>
          <w:tblHeader/>
        </w:trPr>
        <w:tc>
          <w:tcPr>
            <w:tcW w:w="2192" w:type="dxa"/>
            <w:shd w:val="clear" w:color="auto" w:fill="EFE9F4"/>
          </w:tcPr>
          <w:p w14:paraId="23B9E6CD" w14:textId="77777777" w:rsidR="00AB17F5" w:rsidRDefault="00000000">
            <w:pPr>
              <w:spacing w:before="20" w:after="20" w:line="240" w:lineRule="auto"/>
            </w:pPr>
            <w:r>
              <w:rPr>
                <w:b/>
                <w:sz w:val="17"/>
                <w:szCs w:val="17"/>
              </w:rPr>
              <w:t>Reference</w:t>
            </w:r>
          </w:p>
        </w:tc>
        <w:tc>
          <w:tcPr>
            <w:tcW w:w="3398" w:type="dxa"/>
            <w:shd w:val="clear" w:color="auto" w:fill="EFE9F4"/>
          </w:tcPr>
          <w:p w14:paraId="2DD7FD19" w14:textId="77777777" w:rsidR="00AB17F5" w:rsidRDefault="00000000">
            <w:pPr>
              <w:spacing w:before="20" w:after="20" w:line="240" w:lineRule="auto"/>
            </w:pPr>
            <w:r>
              <w:rPr>
                <w:b/>
                <w:sz w:val="17"/>
                <w:szCs w:val="17"/>
              </w:rPr>
              <w:t>Link</w:t>
            </w:r>
          </w:p>
        </w:tc>
        <w:tc>
          <w:tcPr>
            <w:tcW w:w="3060" w:type="dxa"/>
            <w:shd w:val="clear" w:color="auto" w:fill="EFE9F4"/>
          </w:tcPr>
          <w:p w14:paraId="52156B84" w14:textId="77777777" w:rsidR="00AB17F5" w:rsidRDefault="00000000">
            <w:pPr>
              <w:spacing w:before="20" w:after="20" w:line="240" w:lineRule="auto"/>
            </w:pPr>
            <w:r>
              <w:rPr>
                <w:b/>
                <w:sz w:val="17"/>
                <w:szCs w:val="17"/>
              </w:rPr>
              <w:t>What it tells us</w:t>
            </w:r>
          </w:p>
        </w:tc>
        <w:tc>
          <w:tcPr>
            <w:tcW w:w="950" w:type="dxa"/>
            <w:shd w:val="clear" w:color="auto" w:fill="EFE9F4"/>
          </w:tcPr>
          <w:p w14:paraId="1ACA9314" w14:textId="77777777" w:rsidR="00AB17F5" w:rsidRDefault="00000000">
            <w:pPr>
              <w:spacing w:before="20" w:after="20" w:line="240" w:lineRule="auto"/>
            </w:pPr>
            <w:r>
              <w:rPr>
                <w:b/>
                <w:sz w:val="17"/>
                <w:szCs w:val="17"/>
              </w:rPr>
              <w:t>Category</w:t>
            </w:r>
          </w:p>
        </w:tc>
      </w:tr>
      <w:tr w:rsidR="00AB17F5" w14:paraId="4F7CB1C2" w14:textId="77777777" w:rsidTr="009D2F18">
        <w:tc>
          <w:tcPr>
            <w:tcW w:w="2192" w:type="dxa"/>
          </w:tcPr>
          <w:p w14:paraId="097B7896" w14:textId="77777777" w:rsidR="00AB17F5" w:rsidRDefault="00000000">
            <w:pPr>
              <w:spacing w:before="20" w:after="20" w:line="240" w:lineRule="auto"/>
            </w:pPr>
            <w:r>
              <w:rPr>
                <w:sz w:val="17"/>
                <w:szCs w:val="17"/>
              </w:rPr>
              <w:t xml:space="preserve">Norman. The adult learner: a mythical species. </w:t>
            </w:r>
            <w:proofErr w:type="spellStart"/>
            <w:r>
              <w:rPr>
                <w:i/>
                <w:sz w:val="17"/>
                <w:szCs w:val="17"/>
              </w:rPr>
              <w:t>Acad</w:t>
            </w:r>
            <w:proofErr w:type="spellEnd"/>
            <w:r>
              <w:rPr>
                <w:i/>
                <w:sz w:val="17"/>
                <w:szCs w:val="17"/>
              </w:rPr>
              <w:t xml:space="preserve"> Med.</w:t>
            </w:r>
            <w:r>
              <w:rPr>
                <w:sz w:val="17"/>
                <w:szCs w:val="17"/>
              </w:rPr>
              <w:t xml:space="preserve"> 1999</w:t>
            </w:r>
          </w:p>
        </w:tc>
        <w:tc>
          <w:tcPr>
            <w:tcW w:w="3398" w:type="dxa"/>
          </w:tcPr>
          <w:p w14:paraId="60CDC90A" w14:textId="77777777" w:rsidR="00AB17F5" w:rsidRDefault="00AB17F5">
            <w:pPr>
              <w:spacing w:before="20" w:after="20" w:line="240" w:lineRule="auto"/>
            </w:pPr>
            <w:hyperlink r:id="rId30">
              <w:r>
                <w:rPr>
                  <w:rStyle w:val="Hyperlink"/>
                  <w:sz w:val="17"/>
                  <w:szCs w:val="17"/>
                </w:rPr>
                <w:t>doi:10.1097/00001888-199908000-00011</w:t>
              </w:r>
            </w:hyperlink>
          </w:p>
        </w:tc>
        <w:tc>
          <w:tcPr>
            <w:tcW w:w="3060" w:type="dxa"/>
          </w:tcPr>
          <w:p w14:paraId="51A66776" w14:textId="77777777" w:rsidR="00AB17F5" w:rsidRDefault="00000000">
            <w:pPr>
              <w:spacing w:before="20" w:after="20" w:line="240" w:lineRule="auto"/>
            </w:pPr>
            <w:r>
              <w:rPr>
                <w:sz w:val="17"/>
                <w:szCs w:val="17"/>
              </w:rPr>
              <w:t xml:space="preserve">The supposed special traits of "adult learners" are not empirically distinct from how anyone learns — so don't make andragogy </w:t>
            </w:r>
            <w:proofErr w:type="gramStart"/>
            <w:r>
              <w:rPr>
                <w:sz w:val="17"/>
                <w:szCs w:val="17"/>
              </w:rPr>
              <w:t>load-bearing</w:t>
            </w:r>
            <w:proofErr w:type="gramEnd"/>
            <w:r>
              <w:rPr>
                <w:sz w:val="17"/>
                <w:szCs w:val="17"/>
              </w:rPr>
              <w:t xml:space="preserve"> or use it to justify under-structuring.</w:t>
            </w:r>
          </w:p>
        </w:tc>
        <w:tc>
          <w:tcPr>
            <w:tcW w:w="950" w:type="dxa"/>
          </w:tcPr>
          <w:p w14:paraId="77DC0A1B" w14:textId="77777777" w:rsidR="00AB17F5" w:rsidRDefault="00000000">
            <w:pPr>
              <w:spacing w:before="20" w:after="20" w:line="240" w:lineRule="auto"/>
            </w:pPr>
            <w:r>
              <w:rPr>
                <w:sz w:val="17"/>
                <w:szCs w:val="17"/>
              </w:rPr>
              <w:t>Theory</w:t>
            </w:r>
          </w:p>
        </w:tc>
      </w:tr>
      <w:tr w:rsidR="00AB17F5" w14:paraId="37372A79" w14:textId="77777777" w:rsidTr="009D2F18">
        <w:tc>
          <w:tcPr>
            <w:tcW w:w="2192" w:type="dxa"/>
          </w:tcPr>
          <w:p w14:paraId="7DBC345E" w14:textId="77777777" w:rsidR="00AB17F5" w:rsidRDefault="00000000">
            <w:pPr>
              <w:spacing w:before="20" w:after="20" w:line="240" w:lineRule="auto"/>
            </w:pPr>
            <w:r>
              <w:rPr>
                <w:sz w:val="17"/>
                <w:szCs w:val="17"/>
              </w:rPr>
              <w:t xml:space="preserve">Ryan &amp; Deci. Self-determination theory… </w:t>
            </w:r>
            <w:r>
              <w:rPr>
                <w:i/>
                <w:sz w:val="17"/>
                <w:szCs w:val="17"/>
              </w:rPr>
              <w:t>Am Psychol.</w:t>
            </w:r>
            <w:r>
              <w:rPr>
                <w:sz w:val="17"/>
                <w:szCs w:val="17"/>
              </w:rPr>
              <w:t xml:space="preserve"> 2000 (and Deci &amp; Ryan, 1985)</w:t>
            </w:r>
          </w:p>
        </w:tc>
        <w:tc>
          <w:tcPr>
            <w:tcW w:w="3398" w:type="dxa"/>
          </w:tcPr>
          <w:p w14:paraId="3831F2A2" w14:textId="77777777" w:rsidR="00AB17F5" w:rsidRDefault="00AB17F5">
            <w:pPr>
              <w:spacing w:before="20" w:after="20" w:line="240" w:lineRule="auto"/>
            </w:pPr>
            <w:hyperlink r:id="rId31">
              <w:r>
                <w:rPr>
                  <w:rStyle w:val="Hyperlink"/>
                  <w:sz w:val="17"/>
                  <w:szCs w:val="17"/>
                </w:rPr>
                <w:t>doi:10.1037/0003-066X.55.1.68</w:t>
              </w:r>
            </w:hyperlink>
          </w:p>
        </w:tc>
        <w:tc>
          <w:tcPr>
            <w:tcW w:w="3060" w:type="dxa"/>
          </w:tcPr>
          <w:p w14:paraId="6F360DAF" w14:textId="77777777" w:rsidR="00AB17F5" w:rsidRDefault="00000000">
            <w:pPr>
              <w:spacing w:before="20" w:after="20" w:line="240" w:lineRule="auto"/>
            </w:pPr>
            <w:r>
              <w:rPr>
                <w:sz w:val="17"/>
                <w:szCs w:val="17"/>
              </w:rPr>
              <w:t>Motivation rests on three needs — autonomy, competence, relatedness; the robust, evidence-based replacement for andragogy's motivational claims.</w:t>
            </w:r>
          </w:p>
        </w:tc>
        <w:tc>
          <w:tcPr>
            <w:tcW w:w="950" w:type="dxa"/>
          </w:tcPr>
          <w:p w14:paraId="07B7F4CE" w14:textId="77777777" w:rsidR="00AB17F5" w:rsidRDefault="00000000">
            <w:pPr>
              <w:spacing w:before="20" w:after="20" w:line="240" w:lineRule="auto"/>
            </w:pPr>
            <w:r>
              <w:rPr>
                <w:sz w:val="17"/>
                <w:szCs w:val="17"/>
              </w:rPr>
              <w:t>Theory</w:t>
            </w:r>
          </w:p>
        </w:tc>
      </w:tr>
      <w:tr w:rsidR="00AB17F5" w14:paraId="129EB1DA" w14:textId="77777777" w:rsidTr="009D2F18">
        <w:tc>
          <w:tcPr>
            <w:tcW w:w="2192" w:type="dxa"/>
          </w:tcPr>
          <w:p w14:paraId="5A65412B" w14:textId="77777777" w:rsidR="00AB17F5" w:rsidRDefault="00000000">
            <w:pPr>
              <w:spacing w:before="20" w:after="20" w:line="240" w:lineRule="auto"/>
            </w:pPr>
            <w:r>
              <w:rPr>
                <w:sz w:val="17"/>
                <w:szCs w:val="17"/>
              </w:rPr>
              <w:t xml:space="preserve">Ten Cate, </w:t>
            </w:r>
            <w:proofErr w:type="spellStart"/>
            <w:r>
              <w:rPr>
                <w:sz w:val="17"/>
                <w:szCs w:val="17"/>
              </w:rPr>
              <w:t>Kusurkar</w:t>
            </w:r>
            <w:proofErr w:type="spellEnd"/>
            <w:r>
              <w:rPr>
                <w:sz w:val="17"/>
                <w:szCs w:val="17"/>
              </w:rPr>
              <w:t xml:space="preserve">, Williams. SDT in medical education: AMEE Guide No. 59. </w:t>
            </w:r>
            <w:r>
              <w:rPr>
                <w:i/>
                <w:sz w:val="17"/>
                <w:szCs w:val="17"/>
              </w:rPr>
              <w:t>Med Teach.</w:t>
            </w:r>
            <w:r>
              <w:rPr>
                <w:sz w:val="17"/>
                <w:szCs w:val="17"/>
              </w:rPr>
              <w:t xml:space="preserve"> 2011</w:t>
            </w:r>
          </w:p>
        </w:tc>
        <w:tc>
          <w:tcPr>
            <w:tcW w:w="3398" w:type="dxa"/>
          </w:tcPr>
          <w:p w14:paraId="7981E6F5" w14:textId="77777777" w:rsidR="00AB17F5" w:rsidRDefault="00AB17F5">
            <w:pPr>
              <w:spacing w:before="20" w:after="20" w:line="240" w:lineRule="auto"/>
            </w:pPr>
            <w:hyperlink r:id="rId32">
              <w:r>
                <w:rPr>
                  <w:rStyle w:val="Hyperlink"/>
                  <w:sz w:val="17"/>
                  <w:szCs w:val="17"/>
                </w:rPr>
                <w:t>doi:10.3109/0142159X.2011.595435</w:t>
              </w:r>
            </w:hyperlink>
          </w:p>
        </w:tc>
        <w:tc>
          <w:tcPr>
            <w:tcW w:w="3060" w:type="dxa"/>
          </w:tcPr>
          <w:p w14:paraId="07864B21" w14:textId="77777777" w:rsidR="00AB17F5" w:rsidRDefault="00000000">
            <w:pPr>
              <w:spacing w:before="20" w:after="20" w:line="240" w:lineRule="auto"/>
            </w:pPr>
            <w:r>
              <w:rPr>
                <w:sz w:val="17"/>
                <w:szCs w:val="17"/>
              </w:rPr>
              <w:t xml:space="preserve">Applies SDT to medical training and explains </w:t>
            </w:r>
            <w:r>
              <w:rPr>
                <w:i/>
                <w:sz w:val="17"/>
                <w:szCs w:val="17"/>
              </w:rPr>
              <w:t>when</w:t>
            </w:r>
            <w:r>
              <w:rPr>
                <w:sz w:val="17"/>
                <w:szCs w:val="17"/>
              </w:rPr>
              <w:t xml:space="preserve"> autonomy </w:t>
            </w:r>
            <w:proofErr w:type="gramStart"/>
            <w:r>
              <w:rPr>
                <w:sz w:val="17"/>
                <w:szCs w:val="17"/>
              </w:rPr>
              <w:t>actually helps</w:t>
            </w:r>
            <w:proofErr w:type="gramEnd"/>
            <w:r>
              <w:rPr>
                <w:sz w:val="17"/>
                <w:szCs w:val="17"/>
              </w:rPr>
              <w:t xml:space="preserve"> (once competence and relatedness are in place).</w:t>
            </w:r>
          </w:p>
        </w:tc>
        <w:tc>
          <w:tcPr>
            <w:tcW w:w="950" w:type="dxa"/>
          </w:tcPr>
          <w:p w14:paraId="45FCE9B5" w14:textId="77777777" w:rsidR="00AB17F5" w:rsidRDefault="00000000">
            <w:pPr>
              <w:spacing w:before="20" w:after="20" w:line="240" w:lineRule="auto"/>
            </w:pPr>
            <w:r>
              <w:rPr>
                <w:sz w:val="17"/>
                <w:szCs w:val="17"/>
              </w:rPr>
              <w:t>Theory</w:t>
            </w:r>
          </w:p>
        </w:tc>
      </w:tr>
      <w:tr w:rsidR="00AB17F5" w14:paraId="28A592AE" w14:textId="77777777" w:rsidTr="009D2F18">
        <w:tc>
          <w:tcPr>
            <w:tcW w:w="2192" w:type="dxa"/>
          </w:tcPr>
          <w:p w14:paraId="6D19BDA7" w14:textId="77777777" w:rsidR="00AB17F5" w:rsidRDefault="00000000">
            <w:pPr>
              <w:spacing w:before="20" w:after="20" w:line="240" w:lineRule="auto"/>
            </w:pPr>
            <w:proofErr w:type="spellStart"/>
            <w:r>
              <w:rPr>
                <w:sz w:val="17"/>
                <w:szCs w:val="17"/>
              </w:rPr>
              <w:t>Sweller</w:t>
            </w:r>
            <w:proofErr w:type="spellEnd"/>
            <w:r>
              <w:rPr>
                <w:sz w:val="17"/>
                <w:szCs w:val="17"/>
              </w:rPr>
              <w:t xml:space="preserve">. Cognitive load during problem solving. </w:t>
            </w:r>
            <w:r>
              <w:rPr>
                <w:i/>
                <w:sz w:val="17"/>
                <w:szCs w:val="17"/>
              </w:rPr>
              <w:t>Cognitive Science.</w:t>
            </w:r>
            <w:r>
              <w:rPr>
                <w:sz w:val="17"/>
                <w:szCs w:val="17"/>
              </w:rPr>
              <w:t xml:space="preserve"> 1988</w:t>
            </w:r>
          </w:p>
        </w:tc>
        <w:tc>
          <w:tcPr>
            <w:tcW w:w="3398" w:type="dxa"/>
          </w:tcPr>
          <w:p w14:paraId="0F8D981F" w14:textId="77777777" w:rsidR="00AB17F5" w:rsidRDefault="00AB17F5">
            <w:pPr>
              <w:spacing w:before="20" w:after="20" w:line="240" w:lineRule="auto"/>
            </w:pPr>
            <w:hyperlink r:id="rId33">
              <w:r>
                <w:rPr>
                  <w:rStyle w:val="Hyperlink"/>
                  <w:sz w:val="17"/>
                  <w:szCs w:val="17"/>
                </w:rPr>
                <w:t>doi:10.1207/s15516709cog1202_4</w:t>
              </w:r>
            </w:hyperlink>
          </w:p>
        </w:tc>
        <w:tc>
          <w:tcPr>
            <w:tcW w:w="3060" w:type="dxa"/>
          </w:tcPr>
          <w:p w14:paraId="461198AE" w14:textId="77777777" w:rsidR="00AB17F5" w:rsidRDefault="00000000">
            <w:pPr>
              <w:spacing w:before="20" w:after="20" w:line="240" w:lineRule="auto"/>
            </w:pPr>
            <w:r>
              <w:rPr>
                <w:sz w:val="17"/>
                <w:szCs w:val="17"/>
              </w:rPr>
              <w:t>Cognitive load theory: working memory is limited, so instruction must manage intrinsic and extraneous load — the science behind sequencing complex skills like formulation.</w:t>
            </w:r>
          </w:p>
        </w:tc>
        <w:tc>
          <w:tcPr>
            <w:tcW w:w="950" w:type="dxa"/>
          </w:tcPr>
          <w:p w14:paraId="2C1B26A0" w14:textId="77777777" w:rsidR="00AB17F5" w:rsidRDefault="00000000">
            <w:pPr>
              <w:spacing w:before="20" w:after="20" w:line="240" w:lineRule="auto"/>
            </w:pPr>
            <w:r>
              <w:rPr>
                <w:sz w:val="17"/>
                <w:szCs w:val="17"/>
              </w:rPr>
              <w:t>Theory</w:t>
            </w:r>
          </w:p>
        </w:tc>
      </w:tr>
      <w:tr w:rsidR="00AB17F5" w14:paraId="2B4F63A7" w14:textId="77777777" w:rsidTr="009D2F18">
        <w:tc>
          <w:tcPr>
            <w:tcW w:w="2192" w:type="dxa"/>
          </w:tcPr>
          <w:p w14:paraId="72F8ECC8" w14:textId="77777777" w:rsidR="00AB17F5" w:rsidRDefault="00000000">
            <w:pPr>
              <w:spacing w:before="20" w:after="20" w:line="240" w:lineRule="auto"/>
            </w:pPr>
            <w:proofErr w:type="spellStart"/>
            <w:r>
              <w:rPr>
                <w:sz w:val="17"/>
                <w:szCs w:val="17"/>
              </w:rPr>
              <w:t>Dunlosky</w:t>
            </w:r>
            <w:proofErr w:type="spellEnd"/>
            <w:r>
              <w:rPr>
                <w:sz w:val="17"/>
                <w:szCs w:val="17"/>
              </w:rPr>
              <w:t xml:space="preserve"> et al. Improving students' learning with effective learning techniques. </w:t>
            </w:r>
            <w:r>
              <w:rPr>
                <w:i/>
                <w:sz w:val="17"/>
                <w:szCs w:val="17"/>
              </w:rPr>
              <w:t>Psychol Sci Public Interest.</w:t>
            </w:r>
            <w:r>
              <w:rPr>
                <w:sz w:val="17"/>
                <w:szCs w:val="17"/>
              </w:rPr>
              <w:t xml:space="preserve"> 2013</w:t>
            </w:r>
          </w:p>
        </w:tc>
        <w:tc>
          <w:tcPr>
            <w:tcW w:w="3398" w:type="dxa"/>
          </w:tcPr>
          <w:p w14:paraId="52A0B11D" w14:textId="77777777" w:rsidR="00AB17F5" w:rsidRDefault="00AB17F5">
            <w:pPr>
              <w:spacing w:before="20" w:after="20" w:line="240" w:lineRule="auto"/>
            </w:pPr>
            <w:hyperlink r:id="rId34">
              <w:r>
                <w:rPr>
                  <w:rStyle w:val="Hyperlink"/>
                  <w:sz w:val="17"/>
                  <w:szCs w:val="17"/>
                </w:rPr>
                <w:t>doi:10.1177/1529100612453266</w:t>
              </w:r>
            </w:hyperlink>
          </w:p>
        </w:tc>
        <w:tc>
          <w:tcPr>
            <w:tcW w:w="3060" w:type="dxa"/>
          </w:tcPr>
          <w:p w14:paraId="79B77422" w14:textId="77777777" w:rsidR="00AB17F5" w:rsidRDefault="00000000">
            <w:pPr>
              <w:spacing w:before="20" w:after="20" w:line="240" w:lineRule="auto"/>
            </w:pPr>
            <w:r>
              <w:rPr>
                <w:sz w:val="17"/>
                <w:szCs w:val="17"/>
              </w:rPr>
              <w:t>Ranks study techniques by evidence: retrieval practice and distributed (spaced) practice are high-utility and chronically under-used in postgraduate training.</w:t>
            </w:r>
          </w:p>
        </w:tc>
        <w:tc>
          <w:tcPr>
            <w:tcW w:w="950" w:type="dxa"/>
          </w:tcPr>
          <w:p w14:paraId="0DEF2AF3" w14:textId="77777777" w:rsidR="00AB17F5" w:rsidRDefault="00000000">
            <w:pPr>
              <w:spacing w:before="20" w:after="20" w:line="240" w:lineRule="auto"/>
            </w:pPr>
            <w:r>
              <w:rPr>
                <w:sz w:val="17"/>
                <w:szCs w:val="17"/>
              </w:rPr>
              <w:t>Evidence</w:t>
            </w:r>
          </w:p>
        </w:tc>
      </w:tr>
      <w:tr w:rsidR="00AB17F5" w14:paraId="0B1CEDD2" w14:textId="77777777" w:rsidTr="009D2F18">
        <w:tc>
          <w:tcPr>
            <w:tcW w:w="2192" w:type="dxa"/>
          </w:tcPr>
          <w:p w14:paraId="1FAEBA10" w14:textId="77777777" w:rsidR="00AB17F5" w:rsidRDefault="00000000">
            <w:pPr>
              <w:spacing w:before="20" w:after="20" w:line="240" w:lineRule="auto"/>
            </w:pPr>
            <w:r>
              <w:rPr>
                <w:sz w:val="17"/>
                <w:szCs w:val="17"/>
              </w:rPr>
              <w:t xml:space="preserve">Brown, Roediger, McDaniel. </w:t>
            </w:r>
            <w:r>
              <w:rPr>
                <w:i/>
                <w:sz w:val="17"/>
                <w:szCs w:val="17"/>
              </w:rPr>
              <w:t>Make It Stick: The Science of Successful Learning.</w:t>
            </w:r>
            <w:r>
              <w:rPr>
                <w:sz w:val="17"/>
                <w:szCs w:val="17"/>
              </w:rPr>
              <w:t xml:space="preserve"> Harvard UP; 2014</w:t>
            </w:r>
          </w:p>
        </w:tc>
        <w:tc>
          <w:tcPr>
            <w:tcW w:w="3398" w:type="dxa"/>
          </w:tcPr>
          <w:p w14:paraId="0D24BABA" w14:textId="77777777" w:rsidR="00AB17F5" w:rsidRDefault="00000000">
            <w:pPr>
              <w:spacing w:before="20" w:after="20" w:line="240" w:lineRule="auto"/>
            </w:pPr>
            <w:r>
              <w:rPr>
                <w:sz w:val="17"/>
                <w:szCs w:val="17"/>
              </w:rPr>
              <w:t>ISBN 978-0674729018</w:t>
            </w:r>
          </w:p>
        </w:tc>
        <w:tc>
          <w:tcPr>
            <w:tcW w:w="3060" w:type="dxa"/>
          </w:tcPr>
          <w:p w14:paraId="551C2CEA" w14:textId="77777777" w:rsidR="00AB17F5" w:rsidRDefault="00000000">
            <w:pPr>
              <w:spacing w:before="20" w:after="20" w:line="240" w:lineRule="auto"/>
            </w:pPr>
            <w:r>
              <w:rPr>
                <w:sz w:val="17"/>
                <w:szCs w:val="17"/>
              </w:rPr>
              <w:t>The accessible, evidence-based translation of the cognitive science of learning — retrieval, spacing, interleaving and "desirable difficulties" — for educators and trainees.</w:t>
            </w:r>
          </w:p>
        </w:tc>
        <w:tc>
          <w:tcPr>
            <w:tcW w:w="950" w:type="dxa"/>
          </w:tcPr>
          <w:p w14:paraId="34F3E174" w14:textId="77777777" w:rsidR="00AB17F5" w:rsidRDefault="00000000">
            <w:pPr>
              <w:spacing w:before="20" w:after="20" w:line="240" w:lineRule="auto"/>
            </w:pPr>
            <w:r>
              <w:rPr>
                <w:sz w:val="17"/>
                <w:szCs w:val="17"/>
              </w:rPr>
              <w:t>Theory</w:t>
            </w:r>
          </w:p>
        </w:tc>
      </w:tr>
      <w:tr w:rsidR="00AB17F5" w14:paraId="401EB830" w14:textId="77777777" w:rsidTr="009D2F18">
        <w:tc>
          <w:tcPr>
            <w:tcW w:w="2192" w:type="dxa"/>
          </w:tcPr>
          <w:p w14:paraId="6FDC3A1F" w14:textId="77777777" w:rsidR="00AB17F5" w:rsidRDefault="00000000">
            <w:pPr>
              <w:spacing w:before="20" w:after="20" w:line="240" w:lineRule="auto"/>
            </w:pPr>
            <w:r>
              <w:rPr>
                <w:sz w:val="17"/>
                <w:szCs w:val="17"/>
              </w:rPr>
              <w:lastRenderedPageBreak/>
              <w:t xml:space="preserve">Freeman et al. Active learning increases student performance… </w:t>
            </w:r>
            <w:r>
              <w:rPr>
                <w:i/>
                <w:sz w:val="17"/>
                <w:szCs w:val="17"/>
              </w:rPr>
              <w:t>PNAS.</w:t>
            </w:r>
            <w:r>
              <w:rPr>
                <w:sz w:val="17"/>
                <w:szCs w:val="17"/>
              </w:rPr>
              <w:t xml:space="preserve"> 2014</w:t>
            </w:r>
          </w:p>
        </w:tc>
        <w:tc>
          <w:tcPr>
            <w:tcW w:w="3398" w:type="dxa"/>
          </w:tcPr>
          <w:p w14:paraId="6EAEB73D" w14:textId="77777777" w:rsidR="00AB17F5" w:rsidRDefault="00AB17F5">
            <w:pPr>
              <w:spacing w:before="20" w:after="20" w:line="240" w:lineRule="auto"/>
            </w:pPr>
            <w:hyperlink r:id="rId35">
              <w:r>
                <w:rPr>
                  <w:rStyle w:val="Hyperlink"/>
                  <w:sz w:val="17"/>
                  <w:szCs w:val="17"/>
                </w:rPr>
                <w:t>doi:10.1073/pnas.1319030111</w:t>
              </w:r>
            </w:hyperlink>
          </w:p>
        </w:tc>
        <w:tc>
          <w:tcPr>
            <w:tcW w:w="3060" w:type="dxa"/>
          </w:tcPr>
          <w:p w14:paraId="3FB8824A" w14:textId="77777777" w:rsidR="00AB17F5" w:rsidRDefault="00000000">
            <w:pPr>
              <w:spacing w:before="20" w:after="20" w:line="240" w:lineRule="auto"/>
            </w:pPr>
            <w:r>
              <w:rPr>
                <w:sz w:val="17"/>
                <w:szCs w:val="17"/>
              </w:rPr>
              <w:t>Meta-analysis of 225 studies: active learning raises performance and lowers failure versus didactic lecture.</w:t>
            </w:r>
          </w:p>
        </w:tc>
        <w:tc>
          <w:tcPr>
            <w:tcW w:w="950" w:type="dxa"/>
          </w:tcPr>
          <w:p w14:paraId="246B36B6" w14:textId="77777777" w:rsidR="00AB17F5" w:rsidRDefault="00000000">
            <w:pPr>
              <w:spacing w:before="20" w:after="20" w:line="240" w:lineRule="auto"/>
            </w:pPr>
            <w:r>
              <w:rPr>
                <w:sz w:val="17"/>
                <w:szCs w:val="17"/>
              </w:rPr>
              <w:t>Evidence</w:t>
            </w:r>
          </w:p>
        </w:tc>
      </w:tr>
      <w:tr w:rsidR="00AB17F5" w14:paraId="58159D06" w14:textId="77777777" w:rsidTr="009D2F18">
        <w:tc>
          <w:tcPr>
            <w:tcW w:w="2192" w:type="dxa"/>
          </w:tcPr>
          <w:p w14:paraId="758CDBA2" w14:textId="77777777" w:rsidR="00AB17F5" w:rsidRDefault="00000000">
            <w:pPr>
              <w:spacing w:before="20" w:after="20" w:line="240" w:lineRule="auto"/>
            </w:pPr>
            <w:r>
              <w:rPr>
                <w:sz w:val="17"/>
                <w:szCs w:val="17"/>
              </w:rPr>
              <w:t xml:space="preserve">Ericsson. Deliberate practice and expert performance in medicine. </w:t>
            </w:r>
            <w:proofErr w:type="spellStart"/>
            <w:r>
              <w:rPr>
                <w:i/>
                <w:sz w:val="17"/>
                <w:szCs w:val="17"/>
              </w:rPr>
              <w:t>Acad</w:t>
            </w:r>
            <w:proofErr w:type="spellEnd"/>
            <w:r>
              <w:rPr>
                <w:i/>
                <w:sz w:val="17"/>
                <w:szCs w:val="17"/>
              </w:rPr>
              <w:t xml:space="preserve"> Emerg Med.</w:t>
            </w:r>
            <w:r>
              <w:rPr>
                <w:sz w:val="17"/>
                <w:szCs w:val="17"/>
              </w:rPr>
              <w:t xml:space="preserve"> 2008; 15:988–994</w:t>
            </w:r>
          </w:p>
        </w:tc>
        <w:tc>
          <w:tcPr>
            <w:tcW w:w="3398" w:type="dxa"/>
          </w:tcPr>
          <w:p w14:paraId="37D2B9A8" w14:textId="77777777" w:rsidR="00AB17F5" w:rsidRDefault="00AB17F5">
            <w:pPr>
              <w:spacing w:before="20" w:after="20" w:line="240" w:lineRule="auto"/>
            </w:pPr>
            <w:hyperlink r:id="rId36">
              <w:r>
                <w:rPr>
                  <w:rStyle w:val="Hyperlink"/>
                  <w:sz w:val="17"/>
                  <w:szCs w:val="17"/>
                </w:rPr>
                <w:t>onlinelibrary.wiley.com/</w:t>
              </w:r>
              <w:proofErr w:type="spellStart"/>
              <w:r>
                <w:rPr>
                  <w:rStyle w:val="Hyperlink"/>
                  <w:sz w:val="17"/>
                  <w:szCs w:val="17"/>
                </w:rPr>
                <w:t>doi</w:t>
              </w:r>
              <w:proofErr w:type="spellEnd"/>
              <w:r>
                <w:rPr>
                  <w:rStyle w:val="Hyperlink"/>
                  <w:sz w:val="17"/>
                  <w:szCs w:val="17"/>
                </w:rPr>
                <w:t>/abs/10.1111/j.1553-2712.</w:t>
              </w:r>
              <w:proofErr w:type="gramStart"/>
              <w:r>
                <w:rPr>
                  <w:rStyle w:val="Hyperlink"/>
                  <w:sz w:val="17"/>
                  <w:szCs w:val="17"/>
                </w:rPr>
                <w:t>2008.00227.x</w:t>
              </w:r>
              <w:proofErr w:type="gramEnd"/>
            </w:hyperlink>
          </w:p>
        </w:tc>
        <w:tc>
          <w:tcPr>
            <w:tcW w:w="3060" w:type="dxa"/>
          </w:tcPr>
          <w:p w14:paraId="2A2939C6" w14:textId="77777777" w:rsidR="00AB17F5" w:rsidRDefault="00000000">
            <w:pPr>
              <w:spacing w:before="20" w:after="20" w:line="240" w:lineRule="auto"/>
            </w:pPr>
            <w:r>
              <w:rPr>
                <w:sz w:val="17"/>
                <w:szCs w:val="17"/>
              </w:rPr>
              <w:t>Expertise comes from deliberate practice — structured, progressively harder tasks with immediate feedback — directly applicable to interviewing, formulation and psychotherapy.</w:t>
            </w:r>
          </w:p>
        </w:tc>
        <w:tc>
          <w:tcPr>
            <w:tcW w:w="950" w:type="dxa"/>
          </w:tcPr>
          <w:p w14:paraId="0A9A2F4F" w14:textId="77777777" w:rsidR="00AB17F5" w:rsidRDefault="00000000">
            <w:pPr>
              <w:spacing w:before="20" w:after="20" w:line="240" w:lineRule="auto"/>
            </w:pPr>
            <w:r>
              <w:rPr>
                <w:sz w:val="17"/>
                <w:szCs w:val="17"/>
              </w:rPr>
              <w:t>Theory</w:t>
            </w:r>
          </w:p>
        </w:tc>
      </w:tr>
      <w:tr w:rsidR="00AB17F5" w14:paraId="7994FDD9" w14:textId="77777777" w:rsidTr="009D2F18">
        <w:tc>
          <w:tcPr>
            <w:tcW w:w="2192" w:type="dxa"/>
          </w:tcPr>
          <w:p w14:paraId="5035D947" w14:textId="77777777" w:rsidR="00AB17F5" w:rsidRDefault="00000000">
            <w:pPr>
              <w:spacing w:before="20" w:after="20" w:line="240" w:lineRule="auto"/>
            </w:pPr>
            <w:proofErr w:type="spellStart"/>
            <w:r>
              <w:rPr>
                <w:sz w:val="17"/>
                <w:szCs w:val="17"/>
              </w:rPr>
              <w:t>McGaghie</w:t>
            </w:r>
            <w:proofErr w:type="spellEnd"/>
            <w:r>
              <w:rPr>
                <w:sz w:val="17"/>
                <w:szCs w:val="17"/>
              </w:rPr>
              <w:t xml:space="preserve"> et al. SBME with deliberate practice vs traditional clinical education: meta-analysis. </w:t>
            </w:r>
            <w:proofErr w:type="spellStart"/>
            <w:r>
              <w:rPr>
                <w:i/>
                <w:sz w:val="17"/>
                <w:szCs w:val="17"/>
              </w:rPr>
              <w:t>Acad</w:t>
            </w:r>
            <w:proofErr w:type="spellEnd"/>
            <w:r>
              <w:rPr>
                <w:i/>
                <w:sz w:val="17"/>
                <w:szCs w:val="17"/>
              </w:rPr>
              <w:t xml:space="preserve"> Med.</w:t>
            </w:r>
            <w:r>
              <w:rPr>
                <w:sz w:val="17"/>
                <w:szCs w:val="17"/>
              </w:rPr>
              <w:t xml:space="preserve"> 2011</w:t>
            </w:r>
          </w:p>
        </w:tc>
        <w:tc>
          <w:tcPr>
            <w:tcW w:w="3398" w:type="dxa"/>
          </w:tcPr>
          <w:p w14:paraId="3CDD5A6D" w14:textId="77777777" w:rsidR="00AB17F5" w:rsidRDefault="00AB17F5">
            <w:pPr>
              <w:spacing w:before="20" w:after="20" w:line="240" w:lineRule="auto"/>
            </w:pPr>
            <w:hyperlink r:id="rId37">
              <w:r>
                <w:rPr>
                  <w:rStyle w:val="Hyperlink"/>
                  <w:sz w:val="17"/>
                  <w:szCs w:val="17"/>
                </w:rPr>
                <w:t>doi:10.1097/ACM.0b013e318217e119</w:t>
              </w:r>
            </w:hyperlink>
          </w:p>
        </w:tc>
        <w:tc>
          <w:tcPr>
            <w:tcW w:w="3060" w:type="dxa"/>
          </w:tcPr>
          <w:p w14:paraId="12E2D514" w14:textId="77777777" w:rsidR="00AB17F5" w:rsidRDefault="00000000">
            <w:pPr>
              <w:spacing w:before="20" w:after="20" w:line="240" w:lineRule="auto"/>
            </w:pPr>
            <w:r>
              <w:rPr>
                <w:sz w:val="17"/>
                <w:szCs w:val="17"/>
              </w:rPr>
              <w:t>Meta-analytic evidence that simulation-based education with deliberate practice outperforms traditional clinical teaching.</w:t>
            </w:r>
          </w:p>
        </w:tc>
        <w:tc>
          <w:tcPr>
            <w:tcW w:w="950" w:type="dxa"/>
          </w:tcPr>
          <w:p w14:paraId="23150CB3" w14:textId="77777777" w:rsidR="00AB17F5" w:rsidRDefault="00000000">
            <w:pPr>
              <w:spacing w:before="20" w:after="20" w:line="240" w:lineRule="auto"/>
            </w:pPr>
            <w:r>
              <w:rPr>
                <w:sz w:val="17"/>
                <w:szCs w:val="17"/>
              </w:rPr>
              <w:t>Evidence</w:t>
            </w:r>
          </w:p>
        </w:tc>
      </w:tr>
      <w:tr w:rsidR="00AB17F5" w14:paraId="3450178F" w14:textId="77777777" w:rsidTr="009D2F18">
        <w:tc>
          <w:tcPr>
            <w:tcW w:w="2192" w:type="dxa"/>
          </w:tcPr>
          <w:p w14:paraId="63DB7154" w14:textId="77777777" w:rsidR="00AB17F5" w:rsidRDefault="00000000">
            <w:pPr>
              <w:spacing w:before="20" w:after="20" w:line="240" w:lineRule="auto"/>
            </w:pPr>
            <w:r>
              <w:rPr>
                <w:sz w:val="17"/>
                <w:szCs w:val="17"/>
              </w:rPr>
              <w:t xml:space="preserve">Lave &amp; Wenger. </w:t>
            </w:r>
            <w:r>
              <w:rPr>
                <w:i/>
                <w:sz w:val="17"/>
                <w:szCs w:val="17"/>
              </w:rPr>
              <w:t>Situated Learning: Legitimate Peripheral Participation.</w:t>
            </w:r>
            <w:r>
              <w:rPr>
                <w:sz w:val="17"/>
                <w:szCs w:val="17"/>
              </w:rPr>
              <w:t xml:space="preserve"> CUP; 1991</w:t>
            </w:r>
          </w:p>
        </w:tc>
        <w:tc>
          <w:tcPr>
            <w:tcW w:w="3398" w:type="dxa"/>
          </w:tcPr>
          <w:p w14:paraId="74979B53" w14:textId="77777777" w:rsidR="00AB17F5" w:rsidRDefault="00000000">
            <w:pPr>
              <w:spacing w:before="20" w:after="20" w:line="240" w:lineRule="auto"/>
            </w:pPr>
            <w:r>
              <w:rPr>
                <w:sz w:val="17"/>
                <w:szCs w:val="17"/>
              </w:rPr>
              <w:t>ISBN 978-0521423748</w:t>
            </w:r>
          </w:p>
        </w:tc>
        <w:tc>
          <w:tcPr>
            <w:tcW w:w="3060" w:type="dxa"/>
          </w:tcPr>
          <w:p w14:paraId="772EA9FF" w14:textId="77777777" w:rsidR="00AB17F5" w:rsidRDefault="00000000">
            <w:pPr>
              <w:spacing w:before="20" w:after="20" w:line="240" w:lineRule="auto"/>
            </w:pPr>
            <w:proofErr w:type="gramStart"/>
            <w:r>
              <w:rPr>
                <w:sz w:val="17"/>
                <w:szCs w:val="17"/>
              </w:rPr>
              <w:t>How</w:t>
            </w:r>
            <w:proofErr w:type="gramEnd"/>
            <w:r>
              <w:rPr>
                <w:sz w:val="17"/>
                <w:szCs w:val="17"/>
              </w:rPr>
              <w:t xml:space="preserve"> professional identity and tacit knowledge are acquired through participation in clinical teams ("communities of practice") — especially apt for psychiatry.</w:t>
            </w:r>
          </w:p>
        </w:tc>
        <w:tc>
          <w:tcPr>
            <w:tcW w:w="950" w:type="dxa"/>
          </w:tcPr>
          <w:p w14:paraId="543C9C96" w14:textId="77777777" w:rsidR="00AB17F5" w:rsidRDefault="00000000">
            <w:pPr>
              <w:spacing w:before="20" w:after="20" w:line="240" w:lineRule="auto"/>
            </w:pPr>
            <w:r>
              <w:rPr>
                <w:sz w:val="17"/>
                <w:szCs w:val="17"/>
              </w:rPr>
              <w:t>Theory</w:t>
            </w:r>
          </w:p>
        </w:tc>
      </w:tr>
      <w:tr w:rsidR="00AB17F5" w14:paraId="748C1E95" w14:textId="77777777" w:rsidTr="009D2F18">
        <w:tc>
          <w:tcPr>
            <w:tcW w:w="2192" w:type="dxa"/>
          </w:tcPr>
          <w:p w14:paraId="7FA4A675" w14:textId="515A2019" w:rsidR="00AB17F5" w:rsidRDefault="00000000">
            <w:pPr>
              <w:spacing w:before="20" w:after="20" w:line="240" w:lineRule="auto"/>
            </w:pPr>
            <w:r>
              <w:rPr>
                <w:sz w:val="17"/>
                <w:szCs w:val="17"/>
              </w:rPr>
              <w:t xml:space="preserve">Blamey et al. Simulated virtual on-call training programme… out-of-hours psychiatry. </w:t>
            </w:r>
            <w:proofErr w:type="spellStart"/>
            <w:r>
              <w:rPr>
                <w:i/>
                <w:sz w:val="17"/>
                <w:szCs w:val="17"/>
              </w:rPr>
              <w:t>BJPsych</w:t>
            </w:r>
            <w:proofErr w:type="spellEnd"/>
            <w:r>
              <w:rPr>
                <w:i/>
                <w:sz w:val="17"/>
                <w:szCs w:val="17"/>
              </w:rPr>
              <w:t xml:space="preserve"> Bull.</w:t>
            </w:r>
            <w:r>
              <w:rPr>
                <w:sz w:val="17"/>
                <w:szCs w:val="17"/>
              </w:rPr>
              <w:t xml:space="preserve"> 2023;47(5):287–295</w:t>
            </w:r>
          </w:p>
        </w:tc>
        <w:tc>
          <w:tcPr>
            <w:tcW w:w="3398" w:type="dxa"/>
          </w:tcPr>
          <w:p w14:paraId="6A92CAB7" w14:textId="77777777" w:rsidR="00AB17F5" w:rsidRDefault="00AB17F5">
            <w:pPr>
              <w:spacing w:before="20" w:after="20" w:line="240" w:lineRule="auto"/>
            </w:pPr>
            <w:hyperlink r:id="rId38">
              <w:r>
                <w:rPr>
                  <w:rStyle w:val="Hyperlink"/>
                  <w:sz w:val="17"/>
                  <w:szCs w:val="17"/>
                </w:rPr>
                <w:t>doi:10.1192/bjb.2022.40</w:t>
              </w:r>
            </w:hyperlink>
          </w:p>
        </w:tc>
        <w:tc>
          <w:tcPr>
            <w:tcW w:w="3060" w:type="dxa"/>
          </w:tcPr>
          <w:p w14:paraId="1C77C432" w14:textId="77777777" w:rsidR="00AB17F5" w:rsidRDefault="00000000">
            <w:pPr>
              <w:spacing w:before="20" w:after="20" w:line="240" w:lineRule="auto"/>
            </w:pPr>
            <w:r>
              <w:rPr>
                <w:sz w:val="17"/>
                <w:szCs w:val="17"/>
              </w:rPr>
              <w:t>Simulation improves junior doctors' confidence in psychiatry — evidence for simulation-based teaching.</w:t>
            </w:r>
          </w:p>
        </w:tc>
        <w:tc>
          <w:tcPr>
            <w:tcW w:w="950" w:type="dxa"/>
          </w:tcPr>
          <w:p w14:paraId="39AE735A" w14:textId="77777777" w:rsidR="00AB17F5" w:rsidRDefault="00000000">
            <w:pPr>
              <w:spacing w:before="20" w:after="20" w:line="240" w:lineRule="auto"/>
            </w:pPr>
            <w:r>
              <w:rPr>
                <w:sz w:val="17"/>
                <w:szCs w:val="17"/>
              </w:rPr>
              <w:t>Evidence</w:t>
            </w:r>
          </w:p>
        </w:tc>
      </w:tr>
      <w:tr w:rsidR="00AB17F5" w14:paraId="4A97A151" w14:textId="77777777" w:rsidTr="009D2F18">
        <w:tc>
          <w:tcPr>
            <w:tcW w:w="2192" w:type="dxa"/>
          </w:tcPr>
          <w:p w14:paraId="24D0BCCA" w14:textId="323CDF96" w:rsidR="00AB17F5" w:rsidRDefault="00000000">
            <w:pPr>
              <w:spacing w:before="20" w:after="20" w:line="240" w:lineRule="auto"/>
            </w:pPr>
            <w:r>
              <w:rPr>
                <w:sz w:val="17"/>
                <w:szCs w:val="17"/>
              </w:rPr>
              <w:t xml:space="preserve">Gill et al. 'I, robot, can help you': generative AI in RANZCP psychiatry training. </w:t>
            </w:r>
            <w:proofErr w:type="spellStart"/>
            <w:r>
              <w:rPr>
                <w:i/>
                <w:sz w:val="17"/>
                <w:szCs w:val="17"/>
              </w:rPr>
              <w:t>Australas</w:t>
            </w:r>
            <w:proofErr w:type="spellEnd"/>
            <w:r>
              <w:rPr>
                <w:i/>
                <w:sz w:val="17"/>
                <w:szCs w:val="17"/>
              </w:rPr>
              <w:t xml:space="preserve"> Psychiatry.</w:t>
            </w:r>
            <w:r>
              <w:rPr>
                <w:sz w:val="17"/>
                <w:szCs w:val="17"/>
              </w:rPr>
              <w:t xml:space="preserve"> 2025;33(4)</w:t>
            </w:r>
          </w:p>
        </w:tc>
        <w:tc>
          <w:tcPr>
            <w:tcW w:w="3398" w:type="dxa"/>
          </w:tcPr>
          <w:p w14:paraId="76E755A4" w14:textId="7493BA90" w:rsidR="00AB17F5" w:rsidRDefault="00AB17F5">
            <w:pPr>
              <w:spacing w:before="20" w:after="20" w:line="240" w:lineRule="auto"/>
            </w:pPr>
            <w:hyperlink r:id="rId39">
              <w:r>
                <w:rPr>
                  <w:rStyle w:val="Hyperlink"/>
                  <w:sz w:val="17"/>
                  <w:szCs w:val="17"/>
                </w:rPr>
                <w:t>doi:10.1177/10398562251344470</w:t>
              </w:r>
            </w:hyperlink>
          </w:p>
        </w:tc>
        <w:tc>
          <w:tcPr>
            <w:tcW w:w="3060" w:type="dxa"/>
          </w:tcPr>
          <w:p w14:paraId="23CD60A0" w14:textId="77777777" w:rsidR="00AB17F5" w:rsidRDefault="00000000">
            <w:pPr>
              <w:spacing w:before="20" w:after="20" w:line="240" w:lineRule="auto"/>
            </w:pPr>
            <w:r>
              <w:rPr>
                <w:sz w:val="17"/>
                <w:szCs w:val="17"/>
              </w:rPr>
              <w:t>RANZCP-specific survey of generative-AI applications in psychiatry training.</w:t>
            </w:r>
          </w:p>
        </w:tc>
        <w:tc>
          <w:tcPr>
            <w:tcW w:w="950" w:type="dxa"/>
          </w:tcPr>
          <w:p w14:paraId="1900B11F" w14:textId="77777777" w:rsidR="00AB17F5" w:rsidRDefault="00000000">
            <w:pPr>
              <w:spacing w:before="20" w:after="20" w:line="240" w:lineRule="auto"/>
            </w:pPr>
            <w:r>
              <w:rPr>
                <w:sz w:val="17"/>
                <w:szCs w:val="17"/>
              </w:rPr>
              <w:t>Evidence</w:t>
            </w:r>
          </w:p>
        </w:tc>
      </w:tr>
      <w:tr w:rsidR="00AB17F5" w14:paraId="3D5BC57F" w14:textId="77777777" w:rsidTr="009D2F18">
        <w:tc>
          <w:tcPr>
            <w:tcW w:w="2192" w:type="dxa"/>
          </w:tcPr>
          <w:p w14:paraId="36147CF7" w14:textId="4B1E9690" w:rsidR="00AB17F5" w:rsidRDefault="00000000">
            <w:pPr>
              <w:spacing w:before="20" w:after="20" w:line="240" w:lineRule="auto"/>
            </w:pPr>
            <w:r>
              <w:rPr>
                <w:sz w:val="17"/>
                <w:szCs w:val="17"/>
              </w:rPr>
              <w:t xml:space="preserve">Gauld et al. AI-generated visualisations to improve teaching of psychiatric symptom characterisation. </w:t>
            </w:r>
            <w:r>
              <w:rPr>
                <w:i/>
                <w:sz w:val="17"/>
                <w:szCs w:val="17"/>
              </w:rPr>
              <w:t>Br J Psychiatry.</w:t>
            </w:r>
            <w:r>
              <w:rPr>
                <w:sz w:val="17"/>
                <w:szCs w:val="17"/>
              </w:rPr>
              <w:t xml:space="preserve"> 2025 </w:t>
            </w:r>
            <w:r>
              <w:rPr>
                <w:i/>
                <w:sz w:val="17"/>
                <w:szCs w:val="17"/>
              </w:rPr>
              <w:t>(online)</w:t>
            </w:r>
          </w:p>
        </w:tc>
        <w:tc>
          <w:tcPr>
            <w:tcW w:w="3398" w:type="dxa"/>
          </w:tcPr>
          <w:p w14:paraId="4B0ACFB8" w14:textId="77777777" w:rsidR="00AB17F5" w:rsidRDefault="00AB17F5">
            <w:pPr>
              <w:spacing w:before="20" w:after="20" w:line="240" w:lineRule="auto"/>
            </w:pPr>
            <w:hyperlink r:id="rId40">
              <w:r>
                <w:rPr>
                  <w:rStyle w:val="Hyperlink"/>
                  <w:sz w:val="17"/>
                  <w:szCs w:val="17"/>
                </w:rPr>
                <w:t>doi:10.11</w:t>
              </w:r>
              <w:r>
                <w:rPr>
                  <w:rStyle w:val="Hyperlink"/>
                  <w:sz w:val="17"/>
                  <w:szCs w:val="17"/>
                </w:rPr>
                <w:t>9</w:t>
              </w:r>
              <w:r>
                <w:rPr>
                  <w:rStyle w:val="Hyperlink"/>
                  <w:sz w:val="17"/>
                  <w:szCs w:val="17"/>
                </w:rPr>
                <w:t>2/bjp.2025.10464</w:t>
              </w:r>
            </w:hyperlink>
          </w:p>
        </w:tc>
        <w:tc>
          <w:tcPr>
            <w:tcW w:w="3060" w:type="dxa"/>
          </w:tcPr>
          <w:p w14:paraId="78CFA453" w14:textId="77777777" w:rsidR="00AB17F5" w:rsidRDefault="00000000">
            <w:pPr>
              <w:spacing w:before="20" w:after="20" w:line="240" w:lineRule="auto"/>
            </w:pPr>
            <w:r>
              <w:rPr>
                <w:sz w:val="17"/>
                <w:szCs w:val="17"/>
              </w:rPr>
              <w:t>An AI teaching tool for symptom characterisation.</w:t>
            </w:r>
          </w:p>
        </w:tc>
        <w:tc>
          <w:tcPr>
            <w:tcW w:w="950" w:type="dxa"/>
          </w:tcPr>
          <w:p w14:paraId="50E0063A" w14:textId="77777777" w:rsidR="00AB17F5" w:rsidRDefault="00000000">
            <w:pPr>
              <w:spacing w:before="20" w:after="20" w:line="240" w:lineRule="auto"/>
            </w:pPr>
            <w:r>
              <w:rPr>
                <w:sz w:val="17"/>
                <w:szCs w:val="17"/>
              </w:rPr>
              <w:t>Evidence</w:t>
            </w:r>
          </w:p>
        </w:tc>
      </w:tr>
    </w:tbl>
    <w:p w14:paraId="04B47E98" w14:textId="77777777" w:rsidR="00AB17F5" w:rsidRDefault="00AB17F5"/>
    <w:p w14:paraId="1B693E73" w14:textId="77777777" w:rsidR="00AB17F5" w:rsidRDefault="00AB17F5">
      <w:pPr>
        <w:pBdr>
          <w:bottom w:val="single" w:sz="4" w:space="1" w:color="CCCCCC"/>
        </w:pBdr>
      </w:pPr>
    </w:p>
    <w:p w14:paraId="2F8D8238" w14:textId="77777777" w:rsidR="00AB17F5" w:rsidRDefault="00000000">
      <w:pPr>
        <w:pStyle w:val="Heading1"/>
      </w:pPr>
      <w:r>
        <w:t>5. Assessment</w:t>
      </w:r>
    </w:p>
    <w:p w14:paraId="62C959E9" w14:textId="77777777" w:rsidR="00AB17F5" w:rsidRDefault="00000000">
      <w:r>
        <w:t xml:space="preserve">The most consequential — and most contested — domain. The College has previously retired the OSCE in lieu of a programmatic, portfolio-based competency review. The references here justify that direction (programmatic assessment; the OSCE critique) </w:t>
      </w:r>
      <w:r>
        <w:rPr>
          <w:i/>
        </w:rPr>
        <w:t>and</w:t>
      </w:r>
      <w:r>
        <w:t xml:space="preserve"> hold the tension honestly (Amos et al. warn the portfolio may detect pre-competence less well). The design imperative: make portfolio and competence reviews rigorous — enough independent, observed sampling to defend entrustment — while treating examiner judgement as legitimate signal, not noise.</w:t>
      </w:r>
    </w:p>
    <w:tbl>
      <w:tblPr>
        <w:tblW w:w="9600" w:type="dxa"/>
        <w:tblInd w:w="1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CellMar>
          <w:left w:w="10" w:type="dxa"/>
          <w:right w:w="10" w:type="dxa"/>
        </w:tblCellMar>
        <w:tblLook w:val="07E0" w:firstRow="1" w:lastRow="1" w:firstColumn="1" w:lastColumn="1" w:noHBand="1" w:noVBand="1"/>
      </w:tblPr>
      <w:tblGrid>
        <w:gridCol w:w="2658"/>
        <w:gridCol w:w="2665"/>
        <w:gridCol w:w="3310"/>
        <w:gridCol w:w="967"/>
      </w:tblGrid>
      <w:tr w:rsidR="00AB17F5" w14:paraId="23B32651" w14:textId="77777777" w:rsidTr="00B735E6">
        <w:trPr>
          <w:tblHeader/>
        </w:trPr>
        <w:tc>
          <w:tcPr>
            <w:tcW w:w="2658" w:type="dxa"/>
            <w:shd w:val="clear" w:color="auto" w:fill="EFE9F4"/>
          </w:tcPr>
          <w:p w14:paraId="618B28FE" w14:textId="77777777" w:rsidR="00AB17F5" w:rsidRDefault="00000000">
            <w:pPr>
              <w:spacing w:before="20" w:after="20" w:line="240" w:lineRule="auto"/>
            </w:pPr>
            <w:r>
              <w:rPr>
                <w:b/>
                <w:sz w:val="17"/>
                <w:szCs w:val="17"/>
              </w:rPr>
              <w:t>Reference</w:t>
            </w:r>
          </w:p>
        </w:tc>
        <w:tc>
          <w:tcPr>
            <w:tcW w:w="2665" w:type="dxa"/>
            <w:shd w:val="clear" w:color="auto" w:fill="EFE9F4"/>
          </w:tcPr>
          <w:p w14:paraId="32B080F3" w14:textId="77777777" w:rsidR="00AB17F5" w:rsidRDefault="00000000">
            <w:pPr>
              <w:spacing w:before="20" w:after="20" w:line="240" w:lineRule="auto"/>
            </w:pPr>
            <w:r>
              <w:rPr>
                <w:b/>
                <w:sz w:val="17"/>
                <w:szCs w:val="17"/>
              </w:rPr>
              <w:t>Link</w:t>
            </w:r>
          </w:p>
        </w:tc>
        <w:tc>
          <w:tcPr>
            <w:tcW w:w="3310" w:type="dxa"/>
            <w:shd w:val="clear" w:color="auto" w:fill="EFE9F4"/>
          </w:tcPr>
          <w:p w14:paraId="384FBA9A" w14:textId="77777777" w:rsidR="00AB17F5" w:rsidRDefault="00000000">
            <w:pPr>
              <w:spacing w:before="20" w:after="20" w:line="240" w:lineRule="auto"/>
            </w:pPr>
            <w:r>
              <w:rPr>
                <w:b/>
                <w:sz w:val="17"/>
                <w:szCs w:val="17"/>
              </w:rPr>
              <w:t>What it tells us</w:t>
            </w:r>
          </w:p>
        </w:tc>
        <w:tc>
          <w:tcPr>
            <w:tcW w:w="967" w:type="dxa"/>
            <w:shd w:val="clear" w:color="auto" w:fill="EFE9F4"/>
          </w:tcPr>
          <w:p w14:paraId="65B674FE" w14:textId="77777777" w:rsidR="00AB17F5" w:rsidRDefault="00000000">
            <w:pPr>
              <w:spacing w:before="20" w:after="20" w:line="240" w:lineRule="auto"/>
            </w:pPr>
            <w:r>
              <w:rPr>
                <w:b/>
                <w:sz w:val="17"/>
                <w:szCs w:val="17"/>
              </w:rPr>
              <w:t>Category</w:t>
            </w:r>
          </w:p>
        </w:tc>
      </w:tr>
      <w:tr w:rsidR="00AB17F5" w14:paraId="3639BCA2" w14:textId="77777777" w:rsidTr="00B735E6">
        <w:tc>
          <w:tcPr>
            <w:tcW w:w="2658" w:type="dxa"/>
          </w:tcPr>
          <w:p w14:paraId="2AD1B670" w14:textId="77777777" w:rsidR="00AB17F5" w:rsidRDefault="00000000">
            <w:pPr>
              <w:spacing w:before="20" w:after="20" w:line="240" w:lineRule="auto"/>
            </w:pPr>
            <w:r>
              <w:rPr>
                <w:sz w:val="17"/>
                <w:szCs w:val="17"/>
              </w:rPr>
              <w:t xml:space="preserve">van der Vleuten &amp; </w:t>
            </w:r>
            <w:proofErr w:type="spellStart"/>
            <w:r>
              <w:rPr>
                <w:sz w:val="17"/>
                <w:szCs w:val="17"/>
              </w:rPr>
              <w:t>Schuwirth</w:t>
            </w:r>
            <w:proofErr w:type="spellEnd"/>
            <w:r>
              <w:rPr>
                <w:sz w:val="17"/>
                <w:szCs w:val="17"/>
              </w:rPr>
              <w:t xml:space="preserve">. Assessing professional competence: from methods to programmes. </w:t>
            </w:r>
            <w:r>
              <w:rPr>
                <w:i/>
                <w:sz w:val="17"/>
                <w:szCs w:val="17"/>
              </w:rPr>
              <w:t>Med Educ.</w:t>
            </w:r>
            <w:r>
              <w:rPr>
                <w:sz w:val="17"/>
                <w:szCs w:val="17"/>
              </w:rPr>
              <w:t xml:space="preserve"> 2005</w:t>
            </w:r>
          </w:p>
        </w:tc>
        <w:tc>
          <w:tcPr>
            <w:tcW w:w="2665" w:type="dxa"/>
          </w:tcPr>
          <w:p w14:paraId="4A50A554" w14:textId="77777777" w:rsidR="00AB17F5" w:rsidRDefault="00AB17F5">
            <w:pPr>
              <w:spacing w:before="20" w:after="20" w:line="240" w:lineRule="auto"/>
            </w:pPr>
            <w:hyperlink r:id="rId41">
              <w:r>
                <w:rPr>
                  <w:rStyle w:val="Hyperlink"/>
                  <w:sz w:val="17"/>
                  <w:szCs w:val="17"/>
                </w:rPr>
                <w:t>doi:10.1111/j.1365-2929</w:t>
              </w:r>
              <w:r>
                <w:rPr>
                  <w:rStyle w:val="Hyperlink"/>
                  <w:sz w:val="17"/>
                  <w:szCs w:val="17"/>
                </w:rPr>
                <w:t>.</w:t>
              </w:r>
              <w:proofErr w:type="gramStart"/>
              <w:r>
                <w:rPr>
                  <w:rStyle w:val="Hyperlink"/>
                  <w:sz w:val="17"/>
                  <w:szCs w:val="17"/>
                </w:rPr>
                <w:t>2005.02094.x</w:t>
              </w:r>
              <w:proofErr w:type="gramEnd"/>
            </w:hyperlink>
          </w:p>
        </w:tc>
        <w:tc>
          <w:tcPr>
            <w:tcW w:w="3310" w:type="dxa"/>
          </w:tcPr>
          <w:p w14:paraId="12E35BAA" w14:textId="77777777" w:rsidR="00AB17F5" w:rsidRDefault="00000000">
            <w:pPr>
              <w:spacing w:before="20" w:after="20" w:line="240" w:lineRule="auto"/>
            </w:pPr>
            <w:r>
              <w:rPr>
                <w:sz w:val="17"/>
                <w:szCs w:val="17"/>
              </w:rPr>
              <w:t>Programmatic assessment: no single instrument is adequate; competence is inferred from many low- and high-stakes data points combined by expert judgement — the conceptual basis of the CCPR.</w:t>
            </w:r>
          </w:p>
        </w:tc>
        <w:tc>
          <w:tcPr>
            <w:tcW w:w="967" w:type="dxa"/>
          </w:tcPr>
          <w:p w14:paraId="37403B8F" w14:textId="77777777" w:rsidR="00AB17F5" w:rsidRDefault="00000000">
            <w:pPr>
              <w:spacing w:before="20" w:after="20" w:line="240" w:lineRule="auto"/>
            </w:pPr>
            <w:r>
              <w:rPr>
                <w:sz w:val="17"/>
                <w:szCs w:val="17"/>
              </w:rPr>
              <w:t>Theory</w:t>
            </w:r>
          </w:p>
        </w:tc>
      </w:tr>
      <w:tr w:rsidR="00AB17F5" w14:paraId="097AE8B8" w14:textId="77777777" w:rsidTr="00B735E6">
        <w:tc>
          <w:tcPr>
            <w:tcW w:w="2658" w:type="dxa"/>
          </w:tcPr>
          <w:p w14:paraId="60066AF7" w14:textId="77777777" w:rsidR="00AB17F5" w:rsidRDefault="00000000">
            <w:pPr>
              <w:spacing w:before="20" w:after="20" w:line="240" w:lineRule="auto"/>
            </w:pPr>
            <w:r>
              <w:rPr>
                <w:sz w:val="17"/>
                <w:szCs w:val="17"/>
              </w:rPr>
              <w:t xml:space="preserve">Caretta-Weyer et al. The next era of assessment: Building a trustworthy assessment system. </w:t>
            </w:r>
            <w:proofErr w:type="spellStart"/>
            <w:r>
              <w:rPr>
                <w:i/>
                <w:sz w:val="17"/>
                <w:szCs w:val="17"/>
              </w:rPr>
              <w:t>Perspect</w:t>
            </w:r>
            <w:proofErr w:type="spellEnd"/>
            <w:r>
              <w:rPr>
                <w:i/>
                <w:sz w:val="17"/>
                <w:szCs w:val="17"/>
              </w:rPr>
              <w:t xml:space="preserve"> Med Educ.</w:t>
            </w:r>
            <w:r>
              <w:rPr>
                <w:sz w:val="17"/>
                <w:szCs w:val="17"/>
              </w:rPr>
              <w:t xml:space="preserve"> 2024</w:t>
            </w:r>
          </w:p>
        </w:tc>
        <w:tc>
          <w:tcPr>
            <w:tcW w:w="2665" w:type="dxa"/>
          </w:tcPr>
          <w:p w14:paraId="714276F2" w14:textId="6F82E33C" w:rsidR="00AB17F5" w:rsidRDefault="00AB17F5">
            <w:pPr>
              <w:spacing w:before="20" w:after="20" w:line="240" w:lineRule="auto"/>
            </w:pPr>
            <w:hyperlink r:id="rId42">
              <w:r>
                <w:rPr>
                  <w:rStyle w:val="Hyperlink"/>
                  <w:sz w:val="17"/>
                  <w:szCs w:val="17"/>
                </w:rPr>
                <w:t>doi:10.5334</w:t>
              </w:r>
              <w:r>
                <w:rPr>
                  <w:rStyle w:val="Hyperlink"/>
                  <w:sz w:val="17"/>
                  <w:szCs w:val="17"/>
                </w:rPr>
                <w:t>/</w:t>
              </w:r>
              <w:r>
                <w:rPr>
                  <w:rStyle w:val="Hyperlink"/>
                  <w:sz w:val="17"/>
                  <w:szCs w:val="17"/>
                </w:rPr>
                <w:t>pme.1110</w:t>
              </w:r>
            </w:hyperlink>
            <w:r w:rsidR="00000000">
              <w:rPr>
                <w:sz w:val="17"/>
                <w:szCs w:val="17"/>
              </w:rPr>
              <w:t xml:space="preserve"> </w:t>
            </w:r>
          </w:p>
        </w:tc>
        <w:tc>
          <w:tcPr>
            <w:tcW w:w="3310" w:type="dxa"/>
          </w:tcPr>
          <w:p w14:paraId="1DDA0D5D" w14:textId="77777777" w:rsidR="00AB17F5" w:rsidRDefault="00000000">
            <w:pPr>
              <w:spacing w:before="20" w:after="20" w:line="240" w:lineRule="auto"/>
            </w:pPr>
            <w:r>
              <w:rPr>
                <w:sz w:val="17"/>
                <w:szCs w:val="17"/>
              </w:rPr>
              <w:t>The current synthesis — move from defensible single instruments to a longitudinal, multi-datapoint "trustworthy" assessment system.</w:t>
            </w:r>
          </w:p>
        </w:tc>
        <w:tc>
          <w:tcPr>
            <w:tcW w:w="967" w:type="dxa"/>
          </w:tcPr>
          <w:p w14:paraId="513F6E65" w14:textId="77777777" w:rsidR="00AB17F5" w:rsidRDefault="00000000">
            <w:pPr>
              <w:spacing w:before="20" w:after="20" w:line="240" w:lineRule="auto"/>
            </w:pPr>
            <w:r>
              <w:rPr>
                <w:sz w:val="17"/>
                <w:szCs w:val="17"/>
              </w:rPr>
              <w:t>Theory</w:t>
            </w:r>
          </w:p>
        </w:tc>
      </w:tr>
      <w:tr w:rsidR="00AB17F5" w14:paraId="4266202B" w14:textId="77777777" w:rsidTr="00B735E6">
        <w:tc>
          <w:tcPr>
            <w:tcW w:w="2658" w:type="dxa"/>
          </w:tcPr>
          <w:p w14:paraId="4B3E8E05" w14:textId="77777777" w:rsidR="00AB17F5" w:rsidRDefault="00000000">
            <w:pPr>
              <w:spacing w:before="20" w:after="20" w:line="240" w:lineRule="auto"/>
            </w:pPr>
            <w:r>
              <w:rPr>
                <w:sz w:val="17"/>
                <w:szCs w:val="17"/>
              </w:rPr>
              <w:t xml:space="preserve">Miller. The assessment of clinical skills/competence/performance. </w:t>
            </w:r>
            <w:proofErr w:type="spellStart"/>
            <w:r>
              <w:rPr>
                <w:i/>
                <w:sz w:val="17"/>
                <w:szCs w:val="17"/>
              </w:rPr>
              <w:t>Acad</w:t>
            </w:r>
            <w:proofErr w:type="spellEnd"/>
            <w:r>
              <w:rPr>
                <w:i/>
                <w:sz w:val="17"/>
                <w:szCs w:val="17"/>
              </w:rPr>
              <w:t xml:space="preserve"> Med.</w:t>
            </w:r>
            <w:r>
              <w:rPr>
                <w:sz w:val="17"/>
                <w:szCs w:val="17"/>
              </w:rPr>
              <w:t xml:space="preserve"> 1990</w:t>
            </w:r>
          </w:p>
        </w:tc>
        <w:tc>
          <w:tcPr>
            <w:tcW w:w="2665" w:type="dxa"/>
          </w:tcPr>
          <w:p w14:paraId="39DB31FB" w14:textId="77777777" w:rsidR="00AB17F5" w:rsidRDefault="00AB17F5">
            <w:pPr>
              <w:spacing w:before="20" w:after="20" w:line="240" w:lineRule="auto"/>
            </w:pPr>
            <w:hyperlink r:id="rId43">
              <w:r>
                <w:rPr>
                  <w:rStyle w:val="Hyperlink"/>
                  <w:sz w:val="17"/>
                  <w:szCs w:val="17"/>
                </w:rPr>
                <w:t>doi:1</w:t>
              </w:r>
              <w:r>
                <w:rPr>
                  <w:rStyle w:val="Hyperlink"/>
                  <w:sz w:val="17"/>
                  <w:szCs w:val="17"/>
                </w:rPr>
                <w:t>0</w:t>
              </w:r>
              <w:r>
                <w:rPr>
                  <w:rStyle w:val="Hyperlink"/>
                  <w:sz w:val="17"/>
                  <w:szCs w:val="17"/>
                </w:rPr>
                <w:t>.1097/00001888-199009000-00</w:t>
              </w:r>
              <w:r>
                <w:rPr>
                  <w:rStyle w:val="Hyperlink"/>
                  <w:sz w:val="17"/>
                  <w:szCs w:val="17"/>
                </w:rPr>
                <w:t>0</w:t>
              </w:r>
              <w:r>
                <w:rPr>
                  <w:rStyle w:val="Hyperlink"/>
                  <w:sz w:val="17"/>
                  <w:szCs w:val="17"/>
                </w:rPr>
                <w:t>45</w:t>
              </w:r>
            </w:hyperlink>
          </w:p>
        </w:tc>
        <w:tc>
          <w:tcPr>
            <w:tcW w:w="3310" w:type="dxa"/>
          </w:tcPr>
          <w:p w14:paraId="29192DB2" w14:textId="77777777" w:rsidR="00AB17F5" w:rsidRDefault="00000000">
            <w:pPr>
              <w:spacing w:before="20" w:after="20" w:line="240" w:lineRule="auto"/>
            </w:pPr>
            <w:r>
              <w:rPr>
                <w:sz w:val="17"/>
                <w:szCs w:val="17"/>
              </w:rPr>
              <w:t>Miller's pyramid (knows → knows how → shows how → does) aligns each method to the level of competence it can credibly reach; psychiatric competence lives at "does".</w:t>
            </w:r>
          </w:p>
        </w:tc>
        <w:tc>
          <w:tcPr>
            <w:tcW w:w="967" w:type="dxa"/>
          </w:tcPr>
          <w:p w14:paraId="45FAD264" w14:textId="77777777" w:rsidR="00AB17F5" w:rsidRDefault="00000000">
            <w:pPr>
              <w:spacing w:before="20" w:after="20" w:line="240" w:lineRule="auto"/>
            </w:pPr>
            <w:r>
              <w:rPr>
                <w:sz w:val="17"/>
                <w:szCs w:val="17"/>
              </w:rPr>
              <w:t>Theory</w:t>
            </w:r>
          </w:p>
        </w:tc>
      </w:tr>
      <w:tr w:rsidR="00AB17F5" w14:paraId="1DC150E4" w14:textId="77777777" w:rsidTr="00B735E6">
        <w:tc>
          <w:tcPr>
            <w:tcW w:w="2658" w:type="dxa"/>
          </w:tcPr>
          <w:p w14:paraId="62ECE34B" w14:textId="77777777" w:rsidR="00AB17F5" w:rsidRDefault="00000000">
            <w:pPr>
              <w:spacing w:before="20" w:after="20" w:line="240" w:lineRule="auto"/>
            </w:pPr>
            <w:r>
              <w:rPr>
                <w:sz w:val="17"/>
                <w:szCs w:val="17"/>
              </w:rPr>
              <w:t xml:space="preserve">Kane. Validating the interpretations and uses of test scores. </w:t>
            </w:r>
            <w:r>
              <w:rPr>
                <w:i/>
                <w:sz w:val="17"/>
                <w:szCs w:val="17"/>
              </w:rPr>
              <w:t>J Educ Meas.</w:t>
            </w:r>
            <w:r>
              <w:rPr>
                <w:sz w:val="17"/>
                <w:szCs w:val="17"/>
              </w:rPr>
              <w:t xml:space="preserve"> 2013;50(1):1–73</w:t>
            </w:r>
          </w:p>
        </w:tc>
        <w:tc>
          <w:tcPr>
            <w:tcW w:w="2665" w:type="dxa"/>
          </w:tcPr>
          <w:p w14:paraId="34D88DA3" w14:textId="77777777" w:rsidR="00AB17F5" w:rsidRDefault="00AB17F5">
            <w:pPr>
              <w:spacing w:before="20" w:after="20" w:line="240" w:lineRule="auto"/>
            </w:pPr>
            <w:hyperlink r:id="rId44">
              <w:r>
                <w:rPr>
                  <w:rStyle w:val="Hyperlink"/>
                  <w:sz w:val="17"/>
                  <w:szCs w:val="17"/>
                </w:rPr>
                <w:t>doi:10.111</w:t>
              </w:r>
              <w:r>
                <w:rPr>
                  <w:rStyle w:val="Hyperlink"/>
                  <w:sz w:val="17"/>
                  <w:szCs w:val="17"/>
                </w:rPr>
                <w:t>1</w:t>
              </w:r>
              <w:r>
                <w:rPr>
                  <w:rStyle w:val="Hyperlink"/>
                  <w:sz w:val="17"/>
                  <w:szCs w:val="17"/>
                </w:rPr>
                <w:t>/jedm.12000</w:t>
              </w:r>
            </w:hyperlink>
          </w:p>
        </w:tc>
        <w:tc>
          <w:tcPr>
            <w:tcW w:w="3310" w:type="dxa"/>
          </w:tcPr>
          <w:p w14:paraId="72BE7470" w14:textId="77777777" w:rsidR="00AB17F5" w:rsidRDefault="00000000">
            <w:pPr>
              <w:spacing w:before="20" w:after="20" w:line="240" w:lineRule="auto"/>
            </w:pPr>
            <w:r>
              <w:rPr>
                <w:sz w:val="17"/>
                <w:szCs w:val="17"/>
              </w:rPr>
              <w:t xml:space="preserve">The argument-based validity framework: validity is a property not of a test but of the </w:t>
            </w:r>
            <w:r>
              <w:rPr>
                <w:i/>
                <w:sz w:val="17"/>
                <w:szCs w:val="17"/>
              </w:rPr>
              <w:t>interpretation and use</w:t>
            </w:r>
            <w:r>
              <w:rPr>
                <w:sz w:val="17"/>
                <w:szCs w:val="17"/>
              </w:rPr>
              <w:t xml:space="preserve"> of its scores — build and evaluate a chain of inferences (scoring → generalisation → extrapolation → implications/decision). The standard for </w:t>
            </w:r>
            <w:r>
              <w:rPr>
                <w:sz w:val="17"/>
                <w:szCs w:val="17"/>
              </w:rPr>
              <w:lastRenderedPageBreak/>
              <w:t>defending high-stakes decisions like the CCPR.</w:t>
            </w:r>
          </w:p>
        </w:tc>
        <w:tc>
          <w:tcPr>
            <w:tcW w:w="967" w:type="dxa"/>
          </w:tcPr>
          <w:p w14:paraId="0F85DECE" w14:textId="77777777" w:rsidR="00AB17F5" w:rsidRDefault="00000000">
            <w:pPr>
              <w:spacing w:before="20" w:after="20" w:line="240" w:lineRule="auto"/>
            </w:pPr>
            <w:r>
              <w:rPr>
                <w:sz w:val="17"/>
                <w:szCs w:val="17"/>
              </w:rPr>
              <w:lastRenderedPageBreak/>
              <w:t>Theory</w:t>
            </w:r>
          </w:p>
        </w:tc>
      </w:tr>
      <w:tr w:rsidR="00AB17F5" w14:paraId="27FD9062" w14:textId="77777777" w:rsidTr="00B735E6">
        <w:tc>
          <w:tcPr>
            <w:tcW w:w="2658" w:type="dxa"/>
          </w:tcPr>
          <w:p w14:paraId="1C48FC51" w14:textId="77777777" w:rsidR="00AB17F5" w:rsidRDefault="00000000">
            <w:pPr>
              <w:spacing w:before="20" w:after="20" w:line="240" w:lineRule="auto"/>
            </w:pPr>
            <w:r>
              <w:rPr>
                <w:sz w:val="17"/>
                <w:szCs w:val="17"/>
              </w:rPr>
              <w:t xml:space="preserve">Cook, Brydges, Ginsburg, Hatala. A contemporary approach to validity arguments: a practical guide to Kane's framework. </w:t>
            </w:r>
            <w:r>
              <w:rPr>
                <w:i/>
                <w:sz w:val="17"/>
                <w:szCs w:val="17"/>
              </w:rPr>
              <w:t>Med Educ.</w:t>
            </w:r>
            <w:r>
              <w:rPr>
                <w:sz w:val="17"/>
                <w:szCs w:val="17"/>
              </w:rPr>
              <w:t xml:space="preserve"> 2015;49(6):560–575</w:t>
            </w:r>
          </w:p>
        </w:tc>
        <w:tc>
          <w:tcPr>
            <w:tcW w:w="2665" w:type="dxa"/>
          </w:tcPr>
          <w:p w14:paraId="37047FD3" w14:textId="77777777" w:rsidR="00AB17F5" w:rsidRDefault="00AB17F5">
            <w:pPr>
              <w:spacing w:before="20" w:after="20" w:line="240" w:lineRule="auto"/>
            </w:pPr>
            <w:hyperlink r:id="rId45">
              <w:r>
                <w:rPr>
                  <w:rStyle w:val="Hyperlink"/>
                  <w:sz w:val="17"/>
                  <w:szCs w:val="17"/>
                </w:rPr>
                <w:t>doi:10.1111/medu.12678</w:t>
              </w:r>
            </w:hyperlink>
          </w:p>
        </w:tc>
        <w:tc>
          <w:tcPr>
            <w:tcW w:w="3310" w:type="dxa"/>
          </w:tcPr>
          <w:p w14:paraId="42A897AC" w14:textId="77777777" w:rsidR="00AB17F5" w:rsidRDefault="00000000">
            <w:pPr>
              <w:spacing w:before="20" w:after="20" w:line="240" w:lineRule="auto"/>
            </w:pPr>
            <w:r>
              <w:rPr>
                <w:sz w:val="17"/>
                <w:szCs w:val="17"/>
              </w:rPr>
              <w:t>The medical-education "how-to" for applying Kane — the practical guide to assembling a validity argument for an assessment programme.</w:t>
            </w:r>
          </w:p>
        </w:tc>
        <w:tc>
          <w:tcPr>
            <w:tcW w:w="967" w:type="dxa"/>
          </w:tcPr>
          <w:p w14:paraId="58CF690A" w14:textId="77777777" w:rsidR="00AB17F5" w:rsidRDefault="00000000">
            <w:pPr>
              <w:spacing w:before="20" w:after="20" w:line="240" w:lineRule="auto"/>
            </w:pPr>
            <w:r>
              <w:rPr>
                <w:sz w:val="17"/>
                <w:szCs w:val="17"/>
              </w:rPr>
              <w:t>Theory</w:t>
            </w:r>
          </w:p>
        </w:tc>
      </w:tr>
      <w:tr w:rsidR="00AB17F5" w14:paraId="52A15DAA" w14:textId="77777777" w:rsidTr="00B735E6">
        <w:tc>
          <w:tcPr>
            <w:tcW w:w="2658" w:type="dxa"/>
          </w:tcPr>
          <w:p w14:paraId="4598BAB8" w14:textId="77777777" w:rsidR="00AB17F5" w:rsidRDefault="00000000">
            <w:pPr>
              <w:spacing w:before="20" w:after="20" w:line="240" w:lineRule="auto"/>
            </w:pPr>
            <w:r>
              <w:rPr>
                <w:sz w:val="17"/>
                <w:szCs w:val="17"/>
              </w:rPr>
              <w:t xml:space="preserve">Hodges et al. OSCE checklists do not capture increasing levels of expertise. </w:t>
            </w:r>
            <w:proofErr w:type="spellStart"/>
            <w:r>
              <w:rPr>
                <w:i/>
                <w:sz w:val="17"/>
                <w:szCs w:val="17"/>
              </w:rPr>
              <w:t>Acad</w:t>
            </w:r>
            <w:proofErr w:type="spellEnd"/>
            <w:r>
              <w:rPr>
                <w:i/>
                <w:sz w:val="17"/>
                <w:szCs w:val="17"/>
              </w:rPr>
              <w:t xml:space="preserve"> Med.</w:t>
            </w:r>
            <w:r>
              <w:rPr>
                <w:sz w:val="17"/>
                <w:szCs w:val="17"/>
              </w:rPr>
              <w:t xml:space="preserve"> 1999</w:t>
            </w:r>
          </w:p>
        </w:tc>
        <w:tc>
          <w:tcPr>
            <w:tcW w:w="2665" w:type="dxa"/>
          </w:tcPr>
          <w:p w14:paraId="0F400AC0" w14:textId="77777777" w:rsidR="00AB17F5" w:rsidRDefault="00AB17F5">
            <w:pPr>
              <w:spacing w:before="20" w:after="20" w:line="240" w:lineRule="auto"/>
            </w:pPr>
            <w:hyperlink r:id="rId46">
              <w:r>
                <w:rPr>
                  <w:rStyle w:val="Hyperlink"/>
                  <w:sz w:val="17"/>
                  <w:szCs w:val="17"/>
                </w:rPr>
                <w:t>pubmed.n</w:t>
              </w:r>
              <w:r>
                <w:rPr>
                  <w:rStyle w:val="Hyperlink"/>
                  <w:sz w:val="17"/>
                  <w:szCs w:val="17"/>
                </w:rPr>
                <w:t>c</w:t>
              </w:r>
              <w:r>
                <w:rPr>
                  <w:rStyle w:val="Hyperlink"/>
                  <w:sz w:val="17"/>
                  <w:szCs w:val="17"/>
                </w:rPr>
                <w:t>bi.nlm.nih.gov/10536636/</w:t>
              </w:r>
            </w:hyperlink>
          </w:p>
        </w:tc>
        <w:tc>
          <w:tcPr>
            <w:tcW w:w="3310" w:type="dxa"/>
          </w:tcPr>
          <w:p w14:paraId="26E91C6D" w14:textId="77777777" w:rsidR="00AB17F5" w:rsidRDefault="00000000">
            <w:pPr>
              <w:spacing w:before="20" w:after="20" w:line="240" w:lineRule="auto"/>
            </w:pPr>
            <w:r>
              <w:rPr>
                <w:sz w:val="17"/>
                <w:szCs w:val="17"/>
              </w:rPr>
              <w:t xml:space="preserve">On standardised-patient interviews, global ratings rose with expertise but checklist scores </w:t>
            </w:r>
            <w:r>
              <w:rPr>
                <w:i/>
                <w:sz w:val="17"/>
                <w:szCs w:val="17"/>
              </w:rPr>
              <w:t>fell</w:t>
            </w:r>
            <w:r>
              <w:rPr>
                <w:sz w:val="17"/>
                <w:szCs w:val="17"/>
              </w:rPr>
              <w:t xml:space="preserve"> — direct evidence that checklists can be construct-invalid for nuanced clinical </w:t>
            </w:r>
            <w:proofErr w:type="spellStart"/>
            <w:r>
              <w:rPr>
                <w:sz w:val="17"/>
                <w:szCs w:val="17"/>
              </w:rPr>
              <w:t>skill.“On</w:t>
            </w:r>
            <w:proofErr w:type="spellEnd"/>
            <w:r>
              <w:rPr>
                <w:sz w:val="17"/>
                <w:szCs w:val="17"/>
              </w:rPr>
              <w:t xml:space="preserve"> global scales, the experienced clinicians scored significantly better than did the residents and clerks, but on checklists, the experienced clinicians scored significantly worse than did the residents and clerks.”</w:t>
            </w:r>
          </w:p>
        </w:tc>
        <w:tc>
          <w:tcPr>
            <w:tcW w:w="967" w:type="dxa"/>
          </w:tcPr>
          <w:p w14:paraId="57F44FAC" w14:textId="77777777" w:rsidR="00AB17F5" w:rsidRDefault="00000000">
            <w:pPr>
              <w:spacing w:before="20" w:after="20" w:line="240" w:lineRule="auto"/>
            </w:pPr>
            <w:r>
              <w:rPr>
                <w:sz w:val="17"/>
                <w:szCs w:val="17"/>
              </w:rPr>
              <w:t>Evidence</w:t>
            </w:r>
          </w:p>
        </w:tc>
      </w:tr>
      <w:tr w:rsidR="00AB17F5" w14:paraId="12711DF0" w14:textId="77777777" w:rsidTr="00B735E6">
        <w:tc>
          <w:tcPr>
            <w:tcW w:w="2658" w:type="dxa"/>
          </w:tcPr>
          <w:p w14:paraId="139316FB" w14:textId="77777777" w:rsidR="00AB17F5" w:rsidRDefault="00000000">
            <w:pPr>
              <w:spacing w:before="20" w:after="20" w:line="240" w:lineRule="auto"/>
            </w:pPr>
            <w:r>
              <w:rPr>
                <w:sz w:val="17"/>
                <w:szCs w:val="17"/>
              </w:rPr>
              <w:t xml:space="preserve">Hodges. Validity and the OSCE. </w:t>
            </w:r>
            <w:r>
              <w:rPr>
                <w:i/>
                <w:sz w:val="17"/>
                <w:szCs w:val="17"/>
              </w:rPr>
              <w:t>Med Teach.</w:t>
            </w:r>
            <w:r>
              <w:rPr>
                <w:sz w:val="17"/>
                <w:szCs w:val="17"/>
              </w:rPr>
              <w:t xml:space="preserve"> 2003</w:t>
            </w:r>
          </w:p>
        </w:tc>
        <w:tc>
          <w:tcPr>
            <w:tcW w:w="2665" w:type="dxa"/>
          </w:tcPr>
          <w:p w14:paraId="0CE554F5" w14:textId="77777777" w:rsidR="00AB17F5" w:rsidRDefault="00AB17F5">
            <w:pPr>
              <w:spacing w:before="20" w:after="20" w:line="240" w:lineRule="auto"/>
            </w:pPr>
            <w:hyperlink r:id="rId47">
              <w:r>
                <w:rPr>
                  <w:rStyle w:val="Hyperlink"/>
                  <w:sz w:val="17"/>
                  <w:szCs w:val="17"/>
                </w:rPr>
                <w:t>do</w:t>
              </w:r>
              <w:r>
                <w:rPr>
                  <w:rStyle w:val="Hyperlink"/>
                  <w:sz w:val="17"/>
                  <w:szCs w:val="17"/>
                </w:rPr>
                <w:t>i</w:t>
              </w:r>
              <w:r>
                <w:rPr>
                  <w:rStyle w:val="Hyperlink"/>
                  <w:sz w:val="17"/>
                  <w:szCs w:val="17"/>
                </w:rPr>
                <w:t>:10.1080/01421590310001002836</w:t>
              </w:r>
            </w:hyperlink>
          </w:p>
        </w:tc>
        <w:tc>
          <w:tcPr>
            <w:tcW w:w="3310" w:type="dxa"/>
          </w:tcPr>
          <w:p w14:paraId="54F8F034" w14:textId="77777777" w:rsidR="00AB17F5" w:rsidRDefault="00000000">
            <w:pPr>
              <w:spacing w:before="20" w:after="20" w:line="240" w:lineRule="auto"/>
            </w:pPr>
            <w:r>
              <w:rPr>
                <w:sz w:val="17"/>
                <w:szCs w:val="17"/>
              </w:rPr>
              <w:t>Argues the OSCE's celebrated objectivity was bought by fragmenting performance into discrete stations, which quietly changes what "competence" is taken to mean.</w:t>
            </w:r>
          </w:p>
        </w:tc>
        <w:tc>
          <w:tcPr>
            <w:tcW w:w="967" w:type="dxa"/>
          </w:tcPr>
          <w:p w14:paraId="6D23D361" w14:textId="77777777" w:rsidR="00AB17F5" w:rsidRDefault="00000000">
            <w:pPr>
              <w:spacing w:before="20" w:after="20" w:line="240" w:lineRule="auto"/>
            </w:pPr>
            <w:r>
              <w:rPr>
                <w:sz w:val="17"/>
                <w:szCs w:val="17"/>
              </w:rPr>
              <w:t>Theory</w:t>
            </w:r>
          </w:p>
        </w:tc>
      </w:tr>
      <w:tr w:rsidR="00AB17F5" w14:paraId="52DC3BBA" w14:textId="77777777" w:rsidTr="00B735E6">
        <w:tc>
          <w:tcPr>
            <w:tcW w:w="2658" w:type="dxa"/>
          </w:tcPr>
          <w:p w14:paraId="189630AB" w14:textId="77777777" w:rsidR="00AB17F5" w:rsidRDefault="00000000">
            <w:pPr>
              <w:spacing w:before="20" w:after="20" w:line="240" w:lineRule="auto"/>
            </w:pPr>
            <w:r>
              <w:rPr>
                <w:sz w:val="17"/>
                <w:szCs w:val="17"/>
              </w:rPr>
              <w:t xml:space="preserve">Hodges. Assessment in the post-psychometric era… </w:t>
            </w:r>
            <w:r>
              <w:rPr>
                <w:i/>
                <w:sz w:val="17"/>
                <w:szCs w:val="17"/>
              </w:rPr>
              <w:t>Med Teach.</w:t>
            </w:r>
            <w:r>
              <w:rPr>
                <w:sz w:val="17"/>
                <w:szCs w:val="17"/>
              </w:rPr>
              <w:t xml:space="preserve"> 2013</w:t>
            </w:r>
          </w:p>
        </w:tc>
        <w:tc>
          <w:tcPr>
            <w:tcW w:w="2665" w:type="dxa"/>
          </w:tcPr>
          <w:p w14:paraId="54D5D79A" w14:textId="77777777" w:rsidR="00AB17F5" w:rsidRDefault="00AB17F5">
            <w:pPr>
              <w:spacing w:before="20" w:after="20" w:line="240" w:lineRule="auto"/>
            </w:pPr>
            <w:hyperlink r:id="rId48">
              <w:r>
                <w:rPr>
                  <w:rStyle w:val="Hyperlink"/>
                  <w:sz w:val="17"/>
                  <w:szCs w:val="17"/>
                </w:rPr>
                <w:t>doi:10.3109/0142159X.2013.789134</w:t>
              </w:r>
            </w:hyperlink>
          </w:p>
        </w:tc>
        <w:tc>
          <w:tcPr>
            <w:tcW w:w="3310" w:type="dxa"/>
          </w:tcPr>
          <w:p w14:paraId="2ABD13BA" w14:textId="77777777" w:rsidR="00AB17F5" w:rsidRDefault="00000000">
            <w:pPr>
              <w:spacing w:before="20" w:after="20" w:line="240" w:lineRule="auto"/>
            </w:pPr>
            <w:r>
              <w:rPr>
                <w:sz w:val="17"/>
                <w:szCs w:val="17"/>
              </w:rPr>
              <w:t>The constructive turn — rehabilitate expert judgement and narrative rather than chase psychometric objectivity.</w:t>
            </w:r>
          </w:p>
        </w:tc>
        <w:tc>
          <w:tcPr>
            <w:tcW w:w="967" w:type="dxa"/>
          </w:tcPr>
          <w:p w14:paraId="32AA85D0" w14:textId="77777777" w:rsidR="00AB17F5" w:rsidRDefault="00000000">
            <w:pPr>
              <w:spacing w:before="20" w:after="20" w:line="240" w:lineRule="auto"/>
            </w:pPr>
            <w:r>
              <w:rPr>
                <w:sz w:val="17"/>
                <w:szCs w:val="17"/>
              </w:rPr>
              <w:t>Theory</w:t>
            </w:r>
          </w:p>
        </w:tc>
      </w:tr>
      <w:tr w:rsidR="00AB17F5" w14:paraId="15988BAC" w14:textId="77777777" w:rsidTr="00B735E6">
        <w:tc>
          <w:tcPr>
            <w:tcW w:w="2658" w:type="dxa"/>
          </w:tcPr>
          <w:p w14:paraId="65EC2D21" w14:textId="77777777" w:rsidR="00AB17F5" w:rsidRDefault="00000000">
            <w:pPr>
              <w:spacing w:before="20" w:after="20" w:line="240" w:lineRule="auto"/>
            </w:pPr>
            <w:r>
              <w:rPr>
                <w:sz w:val="17"/>
                <w:szCs w:val="17"/>
              </w:rPr>
              <w:t xml:space="preserve">Yeates et al. A realist evaluation of OSCE authenticity. </w:t>
            </w:r>
            <w:r>
              <w:rPr>
                <w:i/>
                <w:sz w:val="17"/>
                <w:szCs w:val="17"/>
              </w:rPr>
              <w:t>Med Teach.</w:t>
            </w:r>
            <w:r>
              <w:rPr>
                <w:sz w:val="17"/>
                <w:szCs w:val="17"/>
              </w:rPr>
              <w:t xml:space="preserve"> 2025</w:t>
            </w:r>
          </w:p>
        </w:tc>
        <w:tc>
          <w:tcPr>
            <w:tcW w:w="2665" w:type="dxa"/>
          </w:tcPr>
          <w:p w14:paraId="308C2DAC" w14:textId="77777777" w:rsidR="00AB17F5" w:rsidRDefault="00AB17F5">
            <w:pPr>
              <w:spacing w:before="20" w:after="20" w:line="240" w:lineRule="auto"/>
            </w:pPr>
            <w:hyperlink r:id="rId49">
              <w:r>
                <w:rPr>
                  <w:rStyle w:val="Hyperlink"/>
                  <w:sz w:val="17"/>
                  <w:szCs w:val="17"/>
                </w:rPr>
                <w:t>doi:10.1080/0142159X.2024.2339413</w:t>
              </w:r>
            </w:hyperlink>
          </w:p>
        </w:tc>
        <w:tc>
          <w:tcPr>
            <w:tcW w:w="3310" w:type="dxa"/>
          </w:tcPr>
          <w:p w14:paraId="0CC0DB6E" w14:textId="77777777" w:rsidR="00AB17F5" w:rsidRDefault="00000000">
            <w:pPr>
              <w:spacing w:before="20" w:after="20" w:line="240" w:lineRule="auto"/>
            </w:pPr>
            <w:r>
              <w:rPr>
                <w:sz w:val="17"/>
                <w:szCs w:val="17"/>
              </w:rPr>
              <w:t>Realist evaluation: OSCE authenticity is conditional on design features (whole cases, time, autonomy, minimal interruption), not intrinsic to the format.</w:t>
            </w:r>
          </w:p>
        </w:tc>
        <w:tc>
          <w:tcPr>
            <w:tcW w:w="967" w:type="dxa"/>
          </w:tcPr>
          <w:p w14:paraId="5DAECA6C" w14:textId="77777777" w:rsidR="00AB17F5" w:rsidRDefault="00000000">
            <w:pPr>
              <w:spacing w:before="20" w:after="20" w:line="240" w:lineRule="auto"/>
            </w:pPr>
            <w:r>
              <w:rPr>
                <w:sz w:val="17"/>
                <w:szCs w:val="17"/>
              </w:rPr>
              <w:t>Evidence</w:t>
            </w:r>
          </w:p>
        </w:tc>
      </w:tr>
      <w:tr w:rsidR="00AB17F5" w14:paraId="69C999C4" w14:textId="77777777" w:rsidTr="00B735E6">
        <w:tc>
          <w:tcPr>
            <w:tcW w:w="2658" w:type="dxa"/>
          </w:tcPr>
          <w:p w14:paraId="1832F152" w14:textId="77777777" w:rsidR="00AB17F5" w:rsidRDefault="00000000">
            <w:pPr>
              <w:spacing w:before="20" w:after="20" w:line="240" w:lineRule="auto"/>
            </w:pPr>
            <w:r w:rsidRPr="009D2F18">
              <w:rPr>
                <w:sz w:val="17"/>
                <w:szCs w:val="17"/>
                <w:lang w:val="fr-FR"/>
              </w:rPr>
              <w:t xml:space="preserve">Hyde, Boursicot et al. OSCE rater cognition — </w:t>
            </w:r>
            <w:proofErr w:type="spellStart"/>
            <w:r w:rsidRPr="009D2F18">
              <w:rPr>
                <w:sz w:val="17"/>
                <w:szCs w:val="17"/>
                <w:lang w:val="fr-FR"/>
              </w:rPr>
              <w:t>multi-centre</w:t>
            </w:r>
            <w:proofErr w:type="spellEnd"/>
            <w:r w:rsidRPr="009D2F18">
              <w:rPr>
                <w:sz w:val="17"/>
                <w:szCs w:val="17"/>
                <w:lang w:val="fr-FR"/>
              </w:rPr>
              <w:t xml:space="preserve"> </w:t>
            </w:r>
            <w:proofErr w:type="spellStart"/>
            <w:r w:rsidRPr="009D2F18">
              <w:rPr>
                <w:sz w:val="17"/>
                <w:szCs w:val="17"/>
                <w:lang w:val="fr-FR"/>
              </w:rPr>
              <w:t>study</w:t>
            </w:r>
            <w:proofErr w:type="spellEnd"/>
            <w:r w:rsidRPr="009D2F18">
              <w:rPr>
                <w:sz w:val="17"/>
                <w:szCs w:val="17"/>
                <w:lang w:val="fr-FR"/>
              </w:rPr>
              <w:t xml:space="preserve">. </w:t>
            </w:r>
            <w:r>
              <w:rPr>
                <w:i/>
                <w:sz w:val="17"/>
                <w:szCs w:val="17"/>
              </w:rPr>
              <w:t>BMC Med Educ.</w:t>
            </w:r>
            <w:r>
              <w:rPr>
                <w:sz w:val="17"/>
                <w:szCs w:val="17"/>
              </w:rPr>
              <w:t xml:space="preserve"> 2022</w:t>
            </w:r>
          </w:p>
        </w:tc>
        <w:tc>
          <w:tcPr>
            <w:tcW w:w="2665" w:type="dxa"/>
          </w:tcPr>
          <w:p w14:paraId="7560943A" w14:textId="77777777" w:rsidR="00AB17F5" w:rsidRDefault="00AB17F5">
            <w:pPr>
              <w:spacing w:before="20" w:after="20" w:line="240" w:lineRule="auto"/>
            </w:pPr>
            <w:hyperlink r:id="rId50">
              <w:r>
                <w:rPr>
                  <w:rStyle w:val="Hyperlink"/>
                  <w:sz w:val="17"/>
                  <w:szCs w:val="17"/>
                </w:rPr>
                <w:t>doi:10.1186/s12909-021-03077-w</w:t>
              </w:r>
            </w:hyperlink>
          </w:p>
        </w:tc>
        <w:tc>
          <w:tcPr>
            <w:tcW w:w="3310" w:type="dxa"/>
          </w:tcPr>
          <w:p w14:paraId="1523732D" w14:textId="77777777" w:rsidR="00AB17F5" w:rsidRDefault="00000000">
            <w:pPr>
              <w:spacing w:before="20" w:after="20" w:line="240" w:lineRule="auto"/>
            </w:pPr>
            <w:r>
              <w:rPr>
                <w:sz w:val="17"/>
                <w:szCs w:val="17"/>
              </w:rPr>
              <w:t>Multi-centre think-aloud study: examiners build idiosyncratic personal theories of performance, so the OSCE's "objectivity" is overstated.</w:t>
            </w:r>
          </w:p>
        </w:tc>
        <w:tc>
          <w:tcPr>
            <w:tcW w:w="967" w:type="dxa"/>
          </w:tcPr>
          <w:p w14:paraId="0C0653CD" w14:textId="77777777" w:rsidR="00AB17F5" w:rsidRDefault="00000000">
            <w:pPr>
              <w:spacing w:before="20" w:after="20" w:line="240" w:lineRule="auto"/>
            </w:pPr>
            <w:r>
              <w:rPr>
                <w:sz w:val="17"/>
                <w:szCs w:val="17"/>
              </w:rPr>
              <w:t>Evidence</w:t>
            </w:r>
          </w:p>
        </w:tc>
      </w:tr>
      <w:tr w:rsidR="00AB17F5" w14:paraId="25673C75" w14:textId="77777777" w:rsidTr="00B735E6">
        <w:tc>
          <w:tcPr>
            <w:tcW w:w="2658" w:type="dxa"/>
          </w:tcPr>
          <w:p w14:paraId="761CDA2D" w14:textId="77777777" w:rsidR="00AB17F5" w:rsidRDefault="00000000">
            <w:pPr>
              <w:spacing w:before="20" w:after="20" w:line="240" w:lineRule="auto"/>
            </w:pPr>
            <w:proofErr w:type="spellStart"/>
            <w:r>
              <w:rPr>
                <w:sz w:val="17"/>
                <w:szCs w:val="17"/>
              </w:rPr>
              <w:t>Boursicot</w:t>
            </w:r>
            <w:proofErr w:type="spellEnd"/>
            <w:r>
              <w:rPr>
                <w:sz w:val="17"/>
                <w:szCs w:val="17"/>
              </w:rPr>
              <w:t xml:space="preserve"> et al. Performance assessment: 2020 Ottawa consensus. </w:t>
            </w:r>
            <w:r>
              <w:rPr>
                <w:i/>
                <w:sz w:val="17"/>
                <w:szCs w:val="17"/>
              </w:rPr>
              <w:t>Med Teach.</w:t>
            </w:r>
            <w:r>
              <w:rPr>
                <w:sz w:val="17"/>
                <w:szCs w:val="17"/>
              </w:rPr>
              <w:t xml:space="preserve"> 2021</w:t>
            </w:r>
          </w:p>
        </w:tc>
        <w:tc>
          <w:tcPr>
            <w:tcW w:w="2665" w:type="dxa"/>
          </w:tcPr>
          <w:p w14:paraId="4BEAF8B7" w14:textId="77777777" w:rsidR="00AB17F5" w:rsidRDefault="00AB17F5">
            <w:pPr>
              <w:spacing w:before="20" w:after="20" w:line="240" w:lineRule="auto"/>
            </w:pPr>
            <w:hyperlink r:id="rId51">
              <w:r>
                <w:rPr>
                  <w:rStyle w:val="Hyperlink"/>
                  <w:sz w:val="17"/>
                  <w:szCs w:val="17"/>
                </w:rPr>
                <w:t>doi:10.1080/0142159X.2020.1830052</w:t>
              </w:r>
            </w:hyperlink>
          </w:p>
        </w:tc>
        <w:tc>
          <w:tcPr>
            <w:tcW w:w="3310" w:type="dxa"/>
          </w:tcPr>
          <w:p w14:paraId="105474CD" w14:textId="77777777" w:rsidR="00AB17F5" w:rsidRDefault="00000000">
            <w:pPr>
              <w:spacing w:before="20" w:after="20" w:line="240" w:lineRule="auto"/>
            </w:pPr>
            <w:r>
              <w:rPr>
                <w:sz w:val="17"/>
                <w:szCs w:val="17"/>
              </w:rPr>
              <w:t xml:space="preserve">The Ottawa/AMEE consensus — positions the OSCE </w:t>
            </w:r>
            <w:r>
              <w:rPr>
                <w:i/>
                <w:sz w:val="17"/>
                <w:szCs w:val="17"/>
              </w:rPr>
              <w:t>within</w:t>
            </w:r>
            <w:r>
              <w:rPr>
                <w:sz w:val="17"/>
                <w:szCs w:val="17"/>
              </w:rPr>
              <w:t xml:space="preserve"> a programme of assessment, with WBA and entrustment as complements.</w:t>
            </w:r>
          </w:p>
        </w:tc>
        <w:tc>
          <w:tcPr>
            <w:tcW w:w="967" w:type="dxa"/>
          </w:tcPr>
          <w:p w14:paraId="13119AAB" w14:textId="77777777" w:rsidR="00AB17F5" w:rsidRDefault="00000000">
            <w:pPr>
              <w:spacing w:before="20" w:after="20" w:line="240" w:lineRule="auto"/>
            </w:pPr>
            <w:r>
              <w:rPr>
                <w:sz w:val="17"/>
                <w:szCs w:val="17"/>
              </w:rPr>
              <w:t>Theory</w:t>
            </w:r>
          </w:p>
        </w:tc>
      </w:tr>
      <w:tr w:rsidR="00AB17F5" w14:paraId="7B55DD0F" w14:textId="77777777" w:rsidTr="00B735E6">
        <w:tc>
          <w:tcPr>
            <w:tcW w:w="2658" w:type="dxa"/>
          </w:tcPr>
          <w:p w14:paraId="04872009" w14:textId="77777777" w:rsidR="00AB17F5" w:rsidRDefault="00000000">
            <w:pPr>
              <w:spacing w:before="20" w:after="20" w:line="240" w:lineRule="auto"/>
            </w:pPr>
            <w:r>
              <w:rPr>
                <w:sz w:val="17"/>
                <w:szCs w:val="17"/>
              </w:rPr>
              <w:t xml:space="preserve">Pell, Fuller, Homer, Roberts. OSCE quality metrics: AMEE Guide No. 49. </w:t>
            </w:r>
            <w:r>
              <w:rPr>
                <w:i/>
                <w:sz w:val="17"/>
                <w:szCs w:val="17"/>
              </w:rPr>
              <w:t>Med Teach.</w:t>
            </w:r>
            <w:r>
              <w:rPr>
                <w:sz w:val="17"/>
                <w:szCs w:val="17"/>
              </w:rPr>
              <w:t xml:space="preserve"> 2010</w:t>
            </w:r>
          </w:p>
        </w:tc>
        <w:tc>
          <w:tcPr>
            <w:tcW w:w="2665" w:type="dxa"/>
          </w:tcPr>
          <w:p w14:paraId="4EE4B057" w14:textId="77777777" w:rsidR="00AB17F5" w:rsidRDefault="00AB17F5">
            <w:pPr>
              <w:spacing w:before="20" w:after="20" w:line="240" w:lineRule="auto"/>
            </w:pPr>
            <w:hyperlink r:id="rId52">
              <w:r>
                <w:rPr>
                  <w:rStyle w:val="Hyperlink"/>
                  <w:sz w:val="17"/>
                  <w:szCs w:val="17"/>
                </w:rPr>
                <w:t>doi:10.1080/0142159X.2010.507716</w:t>
              </w:r>
            </w:hyperlink>
          </w:p>
        </w:tc>
        <w:tc>
          <w:tcPr>
            <w:tcW w:w="3310" w:type="dxa"/>
          </w:tcPr>
          <w:p w14:paraId="364DE6DA" w14:textId="77777777" w:rsidR="00AB17F5" w:rsidRDefault="00000000">
            <w:pPr>
              <w:spacing w:before="20" w:after="20" w:line="240" w:lineRule="auto"/>
            </w:pPr>
            <w:r>
              <w:rPr>
                <w:sz w:val="17"/>
                <w:szCs w:val="17"/>
              </w:rPr>
              <w:t xml:space="preserve">The reference standard for judging OSCE psychometric quality and </w:t>
            </w:r>
            <w:proofErr w:type="gramStart"/>
            <w:r>
              <w:rPr>
                <w:sz w:val="17"/>
                <w:szCs w:val="17"/>
              </w:rPr>
              <w:t>standard-setting</w:t>
            </w:r>
            <w:proofErr w:type="gramEnd"/>
            <w:r>
              <w:rPr>
                <w:sz w:val="17"/>
                <w:szCs w:val="17"/>
              </w:rPr>
              <w:t>.</w:t>
            </w:r>
          </w:p>
        </w:tc>
        <w:tc>
          <w:tcPr>
            <w:tcW w:w="967" w:type="dxa"/>
          </w:tcPr>
          <w:p w14:paraId="659E0C97" w14:textId="77777777" w:rsidR="00AB17F5" w:rsidRDefault="00000000">
            <w:pPr>
              <w:spacing w:before="20" w:after="20" w:line="240" w:lineRule="auto"/>
            </w:pPr>
            <w:r>
              <w:rPr>
                <w:sz w:val="17"/>
                <w:szCs w:val="17"/>
              </w:rPr>
              <w:t>Theory</w:t>
            </w:r>
          </w:p>
        </w:tc>
      </w:tr>
      <w:tr w:rsidR="00AB17F5" w14:paraId="41BAF70B" w14:textId="77777777" w:rsidTr="00B735E6">
        <w:tc>
          <w:tcPr>
            <w:tcW w:w="2658" w:type="dxa"/>
          </w:tcPr>
          <w:p w14:paraId="280E9158" w14:textId="77777777" w:rsidR="00AB17F5" w:rsidRDefault="00000000">
            <w:pPr>
              <w:spacing w:before="20" w:after="20" w:line="240" w:lineRule="auto"/>
            </w:pPr>
            <w:r>
              <w:rPr>
                <w:sz w:val="17"/>
                <w:szCs w:val="17"/>
              </w:rPr>
              <w:t xml:space="preserve">Amos, Weightman, Miller. Modelling transition to Fellowship under the OSCE-replacement pathway. </w:t>
            </w:r>
            <w:proofErr w:type="spellStart"/>
            <w:r>
              <w:rPr>
                <w:i/>
                <w:sz w:val="17"/>
                <w:szCs w:val="17"/>
              </w:rPr>
              <w:t>Australas</w:t>
            </w:r>
            <w:proofErr w:type="spellEnd"/>
            <w:r>
              <w:rPr>
                <w:i/>
                <w:sz w:val="17"/>
                <w:szCs w:val="17"/>
              </w:rPr>
              <w:t xml:space="preserve"> Psychiatry.</w:t>
            </w:r>
            <w:r>
              <w:rPr>
                <w:sz w:val="17"/>
                <w:szCs w:val="17"/>
              </w:rPr>
              <w:t xml:space="preserve"> 2023</w:t>
            </w:r>
          </w:p>
        </w:tc>
        <w:tc>
          <w:tcPr>
            <w:tcW w:w="2665" w:type="dxa"/>
          </w:tcPr>
          <w:p w14:paraId="51EAB16A" w14:textId="77777777" w:rsidR="00AB17F5" w:rsidRDefault="00AB17F5">
            <w:pPr>
              <w:spacing w:before="20" w:after="20" w:line="240" w:lineRule="auto"/>
            </w:pPr>
            <w:hyperlink r:id="rId53">
              <w:r>
                <w:rPr>
                  <w:rStyle w:val="Hyperlink"/>
                  <w:sz w:val="17"/>
                  <w:szCs w:val="17"/>
                </w:rPr>
                <w:t>doi:10.1177/10398562231202120</w:t>
              </w:r>
            </w:hyperlink>
          </w:p>
        </w:tc>
        <w:tc>
          <w:tcPr>
            <w:tcW w:w="3310" w:type="dxa"/>
          </w:tcPr>
          <w:p w14:paraId="33A4FE2F" w14:textId="77777777" w:rsidR="00AB17F5" w:rsidRDefault="00000000">
            <w:pPr>
              <w:spacing w:before="20" w:after="20" w:line="240" w:lineRule="auto"/>
            </w:pPr>
            <w:r>
              <w:rPr>
                <w:sz w:val="17"/>
                <w:szCs w:val="17"/>
              </w:rPr>
              <w:t>Modelling study warning the WBA-based pathway may detect pre-competent trainees less reliably than the OSCE — the key "is the portfolio rigorous enough?" reference.</w:t>
            </w:r>
          </w:p>
        </w:tc>
        <w:tc>
          <w:tcPr>
            <w:tcW w:w="967" w:type="dxa"/>
          </w:tcPr>
          <w:p w14:paraId="5BB82046" w14:textId="77777777" w:rsidR="00AB17F5" w:rsidRDefault="00000000">
            <w:pPr>
              <w:spacing w:before="20" w:after="20" w:line="240" w:lineRule="auto"/>
            </w:pPr>
            <w:r>
              <w:rPr>
                <w:sz w:val="17"/>
                <w:szCs w:val="17"/>
              </w:rPr>
              <w:t>Evidence</w:t>
            </w:r>
          </w:p>
        </w:tc>
      </w:tr>
      <w:tr w:rsidR="00AB17F5" w14:paraId="41BCC32A" w14:textId="77777777" w:rsidTr="00B735E6">
        <w:tc>
          <w:tcPr>
            <w:tcW w:w="2658" w:type="dxa"/>
          </w:tcPr>
          <w:p w14:paraId="3CA44420" w14:textId="77777777" w:rsidR="00AB17F5" w:rsidRDefault="00000000">
            <w:pPr>
              <w:spacing w:before="20" w:after="20" w:line="240" w:lineRule="auto"/>
            </w:pPr>
            <w:r>
              <w:rPr>
                <w:sz w:val="17"/>
                <w:szCs w:val="17"/>
              </w:rPr>
              <w:t xml:space="preserve">Amos et al. Merit, equity &amp; administrative competence in retiring the OSCE. </w:t>
            </w:r>
            <w:proofErr w:type="spellStart"/>
            <w:r>
              <w:rPr>
                <w:i/>
                <w:sz w:val="17"/>
                <w:szCs w:val="17"/>
              </w:rPr>
              <w:t>Australas</w:t>
            </w:r>
            <w:proofErr w:type="spellEnd"/>
            <w:r>
              <w:rPr>
                <w:i/>
                <w:sz w:val="17"/>
                <w:szCs w:val="17"/>
              </w:rPr>
              <w:t xml:space="preserve"> Psychiatry.</w:t>
            </w:r>
            <w:r>
              <w:rPr>
                <w:sz w:val="17"/>
                <w:szCs w:val="17"/>
              </w:rPr>
              <w:t xml:space="preserve"> 2024</w:t>
            </w:r>
          </w:p>
        </w:tc>
        <w:tc>
          <w:tcPr>
            <w:tcW w:w="2665" w:type="dxa"/>
          </w:tcPr>
          <w:p w14:paraId="04D66562" w14:textId="77777777" w:rsidR="00AB17F5" w:rsidRDefault="00AB17F5">
            <w:pPr>
              <w:spacing w:before="20" w:after="20" w:line="240" w:lineRule="auto"/>
            </w:pPr>
            <w:hyperlink r:id="rId54">
              <w:r>
                <w:rPr>
                  <w:rStyle w:val="Hyperlink"/>
                  <w:sz w:val="17"/>
                  <w:szCs w:val="17"/>
                </w:rPr>
                <w:t>doi:10.1177/10398562241233995</w:t>
              </w:r>
            </w:hyperlink>
          </w:p>
        </w:tc>
        <w:tc>
          <w:tcPr>
            <w:tcW w:w="3310" w:type="dxa"/>
          </w:tcPr>
          <w:p w14:paraId="2FFC0757" w14:textId="77777777" w:rsidR="00AB17F5" w:rsidRDefault="00000000">
            <w:pPr>
              <w:spacing w:before="20" w:after="20" w:line="240" w:lineRule="auto"/>
            </w:pPr>
            <w:r>
              <w:rPr>
                <w:sz w:val="17"/>
                <w:szCs w:val="17"/>
              </w:rPr>
              <w:t>Companion commentary critically examining RANZCP's merit/equity/logistics rationale for retiring the OSCE.</w:t>
            </w:r>
          </w:p>
        </w:tc>
        <w:tc>
          <w:tcPr>
            <w:tcW w:w="967" w:type="dxa"/>
          </w:tcPr>
          <w:p w14:paraId="72B26AEC" w14:textId="77777777" w:rsidR="00AB17F5" w:rsidRDefault="00000000">
            <w:pPr>
              <w:spacing w:before="20" w:after="20" w:line="240" w:lineRule="auto"/>
            </w:pPr>
            <w:r>
              <w:rPr>
                <w:sz w:val="17"/>
                <w:szCs w:val="17"/>
              </w:rPr>
              <w:t>Theory</w:t>
            </w:r>
          </w:p>
        </w:tc>
      </w:tr>
      <w:tr w:rsidR="00AB17F5" w14:paraId="01BFCDC8" w14:textId="77777777" w:rsidTr="00B735E6">
        <w:tc>
          <w:tcPr>
            <w:tcW w:w="2658" w:type="dxa"/>
          </w:tcPr>
          <w:p w14:paraId="0197FD99" w14:textId="77777777" w:rsidR="00AB17F5" w:rsidRDefault="00000000">
            <w:pPr>
              <w:spacing w:before="20" w:after="20" w:line="240" w:lineRule="auto"/>
            </w:pPr>
            <w:proofErr w:type="spellStart"/>
            <w:r>
              <w:rPr>
                <w:sz w:val="17"/>
                <w:szCs w:val="17"/>
              </w:rPr>
              <w:t>Schuwirth</w:t>
            </w:r>
            <w:proofErr w:type="spellEnd"/>
            <w:r>
              <w:rPr>
                <w:sz w:val="17"/>
                <w:szCs w:val="17"/>
              </w:rPr>
              <w:t xml:space="preserve"> L. </w:t>
            </w:r>
            <w:r>
              <w:rPr>
                <w:i/>
                <w:sz w:val="17"/>
                <w:szCs w:val="17"/>
              </w:rPr>
              <w:t>Review of the Alternative Assessment Pathway of the RANZCP.</w:t>
            </w:r>
            <w:r>
              <w:rPr>
                <w:sz w:val="17"/>
                <w:szCs w:val="17"/>
              </w:rPr>
              <w:t xml:space="preserve"> Commissioned external review; 27 Nov 2022</w:t>
            </w:r>
          </w:p>
        </w:tc>
        <w:tc>
          <w:tcPr>
            <w:tcW w:w="2665" w:type="dxa"/>
          </w:tcPr>
          <w:p w14:paraId="3EE89A2B" w14:textId="77777777" w:rsidR="00AB17F5" w:rsidRDefault="00000000">
            <w:pPr>
              <w:spacing w:before="20" w:after="20" w:line="240" w:lineRule="auto"/>
            </w:pPr>
            <w:r>
              <w:rPr>
                <w:sz w:val="17"/>
                <w:szCs w:val="17"/>
              </w:rPr>
              <w:t>internal-reports/aap-evaluation-external-review.pdf</w:t>
            </w:r>
          </w:p>
        </w:tc>
        <w:tc>
          <w:tcPr>
            <w:tcW w:w="3310" w:type="dxa"/>
          </w:tcPr>
          <w:p w14:paraId="7C6F3750" w14:textId="77777777" w:rsidR="00AB17F5" w:rsidRDefault="00000000">
            <w:pPr>
              <w:spacing w:before="20" w:after="20" w:line="240" w:lineRule="auto"/>
            </w:pPr>
            <w:r>
              <w:rPr>
                <w:sz w:val="17"/>
                <w:szCs w:val="17"/>
              </w:rPr>
              <w:t xml:space="preserve">The commissioned review concluding the WBA-plus-portfolio pathway is a </w:t>
            </w:r>
            <w:r>
              <w:rPr>
                <w:i/>
                <w:sz w:val="17"/>
                <w:szCs w:val="17"/>
              </w:rPr>
              <w:t>more defensible</w:t>
            </w:r>
            <w:r>
              <w:rPr>
                <w:sz w:val="17"/>
                <w:szCs w:val="17"/>
              </w:rPr>
              <w:t xml:space="preserve"> assessment than the OSCE; describes and endorses the Portfolio Review Panel + </w:t>
            </w:r>
            <w:proofErr w:type="gramStart"/>
            <w:r>
              <w:rPr>
                <w:sz w:val="17"/>
                <w:szCs w:val="17"/>
              </w:rPr>
              <w:t>PROP, and</w:t>
            </w:r>
            <w:proofErr w:type="gramEnd"/>
            <w:r>
              <w:rPr>
                <w:sz w:val="17"/>
                <w:szCs w:val="17"/>
              </w:rPr>
              <w:t xml:space="preserve"> flags the Case-based Discussion resit as the weak point.</w:t>
            </w:r>
          </w:p>
        </w:tc>
        <w:tc>
          <w:tcPr>
            <w:tcW w:w="967" w:type="dxa"/>
          </w:tcPr>
          <w:p w14:paraId="51A9FF9B" w14:textId="77777777" w:rsidR="00AB17F5" w:rsidRDefault="00000000">
            <w:pPr>
              <w:spacing w:before="20" w:after="20" w:line="240" w:lineRule="auto"/>
            </w:pPr>
            <w:r>
              <w:rPr>
                <w:sz w:val="17"/>
                <w:szCs w:val="17"/>
              </w:rPr>
              <w:t>RANZCP internal</w:t>
            </w:r>
          </w:p>
        </w:tc>
      </w:tr>
      <w:tr w:rsidR="00AB17F5" w14:paraId="0F40555E" w14:textId="77777777" w:rsidTr="00B735E6">
        <w:tc>
          <w:tcPr>
            <w:tcW w:w="2658" w:type="dxa"/>
          </w:tcPr>
          <w:p w14:paraId="3646176C" w14:textId="77777777" w:rsidR="00AB17F5" w:rsidRDefault="00000000">
            <w:pPr>
              <w:spacing w:before="20" w:after="20" w:line="240" w:lineRule="auto"/>
            </w:pPr>
            <w:r w:rsidRPr="009D2F18">
              <w:rPr>
                <w:sz w:val="17"/>
                <w:szCs w:val="17"/>
                <w:lang w:val="it-IT"/>
              </w:rPr>
              <w:t xml:space="preserve">Pearce, Reid, Chiavaroli, </w:t>
            </w:r>
            <w:proofErr w:type="spellStart"/>
            <w:r w:rsidRPr="009D2F18">
              <w:rPr>
                <w:sz w:val="17"/>
                <w:szCs w:val="17"/>
                <w:lang w:val="it-IT"/>
              </w:rPr>
              <w:t>Zoanetti</w:t>
            </w:r>
            <w:proofErr w:type="spellEnd"/>
            <w:r w:rsidRPr="009D2F18">
              <w:rPr>
                <w:sz w:val="17"/>
                <w:szCs w:val="17"/>
                <w:lang w:val="it-IT"/>
              </w:rPr>
              <w:t xml:space="preserve"> (ACER). </w:t>
            </w:r>
            <w:r>
              <w:rPr>
                <w:i/>
                <w:sz w:val="17"/>
                <w:szCs w:val="17"/>
              </w:rPr>
              <w:t>RANZCP Examination Review: Final Report.</w:t>
            </w:r>
            <w:r>
              <w:rPr>
                <w:sz w:val="17"/>
                <w:szCs w:val="17"/>
              </w:rPr>
              <w:t xml:space="preserve"> January 2020</w:t>
            </w:r>
          </w:p>
        </w:tc>
        <w:tc>
          <w:tcPr>
            <w:tcW w:w="2665" w:type="dxa"/>
          </w:tcPr>
          <w:p w14:paraId="39FD52B1" w14:textId="77777777" w:rsidR="00AB17F5" w:rsidRDefault="00000000">
            <w:pPr>
              <w:spacing w:before="20" w:after="20" w:line="240" w:lineRule="auto"/>
            </w:pPr>
            <w:r>
              <w:rPr>
                <w:sz w:val="17"/>
                <w:szCs w:val="17"/>
              </w:rPr>
              <w:t>internal-reports/acer-ranzcp-examination-review-final-report.pdf</w:t>
            </w:r>
          </w:p>
        </w:tc>
        <w:tc>
          <w:tcPr>
            <w:tcW w:w="3310" w:type="dxa"/>
          </w:tcPr>
          <w:p w14:paraId="465A3395" w14:textId="77777777" w:rsidR="00AB17F5" w:rsidRDefault="00000000">
            <w:pPr>
              <w:spacing w:before="20" w:after="20" w:line="240" w:lineRule="auto"/>
            </w:pPr>
            <w:r>
              <w:rPr>
                <w:sz w:val="17"/>
                <w:szCs w:val="17"/>
              </w:rPr>
              <w:t xml:space="preserve">ACER's gap-analysis of the MCQ, Essay-style and OSCE </w:t>
            </w:r>
            <w:proofErr w:type="gramStart"/>
            <w:r>
              <w:rPr>
                <w:sz w:val="17"/>
                <w:szCs w:val="17"/>
              </w:rPr>
              <w:t>exams:</w:t>
            </w:r>
            <w:proofErr w:type="gramEnd"/>
            <w:r>
              <w:rPr>
                <w:sz w:val="17"/>
                <w:szCs w:val="17"/>
              </w:rPr>
              <w:t xml:space="preserve"> found the exams do not assess all core psychiatric skills (the Observed Clinical Interview was dropped ~2014) and recommended integrating training and assessment and adopting programmatic thinking.</w:t>
            </w:r>
          </w:p>
        </w:tc>
        <w:tc>
          <w:tcPr>
            <w:tcW w:w="967" w:type="dxa"/>
          </w:tcPr>
          <w:p w14:paraId="0D79A875" w14:textId="77777777" w:rsidR="00AB17F5" w:rsidRDefault="00000000">
            <w:pPr>
              <w:spacing w:before="20" w:after="20" w:line="240" w:lineRule="auto"/>
            </w:pPr>
            <w:r>
              <w:rPr>
                <w:sz w:val="17"/>
                <w:szCs w:val="17"/>
              </w:rPr>
              <w:t>RANZCP internal</w:t>
            </w:r>
          </w:p>
        </w:tc>
      </w:tr>
      <w:tr w:rsidR="00AB17F5" w14:paraId="3A0DDAAC" w14:textId="77777777" w:rsidTr="00B735E6">
        <w:tc>
          <w:tcPr>
            <w:tcW w:w="2658" w:type="dxa"/>
          </w:tcPr>
          <w:p w14:paraId="3217A7DA" w14:textId="77777777" w:rsidR="00AB17F5" w:rsidRDefault="00000000">
            <w:pPr>
              <w:spacing w:before="20" w:after="20" w:line="240" w:lineRule="auto"/>
            </w:pPr>
            <w:r>
              <w:rPr>
                <w:sz w:val="17"/>
                <w:szCs w:val="17"/>
              </w:rPr>
              <w:t xml:space="preserve">ACER. </w:t>
            </w:r>
            <w:r>
              <w:rPr>
                <w:i/>
                <w:sz w:val="17"/>
                <w:szCs w:val="17"/>
              </w:rPr>
              <w:t>RANZCP CEQ and MEQ Review: Final Report.</w:t>
            </w:r>
            <w:r>
              <w:rPr>
                <w:sz w:val="17"/>
                <w:szCs w:val="17"/>
              </w:rPr>
              <w:t xml:space="preserve"> (year to confirm)</w:t>
            </w:r>
          </w:p>
        </w:tc>
        <w:tc>
          <w:tcPr>
            <w:tcW w:w="2665" w:type="dxa"/>
          </w:tcPr>
          <w:p w14:paraId="508F3295" w14:textId="77777777" w:rsidR="00AB17F5" w:rsidRDefault="00000000">
            <w:pPr>
              <w:spacing w:before="20" w:after="20" w:line="240" w:lineRule="auto"/>
            </w:pPr>
            <w:r>
              <w:rPr>
                <w:sz w:val="17"/>
                <w:szCs w:val="17"/>
              </w:rPr>
              <w:t>internal-reports/acer-ranzcp-ceq-meq-review-final-report.pdf</w:t>
            </w:r>
          </w:p>
        </w:tc>
        <w:tc>
          <w:tcPr>
            <w:tcW w:w="3310" w:type="dxa"/>
          </w:tcPr>
          <w:p w14:paraId="2094568C" w14:textId="77777777" w:rsidR="00AB17F5" w:rsidRDefault="00000000">
            <w:pPr>
              <w:spacing w:before="20" w:after="20" w:line="240" w:lineRule="auto"/>
            </w:pPr>
            <w:r>
              <w:rPr>
                <w:sz w:val="17"/>
                <w:szCs w:val="17"/>
              </w:rPr>
              <w:t>A focused ACER review of the Critical Essay (CEQ) and Modified Essay (MEQ) written components — actioning the 2020 review's recommendation to separate and reform them.</w:t>
            </w:r>
          </w:p>
        </w:tc>
        <w:tc>
          <w:tcPr>
            <w:tcW w:w="967" w:type="dxa"/>
          </w:tcPr>
          <w:p w14:paraId="75C8F938" w14:textId="77777777" w:rsidR="00AB17F5" w:rsidRDefault="00000000">
            <w:pPr>
              <w:spacing w:before="20" w:after="20" w:line="240" w:lineRule="auto"/>
            </w:pPr>
            <w:r>
              <w:rPr>
                <w:sz w:val="17"/>
                <w:szCs w:val="17"/>
              </w:rPr>
              <w:t>RANZCP internal</w:t>
            </w:r>
          </w:p>
        </w:tc>
      </w:tr>
      <w:tr w:rsidR="00AB17F5" w14:paraId="5CF3A059" w14:textId="77777777" w:rsidTr="00B735E6">
        <w:tc>
          <w:tcPr>
            <w:tcW w:w="2658" w:type="dxa"/>
          </w:tcPr>
          <w:p w14:paraId="63E2493C" w14:textId="03BA4D0C" w:rsidR="00AB17F5" w:rsidRDefault="00000000">
            <w:pPr>
              <w:spacing w:before="20" w:after="20" w:line="240" w:lineRule="auto"/>
            </w:pPr>
            <w:proofErr w:type="spellStart"/>
            <w:r>
              <w:rPr>
                <w:sz w:val="17"/>
                <w:szCs w:val="17"/>
              </w:rPr>
              <w:t>Schuwirth</w:t>
            </w:r>
            <w:proofErr w:type="spellEnd"/>
            <w:r>
              <w:rPr>
                <w:sz w:val="17"/>
                <w:szCs w:val="17"/>
              </w:rPr>
              <w:t xml:space="preserve"> &amp; van der Vleuten. Programmatic assessment: from assessment of learning to assessment for learning. </w:t>
            </w:r>
            <w:r>
              <w:rPr>
                <w:i/>
                <w:sz w:val="17"/>
                <w:szCs w:val="17"/>
              </w:rPr>
              <w:t>Med Teach.</w:t>
            </w:r>
            <w:r>
              <w:rPr>
                <w:sz w:val="17"/>
                <w:szCs w:val="17"/>
              </w:rPr>
              <w:t xml:space="preserve"> 2011;33(6):478–485</w:t>
            </w:r>
          </w:p>
        </w:tc>
        <w:tc>
          <w:tcPr>
            <w:tcW w:w="2665" w:type="dxa"/>
          </w:tcPr>
          <w:p w14:paraId="7B205BBC" w14:textId="77777777" w:rsidR="00AB17F5" w:rsidRDefault="00AB17F5">
            <w:pPr>
              <w:spacing w:before="20" w:after="20" w:line="240" w:lineRule="auto"/>
            </w:pPr>
            <w:hyperlink r:id="rId55">
              <w:r>
                <w:rPr>
                  <w:rStyle w:val="Hyperlink"/>
                  <w:sz w:val="17"/>
                  <w:szCs w:val="17"/>
                </w:rPr>
                <w:t>doi:10.3</w:t>
              </w:r>
              <w:r>
                <w:rPr>
                  <w:rStyle w:val="Hyperlink"/>
                  <w:sz w:val="17"/>
                  <w:szCs w:val="17"/>
                </w:rPr>
                <w:t>1</w:t>
              </w:r>
              <w:r>
                <w:rPr>
                  <w:rStyle w:val="Hyperlink"/>
                  <w:sz w:val="17"/>
                  <w:szCs w:val="17"/>
                </w:rPr>
                <w:t>09/0142159X.2011.565828</w:t>
              </w:r>
            </w:hyperlink>
          </w:p>
        </w:tc>
        <w:tc>
          <w:tcPr>
            <w:tcW w:w="3310" w:type="dxa"/>
          </w:tcPr>
          <w:p w14:paraId="236C2C71" w14:textId="77777777" w:rsidR="00AB17F5" w:rsidRDefault="00000000">
            <w:pPr>
              <w:spacing w:before="20" w:after="20" w:line="240" w:lineRule="auto"/>
            </w:pPr>
            <w:r>
              <w:rPr>
                <w:sz w:val="17"/>
                <w:szCs w:val="17"/>
              </w:rPr>
              <w:t>The paradigm shift (</w:t>
            </w:r>
            <w:proofErr w:type="spellStart"/>
            <w:r>
              <w:rPr>
                <w:sz w:val="17"/>
                <w:szCs w:val="17"/>
              </w:rPr>
              <w:t>of→for</w:t>
            </w:r>
            <w:proofErr w:type="spellEnd"/>
            <w:r>
              <w:rPr>
                <w:sz w:val="17"/>
                <w:szCs w:val="17"/>
              </w:rPr>
              <w:t xml:space="preserve"> learning) underpinning programmatic assessment.</w:t>
            </w:r>
          </w:p>
        </w:tc>
        <w:tc>
          <w:tcPr>
            <w:tcW w:w="967" w:type="dxa"/>
          </w:tcPr>
          <w:p w14:paraId="07F1A92C" w14:textId="77777777" w:rsidR="00AB17F5" w:rsidRDefault="00000000">
            <w:pPr>
              <w:spacing w:before="20" w:after="20" w:line="240" w:lineRule="auto"/>
            </w:pPr>
            <w:r>
              <w:rPr>
                <w:sz w:val="17"/>
                <w:szCs w:val="17"/>
              </w:rPr>
              <w:t>Theory</w:t>
            </w:r>
          </w:p>
        </w:tc>
      </w:tr>
      <w:tr w:rsidR="00AB17F5" w14:paraId="3B206E67" w14:textId="77777777" w:rsidTr="00B735E6">
        <w:tc>
          <w:tcPr>
            <w:tcW w:w="2658" w:type="dxa"/>
          </w:tcPr>
          <w:p w14:paraId="2A159B4E" w14:textId="01171F2B" w:rsidR="00AB17F5" w:rsidRDefault="00000000">
            <w:pPr>
              <w:spacing w:before="20" w:after="20" w:line="240" w:lineRule="auto"/>
            </w:pPr>
            <w:r>
              <w:rPr>
                <w:sz w:val="17"/>
                <w:szCs w:val="17"/>
              </w:rPr>
              <w:lastRenderedPageBreak/>
              <w:t xml:space="preserve">Sidhu &amp; Fleming. Re-examining single-moment-in-time high-stakes examinations in specialist training: a critical narrative review. </w:t>
            </w:r>
            <w:r>
              <w:rPr>
                <w:i/>
                <w:sz w:val="17"/>
                <w:szCs w:val="17"/>
              </w:rPr>
              <w:t>Med Teach.</w:t>
            </w:r>
            <w:r>
              <w:rPr>
                <w:sz w:val="17"/>
                <w:szCs w:val="17"/>
              </w:rPr>
              <w:t xml:space="preserve"> 2024;46(4):528–536</w:t>
            </w:r>
          </w:p>
        </w:tc>
        <w:tc>
          <w:tcPr>
            <w:tcW w:w="2665" w:type="dxa"/>
          </w:tcPr>
          <w:p w14:paraId="19F3CC37" w14:textId="77777777" w:rsidR="00AB17F5" w:rsidRDefault="00AB17F5">
            <w:pPr>
              <w:spacing w:before="20" w:after="20" w:line="240" w:lineRule="auto"/>
            </w:pPr>
            <w:hyperlink r:id="rId56">
              <w:r>
                <w:rPr>
                  <w:rStyle w:val="Hyperlink"/>
                  <w:sz w:val="17"/>
                  <w:szCs w:val="17"/>
                </w:rPr>
                <w:t>doi:10.1080</w:t>
              </w:r>
              <w:r>
                <w:rPr>
                  <w:rStyle w:val="Hyperlink"/>
                  <w:sz w:val="17"/>
                  <w:szCs w:val="17"/>
                </w:rPr>
                <w:t>/</w:t>
              </w:r>
              <w:r>
                <w:rPr>
                  <w:rStyle w:val="Hyperlink"/>
                  <w:sz w:val="17"/>
                  <w:szCs w:val="17"/>
                </w:rPr>
                <w:t>0142159X.2023.2260081</w:t>
              </w:r>
            </w:hyperlink>
          </w:p>
        </w:tc>
        <w:tc>
          <w:tcPr>
            <w:tcW w:w="3310" w:type="dxa"/>
          </w:tcPr>
          <w:p w14:paraId="38EE1B65" w14:textId="77777777" w:rsidR="00AB17F5" w:rsidRDefault="00000000">
            <w:pPr>
              <w:spacing w:before="20" w:after="20" w:line="240" w:lineRule="auto"/>
            </w:pPr>
            <w:r>
              <w:rPr>
                <w:sz w:val="17"/>
                <w:szCs w:val="17"/>
              </w:rPr>
              <w:t xml:space="preserve">A critique of single-moment high-stakes exams — supports the </w:t>
            </w:r>
            <w:proofErr w:type="spellStart"/>
            <w:r>
              <w:rPr>
                <w:sz w:val="17"/>
                <w:szCs w:val="17"/>
              </w:rPr>
              <w:t>OSCE→portfolio</w:t>
            </w:r>
            <w:proofErr w:type="spellEnd"/>
            <w:r>
              <w:rPr>
                <w:sz w:val="17"/>
                <w:szCs w:val="17"/>
              </w:rPr>
              <w:t xml:space="preserve"> shift.</w:t>
            </w:r>
          </w:p>
        </w:tc>
        <w:tc>
          <w:tcPr>
            <w:tcW w:w="967" w:type="dxa"/>
          </w:tcPr>
          <w:p w14:paraId="219DBB20" w14:textId="77777777" w:rsidR="00AB17F5" w:rsidRDefault="00000000">
            <w:pPr>
              <w:spacing w:before="20" w:after="20" w:line="240" w:lineRule="auto"/>
            </w:pPr>
            <w:r>
              <w:rPr>
                <w:sz w:val="17"/>
                <w:szCs w:val="17"/>
              </w:rPr>
              <w:t>Theory</w:t>
            </w:r>
          </w:p>
        </w:tc>
      </w:tr>
      <w:tr w:rsidR="00AB17F5" w14:paraId="7C8206B3" w14:textId="77777777" w:rsidTr="00B735E6">
        <w:tc>
          <w:tcPr>
            <w:tcW w:w="2658" w:type="dxa"/>
          </w:tcPr>
          <w:p w14:paraId="66382C99" w14:textId="5725B1E6" w:rsidR="00AB17F5" w:rsidRDefault="00000000">
            <w:pPr>
              <w:spacing w:before="20" w:after="20" w:line="240" w:lineRule="auto"/>
            </w:pPr>
            <w:r>
              <w:rPr>
                <w:sz w:val="17"/>
                <w:szCs w:val="17"/>
              </w:rPr>
              <w:t xml:space="preserve">Ryan et al. How well do workplace-based assessments support summative entrustment decisions? A multi-institutional generalisability study. </w:t>
            </w:r>
            <w:r>
              <w:rPr>
                <w:i/>
                <w:sz w:val="17"/>
                <w:szCs w:val="17"/>
              </w:rPr>
              <w:t>Med Educ.</w:t>
            </w:r>
            <w:r>
              <w:rPr>
                <w:sz w:val="17"/>
                <w:szCs w:val="17"/>
              </w:rPr>
              <w:t xml:space="preserve"> 2024;58(7):825–837</w:t>
            </w:r>
          </w:p>
        </w:tc>
        <w:tc>
          <w:tcPr>
            <w:tcW w:w="2665" w:type="dxa"/>
          </w:tcPr>
          <w:p w14:paraId="1413D8DB" w14:textId="77777777" w:rsidR="00AB17F5" w:rsidRDefault="00AB17F5">
            <w:pPr>
              <w:spacing w:before="20" w:after="20" w:line="240" w:lineRule="auto"/>
            </w:pPr>
            <w:hyperlink r:id="rId57">
              <w:r>
                <w:rPr>
                  <w:rStyle w:val="Hyperlink"/>
                  <w:sz w:val="17"/>
                  <w:szCs w:val="17"/>
                </w:rPr>
                <w:t>doi:10</w:t>
              </w:r>
              <w:r>
                <w:rPr>
                  <w:rStyle w:val="Hyperlink"/>
                  <w:sz w:val="17"/>
                  <w:szCs w:val="17"/>
                </w:rPr>
                <w:t>.</w:t>
              </w:r>
              <w:r>
                <w:rPr>
                  <w:rStyle w:val="Hyperlink"/>
                  <w:sz w:val="17"/>
                  <w:szCs w:val="17"/>
                </w:rPr>
                <w:t>1111/medu.15291</w:t>
              </w:r>
            </w:hyperlink>
          </w:p>
        </w:tc>
        <w:tc>
          <w:tcPr>
            <w:tcW w:w="3310" w:type="dxa"/>
          </w:tcPr>
          <w:p w14:paraId="5872F2EB" w14:textId="77777777" w:rsidR="00AB17F5" w:rsidRDefault="00000000">
            <w:pPr>
              <w:spacing w:before="20" w:after="20" w:line="240" w:lineRule="auto"/>
            </w:pPr>
            <w:r>
              <w:rPr>
                <w:sz w:val="17"/>
                <w:szCs w:val="17"/>
              </w:rPr>
              <w:t>Empirical: how reliably WBAs support entrustment decisions — the rigour question for the CCPR.</w:t>
            </w:r>
          </w:p>
        </w:tc>
        <w:tc>
          <w:tcPr>
            <w:tcW w:w="967" w:type="dxa"/>
          </w:tcPr>
          <w:p w14:paraId="4CDE0566" w14:textId="77777777" w:rsidR="00AB17F5" w:rsidRDefault="00000000">
            <w:pPr>
              <w:spacing w:before="20" w:after="20" w:line="240" w:lineRule="auto"/>
            </w:pPr>
            <w:r>
              <w:rPr>
                <w:sz w:val="17"/>
                <w:szCs w:val="17"/>
              </w:rPr>
              <w:t>Evidence</w:t>
            </w:r>
          </w:p>
        </w:tc>
      </w:tr>
      <w:tr w:rsidR="00AB17F5" w14:paraId="7AFCD5BA" w14:textId="77777777" w:rsidTr="00B735E6">
        <w:tc>
          <w:tcPr>
            <w:tcW w:w="2658" w:type="dxa"/>
          </w:tcPr>
          <w:p w14:paraId="2347E968" w14:textId="5401330C" w:rsidR="00AB17F5" w:rsidRDefault="00000000">
            <w:pPr>
              <w:spacing w:before="20" w:after="20" w:line="240" w:lineRule="auto"/>
            </w:pPr>
            <w:proofErr w:type="spellStart"/>
            <w:r>
              <w:rPr>
                <w:sz w:val="17"/>
                <w:szCs w:val="17"/>
              </w:rPr>
              <w:t>Rietmeijer</w:t>
            </w:r>
            <w:proofErr w:type="spellEnd"/>
            <w:r>
              <w:rPr>
                <w:sz w:val="17"/>
                <w:szCs w:val="17"/>
              </w:rPr>
              <w:t xml:space="preserve">, Watling, Teunissen. Rethinking workplace-based assessment: the costly illusion of authenticity. </w:t>
            </w:r>
            <w:proofErr w:type="spellStart"/>
            <w:r>
              <w:rPr>
                <w:i/>
                <w:sz w:val="17"/>
                <w:szCs w:val="17"/>
              </w:rPr>
              <w:t>Acad</w:t>
            </w:r>
            <w:proofErr w:type="spellEnd"/>
            <w:r>
              <w:rPr>
                <w:i/>
                <w:sz w:val="17"/>
                <w:szCs w:val="17"/>
              </w:rPr>
              <w:t xml:space="preserve"> Med.</w:t>
            </w:r>
            <w:r>
              <w:rPr>
                <w:sz w:val="17"/>
                <w:szCs w:val="17"/>
              </w:rPr>
              <w:t xml:space="preserve"> 2025</w:t>
            </w:r>
          </w:p>
        </w:tc>
        <w:tc>
          <w:tcPr>
            <w:tcW w:w="2665" w:type="dxa"/>
          </w:tcPr>
          <w:p w14:paraId="18D1EF4F" w14:textId="028B7938" w:rsidR="00AB17F5" w:rsidRDefault="00AB17F5">
            <w:pPr>
              <w:spacing w:before="20" w:after="20" w:line="240" w:lineRule="auto"/>
            </w:pPr>
            <w:hyperlink r:id="rId58">
              <w:r>
                <w:rPr>
                  <w:rStyle w:val="Hyperlink"/>
                  <w:sz w:val="17"/>
                  <w:szCs w:val="17"/>
                </w:rPr>
                <w:t>pubmed.ncbi.n</w:t>
              </w:r>
              <w:r>
                <w:rPr>
                  <w:rStyle w:val="Hyperlink"/>
                  <w:sz w:val="17"/>
                  <w:szCs w:val="17"/>
                </w:rPr>
                <w:t>l</w:t>
              </w:r>
              <w:r>
                <w:rPr>
                  <w:rStyle w:val="Hyperlink"/>
                  <w:sz w:val="17"/>
                  <w:szCs w:val="17"/>
                </w:rPr>
                <w:t>m.nih.gov/40680201/</w:t>
              </w:r>
            </w:hyperlink>
            <w:r w:rsidR="00000000">
              <w:rPr>
                <w:sz w:val="17"/>
                <w:szCs w:val="17"/>
              </w:rPr>
              <w:t xml:space="preserve"> </w:t>
            </w:r>
          </w:p>
        </w:tc>
        <w:tc>
          <w:tcPr>
            <w:tcW w:w="3310" w:type="dxa"/>
          </w:tcPr>
          <w:p w14:paraId="48D669D6" w14:textId="77777777" w:rsidR="00AB17F5" w:rsidRDefault="00000000">
            <w:pPr>
              <w:spacing w:before="20" w:after="20" w:line="240" w:lineRule="auto"/>
            </w:pPr>
            <w:r>
              <w:rPr>
                <w:sz w:val="17"/>
                <w:szCs w:val="17"/>
              </w:rPr>
              <w:t>Challenges the assumption that WBA is inherently 'authentic' — a caution for portfolio assessment.</w:t>
            </w:r>
          </w:p>
        </w:tc>
        <w:tc>
          <w:tcPr>
            <w:tcW w:w="967" w:type="dxa"/>
          </w:tcPr>
          <w:p w14:paraId="64A72329" w14:textId="77777777" w:rsidR="00AB17F5" w:rsidRDefault="00000000">
            <w:pPr>
              <w:spacing w:before="20" w:after="20" w:line="240" w:lineRule="auto"/>
            </w:pPr>
            <w:r>
              <w:rPr>
                <w:sz w:val="17"/>
                <w:szCs w:val="17"/>
              </w:rPr>
              <w:t>Theory</w:t>
            </w:r>
          </w:p>
        </w:tc>
      </w:tr>
      <w:tr w:rsidR="00AB17F5" w14:paraId="566C2D4E" w14:textId="77777777" w:rsidTr="00B735E6">
        <w:tc>
          <w:tcPr>
            <w:tcW w:w="2658" w:type="dxa"/>
          </w:tcPr>
          <w:p w14:paraId="50A027BF" w14:textId="50843811" w:rsidR="00AB17F5" w:rsidRDefault="00000000">
            <w:pPr>
              <w:spacing w:before="20" w:after="20" w:line="240" w:lineRule="auto"/>
            </w:pPr>
            <w:r>
              <w:rPr>
                <w:sz w:val="17"/>
                <w:szCs w:val="17"/>
              </w:rPr>
              <w:t xml:space="preserve">Bhanji et al. Competence by Design: the role of high-stakes examinations in a CBME system. </w:t>
            </w:r>
            <w:proofErr w:type="spellStart"/>
            <w:r>
              <w:rPr>
                <w:i/>
                <w:sz w:val="17"/>
                <w:szCs w:val="17"/>
              </w:rPr>
              <w:t>Perspect</w:t>
            </w:r>
            <w:proofErr w:type="spellEnd"/>
            <w:r>
              <w:rPr>
                <w:i/>
                <w:sz w:val="17"/>
                <w:szCs w:val="17"/>
              </w:rPr>
              <w:t xml:space="preserve"> Med Educ.</w:t>
            </w:r>
            <w:r>
              <w:rPr>
                <w:sz w:val="17"/>
                <w:szCs w:val="17"/>
              </w:rPr>
              <w:t xml:space="preserve"> 2024;13(1):68–74</w:t>
            </w:r>
          </w:p>
        </w:tc>
        <w:tc>
          <w:tcPr>
            <w:tcW w:w="2665" w:type="dxa"/>
          </w:tcPr>
          <w:p w14:paraId="2B21A8DF" w14:textId="77777777" w:rsidR="00AB17F5" w:rsidRDefault="00AB17F5">
            <w:pPr>
              <w:spacing w:before="20" w:after="20" w:line="240" w:lineRule="auto"/>
            </w:pPr>
            <w:hyperlink r:id="rId59">
              <w:r>
                <w:rPr>
                  <w:rStyle w:val="Hyperlink"/>
                  <w:sz w:val="17"/>
                  <w:szCs w:val="17"/>
                </w:rPr>
                <w:t>doi:10.5334/pme.965</w:t>
              </w:r>
            </w:hyperlink>
          </w:p>
        </w:tc>
        <w:tc>
          <w:tcPr>
            <w:tcW w:w="3310" w:type="dxa"/>
          </w:tcPr>
          <w:p w14:paraId="45584EB9" w14:textId="77777777" w:rsidR="00AB17F5" w:rsidRDefault="00000000">
            <w:pPr>
              <w:spacing w:before="20" w:after="20" w:line="240" w:lineRule="auto"/>
            </w:pPr>
            <w:r>
              <w:rPr>
                <w:sz w:val="17"/>
                <w:szCs w:val="17"/>
              </w:rPr>
              <w:t>Argues high-stakes exams retain a defensible role within CBME — a counterpoint to wholesale OSCE removal.</w:t>
            </w:r>
          </w:p>
        </w:tc>
        <w:tc>
          <w:tcPr>
            <w:tcW w:w="967" w:type="dxa"/>
          </w:tcPr>
          <w:p w14:paraId="67D0F5A2" w14:textId="77777777" w:rsidR="00AB17F5" w:rsidRDefault="00000000">
            <w:pPr>
              <w:spacing w:before="20" w:after="20" w:line="240" w:lineRule="auto"/>
            </w:pPr>
            <w:r>
              <w:rPr>
                <w:sz w:val="17"/>
                <w:szCs w:val="17"/>
              </w:rPr>
              <w:t>Theory</w:t>
            </w:r>
          </w:p>
        </w:tc>
      </w:tr>
    </w:tbl>
    <w:p w14:paraId="0A477A7A" w14:textId="77777777" w:rsidR="00AB17F5" w:rsidRDefault="00AB17F5"/>
    <w:p w14:paraId="73324301" w14:textId="77777777" w:rsidR="00AB17F5" w:rsidRDefault="00AB17F5">
      <w:pPr>
        <w:pBdr>
          <w:bottom w:val="single" w:sz="4" w:space="1" w:color="CCCCCC"/>
        </w:pBdr>
      </w:pPr>
    </w:p>
    <w:p w14:paraId="6A416F67" w14:textId="77777777" w:rsidR="00AB17F5" w:rsidRDefault="00000000">
      <w:pPr>
        <w:pStyle w:val="Heading1"/>
      </w:pPr>
      <w:r>
        <w:t>6. Burden of Assessment</w:t>
      </w:r>
    </w:p>
    <w:p w14:paraId="6B5BADCA" w14:textId="77777777" w:rsidR="00AB17F5" w:rsidRDefault="00000000">
      <w:r>
        <w:t xml:space="preserve">A first-order design constraint and an explicit accreditation requirement: </w:t>
      </w:r>
      <w:r>
        <w:rPr>
          <w:b/>
        </w:rPr>
        <w:t>AMC Standard 5, Condition 23</w:t>
      </w:r>
      <w:r>
        <w:t xml:space="preserve"> directs the College to "systematically review the breadth of assessment methods with a view to reducing the </w:t>
      </w:r>
      <w:r>
        <w:rPr>
          <w:b/>
        </w:rPr>
        <w:t>burden of assessment</w:t>
      </w:r>
      <w:r>
        <w:t xml:space="preserve"> on trainees and their supervisors." Burden is both </w:t>
      </w:r>
      <w:r>
        <w:rPr>
          <w:i/>
        </w:rPr>
        <w:t>quantitative</w:t>
      </w:r>
      <w:r>
        <w:t xml:space="preserve"> (time, opportunity cost) and </w:t>
      </w:r>
      <w:r>
        <w:rPr>
          <w:i/>
        </w:rPr>
        <w:t>qualitative</w:t>
      </w:r>
      <w:r>
        <w:t xml:space="preserve"> (how trainees and assessors experience it); Ott's </w:t>
      </w:r>
      <w:r>
        <w:rPr>
          <w:b/>
        </w:rPr>
        <w:t>Self-Determination Theory</w:t>
      </w:r>
      <w:r>
        <w:t xml:space="preserve"> lens (threats to autonomy, relatedness, competence) is the framework RANZCP has adopted to </w:t>
      </w:r>
      <w:r>
        <w:rPr>
          <w:i/>
        </w:rPr>
        <w:t>measure</w:t>
      </w:r>
      <w:r>
        <w:t xml:space="preserve"> it, and Pearce's framing reminds </w:t>
      </w:r>
      <w:proofErr w:type="gramStart"/>
      <w:r>
        <w:t>us</w:t>
      </w:r>
      <w:proofErr w:type="gramEnd"/>
      <w:r>
        <w:t xml:space="preserve"> the goal is to optimise </w:t>
      </w:r>
      <w:r>
        <w:rPr>
          <w:i/>
        </w:rPr>
        <w:t>worthwhile</w:t>
      </w:r>
      <w:r>
        <w:t xml:space="preserve"> burden, not eliminate burden per se. The trainee-perspective evidence (largely Canadian CBME) is consistent: programmatic/EPA assessment can be experienced as surveillance, can tip into "tick-box" and "gaming," and can crowd out learning — </w:t>
      </w:r>
      <w:r>
        <w:rPr>
          <w:i/>
        </w:rPr>
        <w:t>unless</w:t>
      </w:r>
      <w:r>
        <w:t xml:space="preserve"> feedback is genuinely coaching, supervisors are proactive, and the volume of data points is designed for value, not documentation. </w:t>
      </w:r>
      <w:r>
        <w:rPr>
          <w:i/>
        </w:rPr>
        <w:t>Design implication: fewer, better, developmental assessments; assessor literacy and faculty development (§8); and reframe early CPD as continued formation (§13).</w:t>
      </w:r>
    </w:p>
    <w:tbl>
      <w:tblPr>
        <w:tblW w:w="9600" w:type="dxa"/>
        <w:tblInd w:w="1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CellMar>
          <w:left w:w="10" w:type="dxa"/>
          <w:right w:w="10" w:type="dxa"/>
        </w:tblCellMar>
        <w:tblLook w:val="07E0" w:firstRow="1" w:lastRow="1" w:firstColumn="1" w:lastColumn="1" w:noHBand="1" w:noVBand="1"/>
      </w:tblPr>
      <w:tblGrid>
        <w:gridCol w:w="2457"/>
        <w:gridCol w:w="2665"/>
        <w:gridCol w:w="3464"/>
        <w:gridCol w:w="1014"/>
      </w:tblGrid>
      <w:tr w:rsidR="00AB17F5" w14:paraId="2C413E37" w14:textId="77777777">
        <w:trPr>
          <w:tblHeader/>
        </w:trPr>
        <w:tc>
          <w:tcPr>
            <w:tcW w:w="2880" w:type="dxa"/>
            <w:shd w:val="clear" w:color="auto" w:fill="EFE9F4"/>
          </w:tcPr>
          <w:p w14:paraId="37270363" w14:textId="77777777" w:rsidR="00AB17F5" w:rsidRDefault="00000000">
            <w:pPr>
              <w:spacing w:before="20" w:after="20" w:line="240" w:lineRule="auto"/>
            </w:pPr>
            <w:r>
              <w:rPr>
                <w:b/>
                <w:sz w:val="17"/>
                <w:szCs w:val="17"/>
              </w:rPr>
              <w:t>Reference</w:t>
            </w:r>
          </w:p>
        </w:tc>
        <w:tc>
          <w:tcPr>
            <w:tcW w:w="1248" w:type="dxa"/>
            <w:shd w:val="clear" w:color="auto" w:fill="EFE9F4"/>
          </w:tcPr>
          <w:p w14:paraId="6EB9C11B" w14:textId="77777777" w:rsidR="00AB17F5" w:rsidRDefault="00000000">
            <w:pPr>
              <w:spacing w:before="20" w:after="20" w:line="240" w:lineRule="auto"/>
            </w:pPr>
            <w:r>
              <w:rPr>
                <w:b/>
                <w:sz w:val="17"/>
                <w:szCs w:val="17"/>
              </w:rPr>
              <w:t>Link</w:t>
            </w:r>
          </w:p>
        </w:tc>
        <w:tc>
          <w:tcPr>
            <w:tcW w:w="4320" w:type="dxa"/>
            <w:shd w:val="clear" w:color="auto" w:fill="EFE9F4"/>
          </w:tcPr>
          <w:p w14:paraId="67322856" w14:textId="77777777" w:rsidR="00AB17F5" w:rsidRDefault="00000000">
            <w:pPr>
              <w:spacing w:before="20" w:after="20" w:line="240" w:lineRule="auto"/>
            </w:pPr>
            <w:r>
              <w:rPr>
                <w:b/>
                <w:sz w:val="17"/>
                <w:szCs w:val="17"/>
              </w:rPr>
              <w:t>What it tells us</w:t>
            </w:r>
          </w:p>
        </w:tc>
        <w:tc>
          <w:tcPr>
            <w:tcW w:w="1152" w:type="dxa"/>
            <w:shd w:val="clear" w:color="auto" w:fill="EFE9F4"/>
          </w:tcPr>
          <w:p w14:paraId="0A424AEE" w14:textId="77777777" w:rsidR="00AB17F5" w:rsidRDefault="00000000">
            <w:pPr>
              <w:spacing w:before="20" w:after="20" w:line="240" w:lineRule="auto"/>
            </w:pPr>
            <w:r>
              <w:rPr>
                <w:b/>
                <w:sz w:val="17"/>
                <w:szCs w:val="17"/>
              </w:rPr>
              <w:t>Category</w:t>
            </w:r>
          </w:p>
        </w:tc>
      </w:tr>
      <w:tr w:rsidR="00AB17F5" w14:paraId="24A86359" w14:textId="77777777">
        <w:tc>
          <w:tcPr>
            <w:tcW w:w="2880" w:type="dxa"/>
          </w:tcPr>
          <w:p w14:paraId="5DFC8ED5" w14:textId="77777777" w:rsidR="00AB17F5" w:rsidRDefault="00000000">
            <w:pPr>
              <w:spacing w:before="20" w:after="20" w:line="240" w:lineRule="auto"/>
            </w:pPr>
            <w:r>
              <w:rPr>
                <w:sz w:val="17"/>
                <w:szCs w:val="17"/>
              </w:rPr>
              <w:t xml:space="preserve">Pearce. When I say … assessment burden. </w:t>
            </w:r>
            <w:r>
              <w:rPr>
                <w:i/>
                <w:sz w:val="17"/>
                <w:szCs w:val="17"/>
              </w:rPr>
              <w:t>Med Educ.</w:t>
            </w:r>
            <w:r>
              <w:rPr>
                <w:sz w:val="17"/>
                <w:szCs w:val="17"/>
              </w:rPr>
              <w:t xml:space="preserve"> 2025</w:t>
            </w:r>
          </w:p>
        </w:tc>
        <w:tc>
          <w:tcPr>
            <w:tcW w:w="1248" w:type="dxa"/>
          </w:tcPr>
          <w:p w14:paraId="3D006CD4" w14:textId="598C279C" w:rsidR="00AB17F5" w:rsidRPr="009D2F18" w:rsidRDefault="00AB17F5">
            <w:pPr>
              <w:spacing w:before="20" w:after="20" w:line="240" w:lineRule="auto"/>
              <w:rPr>
                <w:lang w:val="fr-FR"/>
              </w:rPr>
            </w:pPr>
            <w:hyperlink r:id="rId60">
              <w:proofErr w:type="gramStart"/>
              <w:r w:rsidRPr="009D2F18">
                <w:rPr>
                  <w:rStyle w:val="Hyperlink"/>
                  <w:sz w:val="17"/>
                  <w:szCs w:val="17"/>
                  <w:lang w:val="fr-FR"/>
                </w:rPr>
                <w:t>doi:</w:t>
              </w:r>
              <w:proofErr w:type="gramEnd"/>
              <w:r w:rsidRPr="009D2F18">
                <w:rPr>
                  <w:rStyle w:val="Hyperlink"/>
                  <w:sz w:val="17"/>
                  <w:szCs w:val="17"/>
                  <w:lang w:val="fr-FR"/>
                </w:rPr>
                <w:t>10.1111/medu.15708</w:t>
              </w:r>
            </w:hyperlink>
          </w:p>
        </w:tc>
        <w:tc>
          <w:tcPr>
            <w:tcW w:w="4320" w:type="dxa"/>
          </w:tcPr>
          <w:p w14:paraId="545BC6A0" w14:textId="77777777" w:rsidR="00AB17F5" w:rsidRDefault="00000000">
            <w:pPr>
              <w:spacing w:before="20" w:after="20" w:line="240" w:lineRule="auto"/>
            </w:pPr>
            <w:r>
              <w:rPr>
                <w:sz w:val="17"/>
                <w:szCs w:val="17"/>
              </w:rPr>
              <w:t xml:space="preserve">The recent conceptual framing (Jacob Pearce, ACER): burden is not simply to be </w:t>
            </w:r>
            <w:r>
              <w:rPr>
                <w:i/>
                <w:sz w:val="17"/>
                <w:szCs w:val="17"/>
              </w:rPr>
              <w:t>minimised</w:t>
            </w:r>
            <w:r>
              <w:rPr>
                <w:sz w:val="17"/>
                <w:szCs w:val="17"/>
              </w:rPr>
              <w:t xml:space="preserve">; high-quality assessment can feel burdensome yet carry real utility — optimise </w:t>
            </w:r>
            <w:r>
              <w:rPr>
                <w:i/>
                <w:sz w:val="17"/>
                <w:szCs w:val="17"/>
              </w:rPr>
              <w:t>worthwhile</w:t>
            </w:r>
            <w:r>
              <w:rPr>
                <w:sz w:val="17"/>
                <w:szCs w:val="17"/>
              </w:rPr>
              <w:t xml:space="preserve"> burden.</w:t>
            </w:r>
          </w:p>
        </w:tc>
        <w:tc>
          <w:tcPr>
            <w:tcW w:w="1152" w:type="dxa"/>
          </w:tcPr>
          <w:p w14:paraId="5FDFB826" w14:textId="77777777" w:rsidR="00AB17F5" w:rsidRDefault="00000000">
            <w:pPr>
              <w:spacing w:before="20" w:after="20" w:line="240" w:lineRule="auto"/>
            </w:pPr>
            <w:r>
              <w:rPr>
                <w:sz w:val="17"/>
                <w:szCs w:val="17"/>
              </w:rPr>
              <w:t>Theory</w:t>
            </w:r>
          </w:p>
        </w:tc>
      </w:tr>
      <w:tr w:rsidR="00AB17F5" w14:paraId="6240BF06" w14:textId="77777777">
        <w:tc>
          <w:tcPr>
            <w:tcW w:w="2880" w:type="dxa"/>
          </w:tcPr>
          <w:p w14:paraId="6AF80321" w14:textId="77777777" w:rsidR="00AB17F5" w:rsidRDefault="00000000">
            <w:pPr>
              <w:spacing w:before="20" w:after="20" w:line="240" w:lineRule="auto"/>
            </w:pPr>
            <w:r>
              <w:rPr>
                <w:sz w:val="17"/>
                <w:szCs w:val="17"/>
              </w:rPr>
              <w:t xml:space="preserve">Ott et al. "The most crushing thing": understanding resident assessment burden in a CBME curriculum. </w:t>
            </w:r>
            <w:r>
              <w:rPr>
                <w:i/>
                <w:sz w:val="17"/>
                <w:szCs w:val="17"/>
              </w:rPr>
              <w:t>J Grad Med Educ.</w:t>
            </w:r>
            <w:r>
              <w:rPr>
                <w:sz w:val="17"/>
                <w:szCs w:val="17"/>
              </w:rPr>
              <w:t xml:space="preserve"> 2022</w:t>
            </w:r>
          </w:p>
        </w:tc>
        <w:tc>
          <w:tcPr>
            <w:tcW w:w="1248" w:type="dxa"/>
          </w:tcPr>
          <w:p w14:paraId="479CF2DD" w14:textId="77777777" w:rsidR="00AB17F5" w:rsidRDefault="00AB17F5">
            <w:pPr>
              <w:spacing w:before="20" w:after="20" w:line="240" w:lineRule="auto"/>
            </w:pPr>
            <w:hyperlink r:id="rId61">
              <w:r>
                <w:rPr>
                  <w:rStyle w:val="Hyperlink"/>
                  <w:sz w:val="17"/>
                  <w:szCs w:val="17"/>
                </w:rPr>
                <w:t>doi:10.4300/JGME-D-22-00050.1</w:t>
              </w:r>
            </w:hyperlink>
          </w:p>
        </w:tc>
        <w:tc>
          <w:tcPr>
            <w:tcW w:w="4320" w:type="dxa"/>
          </w:tcPr>
          <w:p w14:paraId="6B1DD516" w14:textId="77777777" w:rsidR="00AB17F5" w:rsidRDefault="00000000">
            <w:pPr>
              <w:spacing w:before="20" w:after="20" w:line="240" w:lineRule="auto"/>
            </w:pPr>
            <w:r>
              <w:rPr>
                <w:sz w:val="17"/>
                <w:szCs w:val="17"/>
              </w:rPr>
              <w:t xml:space="preserve">Conceptualises burden through </w:t>
            </w:r>
            <w:r>
              <w:rPr>
                <w:b/>
                <w:sz w:val="17"/>
                <w:szCs w:val="17"/>
              </w:rPr>
              <w:t>Self-Determination Theory</w:t>
            </w:r>
            <w:r>
              <w:rPr>
                <w:sz w:val="17"/>
                <w:szCs w:val="17"/>
              </w:rPr>
              <w:t xml:space="preserve"> (threats to autonomy, relatedness, competence) — the framework RANZCP adopted to measure burden.</w:t>
            </w:r>
          </w:p>
        </w:tc>
        <w:tc>
          <w:tcPr>
            <w:tcW w:w="1152" w:type="dxa"/>
          </w:tcPr>
          <w:p w14:paraId="72848DCC" w14:textId="77777777" w:rsidR="00AB17F5" w:rsidRDefault="00000000">
            <w:pPr>
              <w:spacing w:before="20" w:after="20" w:line="240" w:lineRule="auto"/>
            </w:pPr>
            <w:r>
              <w:rPr>
                <w:sz w:val="17"/>
                <w:szCs w:val="17"/>
              </w:rPr>
              <w:t>Evidence</w:t>
            </w:r>
          </w:p>
        </w:tc>
      </w:tr>
      <w:tr w:rsidR="00AB17F5" w14:paraId="0E27C8A7" w14:textId="77777777">
        <w:tc>
          <w:tcPr>
            <w:tcW w:w="2880" w:type="dxa"/>
          </w:tcPr>
          <w:p w14:paraId="68ED2304" w14:textId="77777777" w:rsidR="00AB17F5" w:rsidRDefault="00000000">
            <w:pPr>
              <w:spacing w:before="20" w:after="20" w:line="240" w:lineRule="auto"/>
            </w:pPr>
            <w:r>
              <w:rPr>
                <w:sz w:val="17"/>
                <w:szCs w:val="17"/>
              </w:rPr>
              <w:t xml:space="preserve">Cheung et al. </w:t>
            </w:r>
            <w:proofErr w:type="spellStart"/>
            <w:r>
              <w:rPr>
                <w:sz w:val="17"/>
                <w:szCs w:val="17"/>
              </w:rPr>
              <w:t>Analyzing</w:t>
            </w:r>
            <w:proofErr w:type="spellEnd"/>
            <w:r>
              <w:rPr>
                <w:sz w:val="17"/>
                <w:szCs w:val="17"/>
              </w:rPr>
              <w:t xml:space="preserve"> the administrative burden of CBME. </w:t>
            </w:r>
            <w:r>
              <w:rPr>
                <w:i/>
                <w:sz w:val="17"/>
                <w:szCs w:val="17"/>
              </w:rPr>
              <w:t xml:space="preserve">Can Assoc </w:t>
            </w:r>
            <w:proofErr w:type="spellStart"/>
            <w:r>
              <w:rPr>
                <w:i/>
                <w:sz w:val="17"/>
                <w:szCs w:val="17"/>
              </w:rPr>
              <w:t>Radiol</w:t>
            </w:r>
            <w:proofErr w:type="spellEnd"/>
            <w:r>
              <w:rPr>
                <w:i/>
                <w:sz w:val="17"/>
                <w:szCs w:val="17"/>
              </w:rPr>
              <w:t xml:space="preserve"> J.</w:t>
            </w:r>
            <w:r>
              <w:rPr>
                <w:sz w:val="17"/>
                <w:szCs w:val="17"/>
              </w:rPr>
              <w:t xml:space="preserve"> 2021</w:t>
            </w:r>
          </w:p>
        </w:tc>
        <w:tc>
          <w:tcPr>
            <w:tcW w:w="1248" w:type="dxa"/>
          </w:tcPr>
          <w:p w14:paraId="6C65487C" w14:textId="77777777" w:rsidR="00AB17F5" w:rsidRDefault="00AB17F5">
            <w:pPr>
              <w:spacing w:before="20" w:after="20" w:line="240" w:lineRule="auto"/>
            </w:pPr>
            <w:hyperlink r:id="rId62">
              <w:r>
                <w:rPr>
                  <w:rStyle w:val="Hyperlink"/>
                  <w:sz w:val="17"/>
                  <w:szCs w:val="17"/>
                </w:rPr>
                <w:t>doi:10.1177/08465371211038963</w:t>
              </w:r>
            </w:hyperlink>
          </w:p>
        </w:tc>
        <w:tc>
          <w:tcPr>
            <w:tcW w:w="4320" w:type="dxa"/>
          </w:tcPr>
          <w:p w14:paraId="049ABCCE" w14:textId="77777777" w:rsidR="00AB17F5" w:rsidRDefault="00000000">
            <w:pPr>
              <w:spacing w:before="20" w:after="20" w:line="240" w:lineRule="auto"/>
            </w:pPr>
            <w:r>
              <w:rPr>
                <w:sz w:val="17"/>
                <w:szCs w:val="17"/>
              </w:rPr>
              <w:t>Empirical: a single EPA form took ≈ 3 min 6 sec on average (but this excludes the surrounding observation, discussion and coaching time).</w:t>
            </w:r>
          </w:p>
        </w:tc>
        <w:tc>
          <w:tcPr>
            <w:tcW w:w="1152" w:type="dxa"/>
          </w:tcPr>
          <w:p w14:paraId="3F49D2C6" w14:textId="77777777" w:rsidR="00AB17F5" w:rsidRDefault="00000000">
            <w:pPr>
              <w:spacing w:before="20" w:after="20" w:line="240" w:lineRule="auto"/>
            </w:pPr>
            <w:r>
              <w:rPr>
                <w:sz w:val="17"/>
                <w:szCs w:val="17"/>
              </w:rPr>
              <w:t>Evidence</w:t>
            </w:r>
          </w:p>
        </w:tc>
      </w:tr>
      <w:tr w:rsidR="00AB17F5" w14:paraId="13BF2646" w14:textId="77777777">
        <w:tc>
          <w:tcPr>
            <w:tcW w:w="2880" w:type="dxa"/>
          </w:tcPr>
          <w:p w14:paraId="27497687" w14:textId="77777777" w:rsidR="00AB17F5" w:rsidRDefault="00000000">
            <w:pPr>
              <w:spacing w:before="20" w:after="20" w:line="240" w:lineRule="auto"/>
            </w:pPr>
            <w:r>
              <w:rPr>
                <w:sz w:val="17"/>
                <w:szCs w:val="17"/>
              </w:rPr>
              <w:t xml:space="preserve">Szulewski et al. The assessment burden in CBME: how programs are adapting. </w:t>
            </w:r>
            <w:proofErr w:type="spellStart"/>
            <w:r>
              <w:rPr>
                <w:i/>
                <w:sz w:val="17"/>
                <w:szCs w:val="17"/>
              </w:rPr>
              <w:t>Acad</w:t>
            </w:r>
            <w:proofErr w:type="spellEnd"/>
            <w:r>
              <w:rPr>
                <w:i/>
                <w:sz w:val="17"/>
                <w:szCs w:val="17"/>
              </w:rPr>
              <w:t xml:space="preserve"> Med.</w:t>
            </w:r>
            <w:r>
              <w:rPr>
                <w:sz w:val="17"/>
                <w:szCs w:val="17"/>
              </w:rPr>
              <w:t xml:space="preserve"> 2023</w:t>
            </w:r>
          </w:p>
        </w:tc>
        <w:tc>
          <w:tcPr>
            <w:tcW w:w="1248" w:type="dxa"/>
          </w:tcPr>
          <w:p w14:paraId="4854D3F0" w14:textId="77777777" w:rsidR="00AB17F5" w:rsidRDefault="00AB17F5">
            <w:pPr>
              <w:spacing w:before="20" w:after="20" w:line="240" w:lineRule="auto"/>
            </w:pPr>
            <w:hyperlink r:id="rId63">
              <w:r>
                <w:rPr>
                  <w:rStyle w:val="Hyperlink"/>
                  <w:sz w:val="17"/>
                  <w:szCs w:val="17"/>
                </w:rPr>
                <w:t>doi:10.1097/ACM.0000000000005305</w:t>
              </w:r>
            </w:hyperlink>
          </w:p>
        </w:tc>
        <w:tc>
          <w:tcPr>
            <w:tcW w:w="4320" w:type="dxa"/>
          </w:tcPr>
          <w:p w14:paraId="79536F2F" w14:textId="77777777" w:rsidR="00AB17F5" w:rsidRDefault="00000000">
            <w:pPr>
              <w:spacing w:before="20" w:after="20" w:line="240" w:lineRule="auto"/>
            </w:pPr>
            <w:r>
              <w:rPr>
                <w:sz w:val="17"/>
                <w:szCs w:val="17"/>
              </w:rPr>
              <w:t>How 8 residency programs are adapting to assessor burden — burden can undermine CBME's intended benefits.</w:t>
            </w:r>
          </w:p>
        </w:tc>
        <w:tc>
          <w:tcPr>
            <w:tcW w:w="1152" w:type="dxa"/>
          </w:tcPr>
          <w:p w14:paraId="10DD457A" w14:textId="77777777" w:rsidR="00AB17F5" w:rsidRDefault="00000000">
            <w:pPr>
              <w:spacing w:before="20" w:after="20" w:line="240" w:lineRule="auto"/>
            </w:pPr>
            <w:r>
              <w:rPr>
                <w:sz w:val="17"/>
                <w:szCs w:val="17"/>
              </w:rPr>
              <w:t>Evidence</w:t>
            </w:r>
          </w:p>
        </w:tc>
      </w:tr>
      <w:tr w:rsidR="00AB17F5" w14:paraId="19197A22" w14:textId="77777777">
        <w:tc>
          <w:tcPr>
            <w:tcW w:w="2880" w:type="dxa"/>
          </w:tcPr>
          <w:p w14:paraId="272C13D0" w14:textId="77777777" w:rsidR="00AB17F5" w:rsidRDefault="00000000">
            <w:pPr>
              <w:spacing w:before="20" w:after="20" w:line="240" w:lineRule="auto"/>
            </w:pPr>
            <w:r>
              <w:rPr>
                <w:sz w:val="17"/>
                <w:szCs w:val="17"/>
              </w:rPr>
              <w:t xml:space="preserve">Schut et al. Between trust and control: programmatic assessment. </w:t>
            </w:r>
            <w:r>
              <w:rPr>
                <w:i/>
                <w:sz w:val="17"/>
                <w:szCs w:val="17"/>
              </w:rPr>
              <w:t>Med Educ.</w:t>
            </w:r>
            <w:r>
              <w:rPr>
                <w:sz w:val="17"/>
                <w:szCs w:val="17"/>
              </w:rPr>
              <w:t xml:space="preserve"> 2020</w:t>
            </w:r>
          </w:p>
        </w:tc>
        <w:tc>
          <w:tcPr>
            <w:tcW w:w="1248" w:type="dxa"/>
          </w:tcPr>
          <w:p w14:paraId="6100D7DF" w14:textId="77777777" w:rsidR="00AB17F5" w:rsidRDefault="00AB17F5">
            <w:pPr>
              <w:spacing w:before="20" w:after="20" w:line="240" w:lineRule="auto"/>
            </w:pPr>
            <w:hyperlink r:id="rId64">
              <w:r>
                <w:rPr>
                  <w:rStyle w:val="Hyperlink"/>
                  <w:sz w:val="17"/>
                  <w:szCs w:val="17"/>
                </w:rPr>
                <w:t>doi:10.1111/medu.14075</w:t>
              </w:r>
            </w:hyperlink>
          </w:p>
        </w:tc>
        <w:tc>
          <w:tcPr>
            <w:tcW w:w="4320" w:type="dxa"/>
          </w:tcPr>
          <w:p w14:paraId="78666086" w14:textId="77777777" w:rsidR="00AB17F5" w:rsidRDefault="00000000">
            <w:pPr>
              <w:spacing w:before="20" w:after="20" w:line="240" w:lineRule="auto"/>
            </w:pPr>
            <w:r>
              <w:rPr>
                <w:sz w:val="17"/>
                <w:szCs w:val="17"/>
              </w:rPr>
              <w:t>Teachers can experience programmatic assessment as surveillance ("control") rather than trust — an unintended consequence to design against.</w:t>
            </w:r>
          </w:p>
        </w:tc>
        <w:tc>
          <w:tcPr>
            <w:tcW w:w="1152" w:type="dxa"/>
          </w:tcPr>
          <w:p w14:paraId="0A91DEB5" w14:textId="77777777" w:rsidR="00AB17F5" w:rsidRDefault="00000000">
            <w:pPr>
              <w:spacing w:before="20" w:after="20" w:line="240" w:lineRule="auto"/>
            </w:pPr>
            <w:r>
              <w:rPr>
                <w:sz w:val="17"/>
                <w:szCs w:val="17"/>
              </w:rPr>
              <w:t>Evidence</w:t>
            </w:r>
          </w:p>
        </w:tc>
      </w:tr>
      <w:tr w:rsidR="00AB17F5" w14:paraId="1696E3A8" w14:textId="77777777">
        <w:tc>
          <w:tcPr>
            <w:tcW w:w="2880" w:type="dxa"/>
          </w:tcPr>
          <w:p w14:paraId="016F1C8F" w14:textId="77777777" w:rsidR="00AB17F5" w:rsidRDefault="00000000">
            <w:pPr>
              <w:spacing w:before="20" w:after="20" w:line="240" w:lineRule="auto"/>
            </w:pPr>
            <w:r>
              <w:rPr>
                <w:sz w:val="17"/>
                <w:szCs w:val="17"/>
              </w:rPr>
              <w:t xml:space="preserve">Roberts et al. Student perspectives on programmatic assessment. </w:t>
            </w:r>
            <w:r>
              <w:rPr>
                <w:i/>
                <w:sz w:val="17"/>
                <w:szCs w:val="17"/>
              </w:rPr>
              <w:t>Med Educ.</w:t>
            </w:r>
            <w:r>
              <w:rPr>
                <w:sz w:val="17"/>
                <w:szCs w:val="17"/>
              </w:rPr>
              <w:t xml:space="preserve"> 2022</w:t>
            </w:r>
          </w:p>
        </w:tc>
        <w:tc>
          <w:tcPr>
            <w:tcW w:w="1248" w:type="dxa"/>
          </w:tcPr>
          <w:p w14:paraId="1EA741E3" w14:textId="7DEE834C" w:rsidR="00AB17F5" w:rsidRDefault="00AB17F5">
            <w:pPr>
              <w:spacing w:before="20" w:after="20" w:line="240" w:lineRule="auto"/>
            </w:pPr>
            <w:hyperlink r:id="rId65">
              <w:r>
                <w:rPr>
                  <w:rStyle w:val="Hyperlink"/>
                  <w:sz w:val="17"/>
                  <w:szCs w:val="17"/>
                </w:rPr>
                <w:t>doi:10.1111/medu.14807</w:t>
              </w:r>
            </w:hyperlink>
          </w:p>
        </w:tc>
        <w:tc>
          <w:tcPr>
            <w:tcW w:w="4320" w:type="dxa"/>
          </w:tcPr>
          <w:p w14:paraId="11977431" w14:textId="77777777" w:rsidR="00AB17F5" w:rsidRDefault="00000000">
            <w:pPr>
              <w:spacing w:before="20" w:after="20" w:line="240" w:lineRule="auto"/>
            </w:pPr>
            <w:r>
              <w:rPr>
                <w:sz w:val="17"/>
                <w:szCs w:val="17"/>
              </w:rPr>
              <w:t>Students can experience programmatic assessment as overbearing and at odds with its assessment-for-learning intent</w:t>
            </w:r>
          </w:p>
        </w:tc>
        <w:tc>
          <w:tcPr>
            <w:tcW w:w="1152" w:type="dxa"/>
          </w:tcPr>
          <w:p w14:paraId="7A5128CB" w14:textId="77777777" w:rsidR="00AB17F5" w:rsidRDefault="00000000">
            <w:pPr>
              <w:spacing w:before="20" w:after="20" w:line="240" w:lineRule="auto"/>
            </w:pPr>
            <w:r>
              <w:rPr>
                <w:sz w:val="17"/>
                <w:szCs w:val="17"/>
              </w:rPr>
              <w:t>Evidence</w:t>
            </w:r>
          </w:p>
        </w:tc>
      </w:tr>
      <w:tr w:rsidR="00AB17F5" w14:paraId="24DAD481" w14:textId="77777777">
        <w:tc>
          <w:tcPr>
            <w:tcW w:w="2880" w:type="dxa"/>
          </w:tcPr>
          <w:p w14:paraId="35A84F1E" w14:textId="77777777" w:rsidR="00AB17F5" w:rsidRDefault="00000000">
            <w:pPr>
              <w:spacing w:before="20" w:after="20" w:line="240" w:lineRule="auto"/>
            </w:pPr>
            <w:r>
              <w:rPr>
                <w:sz w:val="17"/>
                <w:szCs w:val="17"/>
              </w:rPr>
              <w:t xml:space="preserve">Lockyer et al. Core principles of assessment in CBME. </w:t>
            </w:r>
            <w:r>
              <w:rPr>
                <w:i/>
                <w:sz w:val="17"/>
                <w:szCs w:val="17"/>
              </w:rPr>
              <w:t>Med Teach.</w:t>
            </w:r>
            <w:r>
              <w:rPr>
                <w:sz w:val="17"/>
                <w:szCs w:val="17"/>
              </w:rPr>
              <w:t xml:space="preserve"> 2017</w:t>
            </w:r>
          </w:p>
        </w:tc>
        <w:tc>
          <w:tcPr>
            <w:tcW w:w="1248" w:type="dxa"/>
          </w:tcPr>
          <w:p w14:paraId="14EFF663" w14:textId="77777777" w:rsidR="00AB17F5" w:rsidRDefault="00AB17F5">
            <w:pPr>
              <w:spacing w:before="20" w:after="20" w:line="240" w:lineRule="auto"/>
            </w:pPr>
            <w:hyperlink r:id="rId66">
              <w:r>
                <w:rPr>
                  <w:rStyle w:val="Hyperlink"/>
                  <w:sz w:val="17"/>
                  <w:szCs w:val="17"/>
                </w:rPr>
                <w:t>doi:10.1080/0142159X.2017.1315082</w:t>
              </w:r>
            </w:hyperlink>
          </w:p>
        </w:tc>
        <w:tc>
          <w:tcPr>
            <w:tcW w:w="4320" w:type="dxa"/>
          </w:tcPr>
          <w:p w14:paraId="54CBE830" w14:textId="77777777" w:rsidR="00AB17F5" w:rsidRDefault="00000000">
            <w:pPr>
              <w:spacing w:before="20" w:after="20" w:line="240" w:lineRule="auto"/>
            </w:pPr>
            <w:r>
              <w:rPr>
                <w:sz w:val="17"/>
                <w:szCs w:val="17"/>
              </w:rPr>
              <w:t>The CBME assessment consensus: "the instrument is the assessor"; assessor variance is partly a legitimate lens, not just error — grounding the assessor-literacy response to burden.</w:t>
            </w:r>
          </w:p>
        </w:tc>
        <w:tc>
          <w:tcPr>
            <w:tcW w:w="1152" w:type="dxa"/>
          </w:tcPr>
          <w:p w14:paraId="2D976A6E" w14:textId="77777777" w:rsidR="00AB17F5" w:rsidRDefault="00000000">
            <w:pPr>
              <w:spacing w:before="20" w:after="20" w:line="240" w:lineRule="auto"/>
            </w:pPr>
            <w:r>
              <w:rPr>
                <w:sz w:val="17"/>
                <w:szCs w:val="17"/>
              </w:rPr>
              <w:t>Theory</w:t>
            </w:r>
          </w:p>
        </w:tc>
      </w:tr>
      <w:tr w:rsidR="00AB17F5" w14:paraId="697933CB" w14:textId="77777777">
        <w:tc>
          <w:tcPr>
            <w:tcW w:w="2880" w:type="dxa"/>
          </w:tcPr>
          <w:p w14:paraId="7A172AD5" w14:textId="77777777" w:rsidR="00AB17F5" w:rsidRDefault="00000000">
            <w:pPr>
              <w:spacing w:before="20" w:after="20" w:line="240" w:lineRule="auto"/>
            </w:pPr>
            <w:r>
              <w:rPr>
                <w:sz w:val="17"/>
                <w:szCs w:val="17"/>
              </w:rPr>
              <w:lastRenderedPageBreak/>
              <w:t xml:space="preserve">Martin et al. The impact of entrustment assessments on feedback and learning: trainee perspectives. </w:t>
            </w:r>
            <w:r>
              <w:rPr>
                <w:i/>
                <w:sz w:val="17"/>
                <w:szCs w:val="17"/>
              </w:rPr>
              <w:t>Med Educ.</w:t>
            </w:r>
            <w:r>
              <w:rPr>
                <w:sz w:val="17"/>
                <w:szCs w:val="17"/>
              </w:rPr>
              <w:t xml:space="preserve"> 2020</w:t>
            </w:r>
          </w:p>
        </w:tc>
        <w:tc>
          <w:tcPr>
            <w:tcW w:w="1248" w:type="dxa"/>
          </w:tcPr>
          <w:p w14:paraId="65D322A4" w14:textId="77777777" w:rsidR="00AB17F5" w:rsidRDefault="00AB17F5">
            <w:pPr>
              <w:spacing w:before="20" w:after="20" w:line="240" w:lineRule="auto"/>
            </w:pPr>
            <w:hyperlink r:id="rId67">
              <w:r>
                <w:rPr>
                  <w:rStyle w:val="Hyperlink"/>
                  <w:sz w:val="17"/>
                  <w:szCs w:val="17"/>
                </w:rPr>
                <w:t>doi:10.1111/medu.14047</w:t>
              </w:r>
            </w:hyperlink>
          </w:p>
        </w:tc>
        <w:tc>
          <w:tcPr>
            <w:tcW w:w="4320" w:type="dxa"/>
          </w:tcPr>
          <w:p w14:paraId="6FE4D1C1" w14:textId="77777777" w:rsidR="00AB17F5" w:rsidRDefault="00000000">
            <w:pPr>
              <w:spacing w:before="20" w:after="20" w:line="240" w:lineRule="auto"/>
            </w:pPr>
            <w:r>
              <w:rPr>
                <w:sz w:val="17"/>
                <w:szCs w:val="17"/>
              </w:rPr>
              <w:t>Tensions of EPA/entrustment assessment: standardisation vs flexibility, learning vs performing, "assessment fatigue"; trainees value verbal feedback over scores.</w:t>
            </w:r>
          </w:p>
        </w:tc>
        <w:tc>
          <w:tcPr>
            <w:tcW w:w="1152" w:type="dxa"/>
          </w:tcPr>
          <w:p w14:paraId="384FD3B2" w14:textId="77777777" w:rsidR="00AB17F5" w:rsidRDefault="00000000">
            <w:pPr>
              <w:spacing w:before="20" w:after="20" w:line="240" w:lineRule="auto"/>
            </w:pPr>
            <w:r>
              <w:rPr>
                <w:sz w:val="17"/>
                <w:szCs w:val="17"/>
              </w:rPr>
              <w:t>Evidence</w:t>
            </w:r>
          </w:p>
        </w:tc>
      </w:tr>
      <w:tr w:rsidR="00AB17F5" w14:paraId="7031C592" w14:textId="77777777">
        <w:tc>
          <w:tcPr>
            <w:tcW w:w="2880" w:type="dxa"/>
          </w:tcPr>
          <w:p w14:paraId="69C4F4AB" w14:textId="77777777" w:rsidR="00AB17F5" w:rsidRDefault="00000000">
            <w:pPr>
              <w:spacing w:before="20" w:after="20" w:line="240" w:lineRule="auto"/>
            </w:pPr>
            <w:r>
              <w:rPr>
                <w:sz w:val="17"/>
                <w:szCs w:val="17"/>
              </w:rPr>
              <w:t xml:space="preserve">Ahn et al. Only as strong as the weakest link: resident perspectives on EPAs. </w:t>
            </w:r>
            <w:r>
              <w:rPr>
                <w:i/>
                <w:sz w:val="17"/>
                <w:szCs w:val="17"/>
              </w:rPr>
              <w:t>J Grad Med Educ.</w:t>
            </w:r>
            <w:r>
              <w:rPr>
                <w:sz w:val="17"/>
                <w:szCs w:val="17"/>
              </w:rPr>
              <w:t xml:space="preserve"> 2023</w:t>
            </w:r>
          </w:p>
        </w:tc>
        <w:tc>
          <w:tcPr>
            <w:tcW w:w="1248" w:type="dxa"/>
          </w:tcPr>
          <w:p w14:paraId="43EB42FA" w14:textId="77777777" w:rsidR="00AB17F5" w:rsidRDefault="00AB17F5">
            <w:pPr>
              <w:spacing w:before="20" w:after="20" w:line="240" w:lineRule="auto"/>
            </w:pPr>
            <w:hyperlink r:id="rId68">
              <w:r>
                <w:rPr>
                  <w:rStyle w:val="Hyperlink"/>
                  <w:sz w:val="17"/>
                  <w:szCs w:val="17"/>
                </w:rPr>
                <w:t>doi:10.4300/JGME-D-23-00204.1</w:t>
              </w:r>
            </w:hyperlink>
          </w:p>
        </w:tc>
        <w:tc>
          <w:tcPr>
            <w:tcW w:w="4320" w:type="dxa"/>
          </w:tcPr>
          <w:p w14:paraId="33753827" w14:textId="77777777" w:rsidR="00AB17F5" w:rsidRDefault="00000000">
            <w:pPr>
              <w:spacing w:before="20" w:after="20" w:line="240" w:lineRule="auto"/>
            </w:pPr>
            <w:r>
              <w:rPr>
                <w:sz w:val="17"/>
                <w:szCs w:val="17"/>
              </w:rPr>
              <w:t xml:space="preserve">Residents are polarised — EPAs are valued </w:t>
            </w:r>
            <w:r>
              <w:rPr>
                <w:i/>
                <w:sz w:val="17"/>
                <w:szCs w:val="17"/>
              </w:rPr>
              <w:t>or</w:t>
            </w:r>
            <w:r>
              <w:rPr>
                <w:sz w:val="17"/>
                <w:szCs w:val="17"/>
              </w:rPr>
              <w:t xml:space="preserve"> onerous — depending on program messaging, assessor buy-in, and real-time (vs delayed) assessment.</w:t>
            </w:r>
          </w:p>
        </w:tc>
        <w:tc>
          <w:tcPr>
            <w:tcW w:w="1152" w:type="dxa"/>
          </w:tcPr>
          <w:p w14:paraId="32F80703" w14:textId="77777777" w:rsidR="00AB17F5" w:rsidRDefault="00000000">
            <w:pPr>
              <w:spacing w:before="20" w:after="20" w:line="240" w:lineRule="auto"/>
            </w:pPr>
            <w:r>
              <w:rPr>
                <w:sz w:val="17"/>
                <w:szCs w:val="17"/>
              </w:rPr>
              <w:t>Evidence</w:t>
            </w:r>
          </w:p>
        </w:tc>
      </w:tr>
      <w:tr w:rsidR="00AB17F5" w14:paraId="4145EC8A" w14:textId="77777777">
        <w:tc>
          <w:tcPr>
            <w:tcW w:w="2880" w:type="dxa"/>
          </w:tcPr>
          <w:p w14:paraId="407556D1" w14:textId="77777777" w:rsidR="00AB17F5" w:rsidRDefault="00000000">
            <w:pPr>
              <w:spacing w:before="20" w:after="20" w:line="240" w:lineRule="auto"/>
            </w:pPr>
            <w:proofErr w:type="spellStart"/>
            <w:r>
              <w:rPr>
                <w:sz w:val="17"/>
                <w:szCs w:val="17"/>
              </w:rPr>
              <w:t>Branfield</w:t>
            </w:r>
            <w:proofErr w:type="spellEnd"/>
            <w:r>
              <w:rPr>
                <w:sz w:val="17"/>
                <w:szCs w:val="17"/>
              </w:rPr>
              <w:t xml:space="preserve"> Day et al. Canadian resident experiences with CBME. </w:t>
            </w:r>
            <w:r>
              <w:rPr>
                <w:i/>
                <w:sz w:val="17"/>
                <w:szCs w:val="17"/>
              </w:rPr>
              <w:t>Can Med Educ J.</w:t>
            </w:r>
            <w:r>
              <w:rPr>
                <w:sz w:val="17"/>
                <w:szCs w:val="17"/>
              </w:rPr>
              <w:t xml:space="preserve"> 2022</w:t>
            </w:r>
          </w:p>
        </w:tc>
        <w:tc>
          <w:tcPr>
            <w:tcW w:w="1248" w:type="dxa"/>
          </w:tcPr>
          <w:p w14:paraId="7090759A" w14:textId="77777777" w:rsidR="00AB17F5" w:rsidRDefault="00AB17F5">
            <w:pPr>
              <w:spacing w:before="20" w:after="20" w:line="240" w:lineRule="auto"/>
            </w:pPr>
            <w:hyperlink r:id="rId69">
              <w:r>
                <w:rPr>
                  <w:rStyle w:val="Hyperlink"/>
                  <w:sz w:val="17"/>
                  <w:szCs w:val="17"/>
                </w:rPr>
                <w:t>doi:10.36834/cmej.72765</w:t>
              </w:r>
            </w:hyperlink>
          </w:p>
        </w:tc>
        <w:tc>
          <w:tcPr>
            <w:tcW w:w="4320" w:type="dxa"/>
          </w:tcPr>
          <w:p w14:paraId="70FC8170" w14:textId="77777777" w:rsidR="00AB17F5" w:rsidRDefault="00000000">
            <w:pPr>
              <w:spacing w:before="20" w:after="20" w:line="240" w:lineRule="auto"/>
            </w:pPr>
            <w:r>
              <w:rPr>
                <w:sz w:val="17"/>
                <w:szCs w:val="17"/>
              </w:rPr>
              <w:t>Residents support CBME in theory but report administrative burden, learning overshadowed by assessment, variable feedback, and "gaming".</w:t>
            </w:r>
          </w:p>
        </w:tc>
        <w:tc>
          <w:tcPr>
            <w:tcW w:w="1152" w:type="dxa"/>
          </w:tcPr>
          <w:p w14:paraId="21FEA67E" w14:textId="77777777" w:rsidR="00AB17F5" w:rsidRDefault="00000000">
            <w:pPr>
              <w:spacing w:before="20" w:after="20" w:line="240" w:lineRule="auto"/>
            </w:pPr>
            <w:r>
              <w:rPr>
                <w:sz w:val="17"/>
                <w:szCs w:val="17"/>
              </w:rPr>
              <w:t>Evidence</w:t>
            </w:r>
          </w:p>
        </w:tc>
      </w:tr>
      <w:tr w:rsidR="00AB17F5" w14:paraId="64FABFA7" w14:textId="77777777">
        <w:tc>
          <w:tcPr>
            <w:tcW w:w="2880" w:type="dxa"/>
          </w:tcPr>
          <w:p w14:paraId="32904FE3" w14:textId="77777777" w:rsidR="00AB17F5" w:rsidRDefault="00000000">
            <w:pPr>
              <w:spacing w:before="20" w:after="20" w:line="240" w:lineRule="auto"/>
            </w:pPr>
            <w:r>
              <w:rPr>
                <w:sz w:val="17"/>
                <w:szCs w:val="17"/>
              </w:rPr>
              <w:t xml:space="preserve">Mann et al. Resident perceptions of CBME. </w:t>
            </w:r>
            <w:r>
              <w:rPr>
                <w:i/>
                <w:sz w:val="17"/>
                <w:szCs w:val="17"/>
              </w:rPr>
              <w:t>Can Med Educ J.</w:t>
            </w:r>
            <w:r>
              <w:rPr>
                <w:sz w:val="17"/>
                <w:szCs w:val="17"/>
              </w:rPr>
              <w:t xml:space="preserve"> 2020</w:t>
            </w:r>
          </w:p>
        </w:tc>
        <w:tc>
          <w:tcPr>
            <w:tcW w:w="1248" w:type="dxa"/>
          </w:tcPr>
          <w:p w14:paraId="65558490" w14:textId="77777777" w:rsidR="00AB17F5" w:rsidRDefault="00AB17F5">
            <w:pPr>
              <w:spacing w:before="20" w:after="20" w:line="240" w:lineRule="auto"/>
            </w:pPr>
            <w:hyperlink r:id="rId70">
              <w:r>
                <w:rPr>
                  <w:rStyle w:val="Hyperlink"/>
                  <w:sz w:val="17"/>
                  <w:szCs w:val="17"/>
                </w:rPr>
                <w:t>doi:10.36834/cmej.67958</w:t>
              </w:r>
            </w:hyperlink>
          </w:p>
        </w:tc>
        <w:tc>
          <w:tcPr>
            <w:tcW w:w="4320" w:type="dxa"/>
          </w:tcPr>
          <w:p w14:paraId="1CCB84FF" w14:textId="77777777" w:rsidR="00AB17F5" w:rsidRDefault="00000000">
            <w:pPr>
              <w:spacing w:before="20" w:after="20" w:line="240" w:lineRule="auto"/>
            </w:pPr>
            <w:r>
              <w:rPr>
                <w:sz w:val="17"/>
                <w:szCs w:val="17"/>
              </w:rPr>
              <w:t>Pre-CBME perceptions: time-to-complete-assessments and clarity of competence are key concerns; rumour shapes expectations.</w:t>
            </w:r>
          </w:p>
        </w:tc>
        <w:tc>
          <w:tcPr>
            <w:tcW w:w="1152" w:type="dxa"/>
          </w:tcPr>
          <w:p w14:paraId="46B9E7B4" w14:textId="77777777" w:rsidR="00AB17F5" w:rsidRDefault="00000000">
            <w:pPr>
              <w:spacing w:before="20" w:after="20" w:line="240" w:lineRule="auto"/>
            </w:pPr>
            <w:r>
              <w:rPr>
                <w:sz w:val="17"/>
                <w:szCs w:val="17"/>
              </w:rPr>
              <w:t>Evidence</w:t>
            </w:r>
          </w:p>
        </w:tc>
      </w:tr>
      <w:tr w:rsidR="00AB17F5" w14:paraId="27549BA8" w14:textId="77777777">
        <w:tc>
          <w:tcPr>
            <w:tcW w:w="2880" w:type="dxa"/>
          </w:tcPr>
          <w:p w14:paraId="02974CA7" w14:textId="77777777" w:rsidR="00AB17F5" w:rsidRDefault="00000000">
            <w:pPr>
              <w:spacing w:before="20" w:after="20" w:line="240" w:lineRule="auto"/>
            </w:pPr>
            <w:r>
              <w:rPr>
                <w:sz w:val="17"/>
                <w:szCs w:val="17"/>
              </w:rPr>
              <w:t xml:space="preserve">LaDonna et al. Staging a performance: learners' perceptions about direct observation. </w:t>
            </w:r>
            <w:r>
              <w:rPr>
                <w:i/>
                <w:sz w:val="17"/>
                <w:szCs w:val="17"/>
              </w:rPr>
              <w:t>Med Educ.</w:t>
            </w:r>
            <w:r>
              <w:rPr>
                <w:sz w:val="17"/>
                <w:szCs w:val="17"/>
              </w:rPr>
              <w:t xml:space="preserve"> 2017</w:t>
            </w:r>
          </w:p>
        </w:tc>
        <w:tc>
          <w:tcPr>
            <w:tcW w:w="1248" w:type="dxa"/>
          </w:tcPr>
          <w:p w14:paraId="01645420" w14:textId="77777777" w:rsidR="00AB17F5" w:rsidRDefault="00AB17F5">
            <w:pPr>
              <w:spacing w:before="20" w:after="20" w:line="240" w:lineRule="auto"/>
            </w:pPr>
            <w:hyperlink r:id="rId71">
              <w:r>
                <w:rPr>
                  <w:rStyle w:val="Hyperlink"/>
                  <w:sz w:val="17"/>
                  <w:szCs w:val="17"/>
                </w:rPr>
                <w:t>doi:10.1111/medu.13232</w:t>
              </w:r>
            </w:hyperlink>
          </w:p>
        </w:tc>
        <w:tc>
          <w:tcPr>
            <w:tcW w:w="4320" w:type="dxa"/>
          </w:tcPr>
          <w:p w14:paraId="00FBFE9D" w14:textId="77777777" w:rsidR="00AB17F5" w:rsidRDefault="00000000">
            <w:pPr>
              <w:spacing w:before="20" w:after="20" w:line="240" w:lineRule="auto"/>
            </w:pPr>
            <w:r>
              <w:rPr>
                <w:sz w:val="17"/>
                <w:szCs w:val="17"/>
              </w:rPr>
              <w:t xml:space="preserve">Direct observation, though endorsed, creates anxiety and can prompt an inauthentic "textbook" performance — a validity </w:t>
            </w:r>
            <w:r>
              <w:rPr>
                <w:i/>
                <w:sz w:val="17"/>
                <w:szCs w:val="17"/>
              </w:rPr>
              <w:t>and</w:t>
            </w:r>
            <w:r>
              <w:rPr>
                <w:sz w:val="17"/>
                <w:szCs w:val="17"/>
              </w:rPr>
              <w:t xml:space="preserve"> burden caution.</w:t>
            </w:r>
          </w:p>
        </w:tc>
        <w:tc>
          <w:tcPr>
            <w:tcW w:w="1152" w:type="dxa"/>
          </w:tcPr>
          <w:p w14:paraId="5E636CDF" w14:textId="77777777" w:rsidR="00AB17F5" w:rsidRDefault="00000000">
            <w:pPr>
              <w:spacing w:before="20" w:after="20" w:line="240" w:lineRule="auto"/>
            </w:pPr>
            <w:r>
              <w:rPr>
                <w:sz w:val="17"/>
                <w:szCs w:val="17"/>
              </w:rPr>
              <w:t>Evidence</w:t>
            </w:r>
          </w:p>
        </w:tc>
      </w:tr>
      <w:tr w:rsidR="00AB17F5" w14:paraId="71F38C72" w14:textId="77777777">
        <w:tc>
          <w:tcPr>
            <w:tcW w:w="2880" w:type="dxa"/>
          </w:tcPr>
          <w:p w14:paraId="73E4569E" w14:textId="77777777" w:rsidR="00AB17F5" w:rsidRDefault="00000000">
            <w:pPr>
              <w:spacing w:before="20" w:after="20" w:line="240" w:lineRule="auto"/>
            </w:pPr>
            <w:r>
              <w:rPr>
                <w:sz w:val="17"/>
                <w:szCs w:val="17"/>
              </w:rPr>
              <w:t xml:space="preserve">Bindal, Wall, Goodyear. Trainee doctors' views on WBAs: are they just a tick box exercise? </w:t>
            </w:r>
            <w:r>
              <w:rPr>
                <w:i/>
                <w:sz w:val="17"/>
                <w:szCs w:val="17"/>
              </w:rPr>
              <w:t>Med Teach.</w:t>
            </w:r>
            <w:r>
              <w:rPr>
                <w:sz w:val="17"/>
                <w:szCs w:val="17"/>
              </w:rPr>
              <w:t xml:space="preserve"> 2011</w:t>
            </w:r>
          </w:p>
        </w:tc>
        <w:tc>
          <w:tcPr>
            <w:tcW w:w="1248" w:type="dxa"/>
          </w:tcPr>
          <w:p w14:paraId="19DBDC65" w14:textId="77777777" w:rsidR="00AB17F5" w:rsidRDefault="00AB17F5">
            <w:pPr>
              <w:spacing w:before="20" w:after="20" w:line="240" w:lineRule="auto"/>
            </w:pPr>
            <w:hyperlink r:id="rId72">
              <w:r>
                <w:rPr>
                  <w:rStyle w:val="Hyperlink"/>
                  <w:sz w:val="17"/>
                  <w:szCs w:val="17"/>
                </w:rPr>
                <w:t>doi:10.3109/0142159X.2011.558140</w:t>
              </w:r>
            </w:hyperlink>
          </w:p>
        </w:tc>
        <w:tc>
          <w:tcPr>
            <w:tcW w:w="4320" w:type="dxa"/>
          </w:tcPr>
          <w:p w14:paraId="22A2BEDF" w14:textId="77777777" w:rsidR="00AB17F5" w:rsidRDefault="00000000">
            <w:pPr>
              <w:spacing w:before="20" w:after="20" w:line="240" w:lineRule="auto"/>
            </w:pPr>
            <w:r>
              <w:rPr>
                <w:sz w:val="17"/>
                <w:szCs w:val="17"/>
              </w:rPr>
              <w:t>Early, much-cited evidence that WBAs are widely experienced as a "tick-box exercise" when not embedded in genuine feedback.</w:t>
            </w:r>
          </w:p>
        </w:tc>
        <w:tc>
          <w:tcPr>
            <w:tcW w:w="1152" w:type="dxa"/>
          </w:tcPr>
          <w:p w14:paraId="588142FB" w14:textId="77777777" w:rsidR="00AB17F5" w:rsidRDefault="00000000">
            <w:pPr>
              <w:spacing w:before="20" w:after="20" w:line="240" w:lineRule="auto"/>
            </w:pPr>
            <w:r>
              <w:rPr>
                <w:sz w:val="17"/>
                <w:szCs w:val="17"/>
              </w:rPr>
              <w:t>Evidence</w:t>
            </w:r>
          </w:p>
        </w:tc>
      </w:tr>
      <w:tr w:rsidR="00AB17F5" w14:paraId="7D03A750" w14:textId="77777777">
        <w:tc>
          <w:tcPr>
            <w:tcW w:w="2880" w:type="dxa"/>
          </w:tcPr>
          <w:p w14:paraId="275FD585" w14:textId="77777777" w:rsidR="00AB17F5" w:rsidRDefault="00000000">
            <w:pPr>
              <w:spacing w:before="20" w:after="20" w:line="240" w:lineRule="auto"/>
            </w:pPr>
            <w:r>
              <w:rPr>
                <w:sz w:val="17"/>
                <w:szCs w:val="17"/>
              </w:rPr>
              <w:t xml:space="preserve">RANZCP. </w:t>
            </w:r>
            <w:r>
              <w:rPr>
                <w:i/>
                <w:sz w:val="17"/>
                <w:szCs w:val="17"/>
              </w:rPr>
              <w:t>Burden of Assessment in the RANZCP Fellowship Program</w:t>
            </w:r>
            <w:r>
              <w:rPr>
                <w:sz w:val="17"/>
                <w:szCs w:val="17"/>
              </w:rPr>
              <w:t xml:space="preserve"> (trainee/supervisor survey, 2024)</w:t>
            </w:r>
          </w:p>
        </w:tc>
        <w:tc>
          <w:tcPr>
            <w:tcW w:w="1248" w:type="dxa"/>
          </w:tcPr>
          <w:p w14:paraId="228F1C92" w14:textId="77777777" w:rsidR="00AB17F5" w:rsidRDefault="00000000">
            <w:pPr>
              <w:spacing w:before="20" w:after="20" w:line="240" w:lineRule="auto"/>
            </w:pPr>
            <w:r>
              <w:rPr>
                <w:sz w:val="17"/>
                <w:szCs w:val="17"/>
              </w:rPr>
              <w:t>ranzcp.org</w:t>
            </w:r>
          </w:p>
        </w:tc>
        <w:tc>
          <w:tcPr>
            <w:tcW w:w="4320" w:type="dxa"/>
          </w:tcPr>
          <w:p w14:paraId="6747CAEE" w14:textId="77777777" w:rsidR="00AB17F5" w:rsidRDefault="00000000">
            <w:pPr>
              <w:spacing w:before="20" w:after="20" w:line="240" w:lineRule="auto"/>
            </w:pPr>
            <w:r>
              <w:rPr>
                <w:sz w:val="17"/>
                <w:szCs w:val="17"/>
              </w:rPr>
              <w:t xml:space="preserve">The College's survey responding to Condition 23 </w:t>
            </w:r>
            <w:r>
              <w:rPr>
                <w:i/>
                <w:sz w:val="17"/>
                <w:szCs w:val="17"/>
              </w:rPr>
              <w:t>(PDF blocked automated retrieval; supply to store).</w:t>
            </w:r>
          </w:p>
        </w:tc>
        <w:tc>
          <w:tcPr>
            <w:tcW w:w="1152" w:type="dxa"/>
          </w:tcPr>
          <w:p w14:paraId="4840E7A6" w14:textId="77777777" w:rsidR="00AB17F5" w:rsidRDefault="00000000">
            <w:pPr>
              <w:spacing w:before="20" w:after="20" w:line="240" w:lineRule="auto"/>
            </w:pPr>
            <w:r>
              <w:rPr>
                <w:sz w:val="17"/>
                <w:szCs w:val="17"/>
              </w:rPr>
              <w:t>RANZCP internal</w:t>
            </w:r>
          </w:p>
        </w:tc>
      </w:tr>
      <w:tr w:rsidR="00AB17F5" w14:paraId="220AE8C0" w14:textId="77777777">
        <w:tc>
          <w:tcPr>
            <w:tcW w:w="2880" w:type="dxa"/>
          </w:tcPr>
          <w:p w14:paraId="1036AA5E" w14:textId="423003E1" w:rsidR="00AB17F5" w:rsidRDefault="00000000">
            <w:pPr>
              <w:spacing w:before="20" w:after="20" w:line="240" w:lineRule="auto"/>
            </w:pPr>
            <w:r>
              <w:rPr>
                <w:sz w:val="17"/>
                <w:szCs w:val="17"/>
              </w:rPr>
              <w:t xml:space="preserve">Phinney et al. Beyond checking boxes: tensions with a workplace-based assessment tool for formative assessment in clerkships. </w:t>
            </w:r>
            <w:proofErr w:type="spellStart"/>
            <w:r>
              <w:rPr>
                <w:i/>
                <w:sz w:val="17"/>
                <w:szCs w:val="17"/>
              </w:rPr>
              <w:t>Acad</w:t>
            </w:r>
            <w:proofErr w:type="spellEnd"/>
            <w:r>
              <w:rPr>
                <w:i/>
                <w:sz w:val="17"/>
                <w:szCs w:val="17"/>
              </w:rPr>
              <w:t xml:space="preserve"> Med.</w:t>
            </w:r>
            <w:r>
              <w:rPr>
                <w:sz w:val="17"/>
                <w:szCs w:val="17"/>
              </w:rPr>
              <w:t xml:space="preserve"> 2022;97(10):1511–1520</w:t>
            </w:r>
          </w:p>
        </w:tc>
        <w:tc>
          <w:tcPr>
            <w:tcW w:w="1248" w:type="dxa"/>
          </w:tcPr>
          <w:p w14:paraId="1C3286D5" w14:textId="77777777" w:rsidR="00AB17F5" w:rsidRDefault="00AB17F5">
            <w:pPr>
              <w:spacing w:before="20" w:after="20" w:line="240" w:lineRule="auto"/>
            </w:pPr>
            <w:hyperlink r:id="rId73">
              <w:r>
                <w:rPr>
                  <w:rStyle w:val="Hyperlink"/>
                  <w:sz w:val="17"/>
                  <w:szCs w:val="17"/>
                </w:rPr>
                <w:t>doi:10.1097/ACM.0000000000004774</w:t>
              </w:r>
            </w:hyperlink>
          </w:p>
        </w:tc>
        <w:tc>
          <w:tcPr>
            <w:tcW w:w="4320" w:type="dxa"/>
          </w:tcPr>
          <w:p w14:paraId="596B5313" w14:textId="77777777" w:rsidR="00AB17F5" w:rsidRDefault="00000000">
            <w:pPr>
              <w:spacing w:before="20" w:after="20" w:line="240" w:lineRule="auto"/>
            </w:pPr>
            <w:r>
              <w:rPr>
                <w:sz w:val="17"/>
                <w:szCs w:val="17"/>
              </w:rPr>
              <w:t>Trainee/faculty tensions with WBA tools — the 'tick-box' problem in practice.</w:t>
            </w:r>
          </w:p>
        </w:tc>
        <w:tc>
          <w:tcPr>
            <w:tcW w:w="1152" w:type="dxa"/>
          </w:tcPr>
          <w:p w14:paraId="055ED480" w14:textId="77777777" w:rsidR="00AB17F5" w:rsidRDefault="00000000">
            <w:pPr>
              <w:spacing w:before="20" w:after="20" w:line="240" w:lineRule="auto"/>
            </w:pPr>
            <w:r>
              <w:rPr>
                <w:sz w:val="17"/>
                <w:szCs w:val="17"/>
              </w:rPr>
              <w:t>Evidence</w:t>
            </w:r>
          </w:p>
        </w:tc>
      </w:tr>
    </w:tbl>
    <w:p w14:paraId="178FD4B6" w14:textId="77777777" w:rsidR="00AB17F5" w:rsidRDefault="00AB17F5"/>
    <w:p w14:paraId="03DFFE1F" w14:textId="77777777" w:rsidR="00AB17F5" w:rsidRDefault="00AB17F5">
      <w:pPr>
        <w:pBdr>
          <w:bottom w:val="single" w:sz="4" w:space="1" w:color="CCCCCC"/>
        </w:pBdr>
      </w:pPr>
    </w:p>
    <w:p w14:paraId="4324A0FC" w14:textId="77777777" w:rsidR="00AB17F5" w:rsidRDefault="00000000">
      <w:pPr>
        <w:pStyle w:val="Heading1"/>
      </w:pPr>
      <w:r>
        <w:t>7. Feedback</w:t>
      </w:r>
    </w:p>
    <w:p w14:paraId="6F40C673" w14:textId="77777777" w:rsidR="00AB17F5" w:rsidRDefault="00000000">
      <w:r>
        <w:t xml:space="preserve">Workplace-based assessment and entrustment are only as good as the feedback around them. The classic principles (Ende), the dominant model (Hattie &amp; Timperley), a clarified definition (van de Ridder), and a relationship-centred coaching model (R2C2) together argue for reframing the CCPR's data as </w:t>
      </w:r>
      <w:r>
        <w:rPr>
          <w:i/>
        </w:rPr>
        <w:t>coaching for growth</w:t>
      </w:r>
      <w:r>
        <w:t xml:space="preserve"> — which is also the practical antidote to the assessment-as-surveillance risk in §6.</w:t>
      </w:r>
    </w:p>
    <w:tbl>
      <w:tblPr>
        <w:tblW w:w="9600" w:type="dxa"/>
        <w:tblInd w:w="1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CellMar>
          <w:left w:w="10" w:type="dxa"/>
          <w:right w:w="10" w:type="dxa"/>
        </w:tblCellMar>
        <w:tblLook w:val="07E0" w:firstRow="1" w:lastRow="1" w:firstColumn="1" w:lastColumn="1" w:noHBand="1" w:noVBand="1"/>
      </w:tblPr>
      <w:tblGrid>
        <w:gridCol w:w="2386"/>
        <w:gridCol w:w="2886"/>
        <w:gridCol w:w="3327"/>
        <w:gridCol w:w="1001"/>
      </w:tblGrid>
      <w:tr w:rsidR="00AB17F5" w14:paraId="7F4BED89" w14:textId="77777777" w:rsidTr="009D2F18">
        <w:trPr>
          <w:tblHeader/>
        </w:trPr>
        <w:tc>
          <w:tcPr>
            <w:tcW w:w="2386" w:type="dxa"/>
            <w:shd w:val="clear" w:color="auto" w:fill="EFE9F4"/>
          </w:tcPr>
          <w:p w14:paraId="230A20FE" w14:textId="77777777" w:rsidR="00AB17F5" w:rsidRDefault="00000000">
            <w:pPr>
              <w:spacing w:before="20" w:after="20" w:line="240" w:lineRule="auto"/>
            </w:pPr>
            <w:r>
              <w:rPr>
                <w:b/>
                <w:sz w:val="17"/>
                <w:szCs w:val="17"/>
              </w:rPr>
              <w:t>Reference</w:t>
            </w:r>
          </w:p>
        </w:tc>
        <w:tc>
          <w:tcPr>
            <w:tcW w:w="2886" w:type="dxa"/>
            <w:shd w:val="clear" w:color="auto" w:fill="EFE9F4"/>
          </w:tcPr>
          <w:p w14:paraId="56A06373" w14:textId="77777777" w:rsidR="00AB17F5" w:rsidRDefault="00000000">
            <w:pPr>
              <w:spacing w:before="20" w:after="20" w:line="240" w:lineRule="auto"/>
            </w:pPr>
            <w:r>
              <w:rPr>
                <w:b/>
                <w:sz w:val="17"/>
                <w:szCs w:val="17"/>
              </w:rPr>
              <w:t>Link</w:t>
            </w:r>
          </w:p>
        </w:tc>
        <w:tc>
          <w:tcPr>
            <w:tcW w:w="3327" w:type="dxa"/>
            <w:shd w:val="clear" w:color="auto" w:fill="EFE9F4"/>
          </w:tcPr>
          <w:p w14:paraId="62140EF0" w14:textId="77777777" w:rsidR="00AB17F5" w:rsidRDefault="00000000">
            <w:pPr>
              <w:spacing w:before="20" w:after="20" w:line="240" w:lineRule="auto"/>
            </w:pPr>
            <w:r>
              <w:rPr>
                <w:b/>
                <w:sz w:val="17"/>
                <w:szCs w:val="17"/>
              </w:rPr>
              <w:t>What it tells us</w:t>
            </w:r>
          </w:p>
        </w:tc>
        <w:tc>
          <w:tcPr>
            <w:tcW w:w="1001" w:type="dxa"/>
            <w:shd w:val="clear" w:color="auto" w:fill="EFE9F4"/>
          </w:tcPr>
          <w:p w14:paraId="368DF710" w14:textId="77777777" w:rsidR="00AB17F5" w:rsidRDefault="00000000">
            <w:pPr>
              <w:spacing w:before="20" w:after="20" w:line="240" w:lineRule="auto"/>
            </w:pPr>
            <w:r>
              <w:rPr>
                <w:b/>
                <w:sz w:val="17"/>
                <w:szCs w:val="17"/>
              </w:rPr>
              <w:t>Category</w:t>
            </w:r>
          </w:p>
        </w:tc>
      </w:tr>
      <w:tr w:rsidR="00AB17F5" w14:paraId="4CAC392F" w14:textId="77777777" w:rsidTr="009D2F18">
        <w:tc>
          <w:tcPr>
            <w:tcW w:w="2386" w:type="dxa"/>
          </w:tcPr>
          <w:p w14:paraId="1EE4A0F9" w14:textId="77777777" w:rsidR="00AB17F5" w:rsidRDefault="00000000">
            <w:pPr>
              <w:spacing w:before="20" w:after="20" w:line="240" w:lineRule="auto"/>
            </w:pPr>
            <w:r>
              <w:rPr>
                <w:sz w:val="17"/>
                <w:szCs w:val="17"/>
              </w:rPr>
              <w:t xml:space="preserve">Ende. Feedback in clinical medical education. </w:t>
            </w:r>
            <w:r>
              <w:rPr>
                <w:i/>
                <w:sz w:val="17"/>
                <w:szCs w:val="17"/>
              </w:rPr>
              <w:t>JAMA.</w:t>
            </w:r>
            <w:r>
              <w:rPr>
                <w:sz w:val="17"/>
                <w:szCs w:val="17"/>
              </w:rPr>
              <w:t xml:space="preserve"> 1983</w:t>
            </w:r>
          </w:p>
        </w:tc>
        <w:tc>
          <w:tcPr>
            <w:tcW w:w="2886" w:type="dxa"/>
          </w:tcPr>
          <w:p w14:paraId="44004234" w14:textId="77777777" w:rsidR="00AB17F5" w:rsidRDefault="00AB17F5">
            <w:pPr>
              <w:spacing w:before="20" w:after="20" w:line="240" w:lineRule="auto"/>
            </w:pPr>
            <w:hyperlink r:id="rId74">
              <w:r>
                <w:rPr>
                  <w:rStyle w:val="Hyperlink"/>
                  <w:sz w:val="17"/>
                  <w:szCs w:val="17"/>
                </w:rPr>
                <w:t>doi:10.1001/jama.1983.03340060055026</w:t>
              </w:r>
            </w:hyperlink>
          </w:p>
        </w:tc>
        <w:tc>
          <w:tcPr>
            <w:tcW w:w="3327" w:type="dxa"/>
          </w:tcPr>
          <w:p w14:paraId="58F8A53F" w14:textId="77777777" w:rsidR="00AB17F5" w:rsidRDefault="00000000">
            <w:pPr>
              <w:spacing w:before="20" w:after="20" w:line="240" w:lineRule="auto"/>
            </w:pPr>
            <w:r>
              <w:rPr>
                <w:sz w:val="17"/>
                <w:szCs w:val="17"/>
              </w:rPr>
              <w:t>The classic statement of feedback principles — timely, specific, based on observed behaviour, focused on remediable actions.</w:t>
            </w:r>
          </w:p>
        </w:tc>
        <w:tc>
          <w:tcPr>
            <w:tcW w:w="1001" w:type="dxa"/>
          </w:tcPr>
          <w:p w14:paraId="55E8525A" w14:textId="77777777" w:rsidR="00AB17F5" w:rsidRDefault="00000000">
            <w:pPr>
              <w:spacing w:before="20" w:after="20" w:line="240" w:lineRule="auto"/>
            </w:pPr>
            <w:r>
              <w:rPr>
                <w:sz w:val="17"/>
                <w:szCs w:val="17"/>
              </w:rPr>
              <w:t>Theory</w:t>
            </w:r>
          </w:p>
        </w:tc>
      </w:tr>
      <w:tr w:rsidR="00AB17F5" w14:paraId="3224AC0F" w14:textId="77777777" w:rsidTr="009D2F18">
        <w:tc>
          <w:tcPr>
            <w:tcW w:w="2386" w:type="dxa"/>
          </w:tcPr>
          <w:p w14:paraId="061AAEE6" w14:textId="77777777" w:rsidR="00AB17F5" w:rsidRDefault="00000000">
            <w:pPr>
              <w:spacing w:before="20" w:after="20" w:line="240" w:lineRule="auto"/>
            </w:pPr>
            <w:r>
              <w:rPr>
                <w:sz w:val="17"/>
                <w:szCs w:val="17"/>
              </w:rPr>
              <w:t xml:space="preserve">Hattie &amp; Timperley. The power of feedback. </w:t>
            </w:r>
            <w:r>
              <w:rPr>
                <w:i/>
                <w:sz w:val="17"/>
                <w:szCs w:val="17"/>
              </w:rPr>
              <w:t>Rev Educ Res.</w:t>
            </w:r>
            <w:r>
              <w:rPr>
                <w:sz w:val="17"/>
                <w:szCs w:val="17"/>
              </w:rPr>
              <w:t xml:space="preserve"> 2007</w:t>
            </w:r>
          </w:p>
        </w:tc>
        <w:tc>
          <w:tcPr>
            <w:tcW w:w="2886" w:type="dxa"/>
          </w:tcPr>
          <w:p w14:paraId="48B45378" w14:textId="77777777" w:rsidR="00AB17F5" w:rsidRDefault="00AB17F5">
            <w:pPr>
              <w:spacing w:before="20" w:after="20" w:line="240" w:lineRule="auto"/>
            </w:pPr>
            <w:hyperlink r:id="rId75">
              <w:r>
                <w:rPr>
                  <w:rStyle w:val="Hyperlink"/>
                  <w:sz w:val="17"/>
                  <w:szCs w:val="17"/>
                </w:rPr>
                <w:t>doi:10.3102/003465430298487</w:t>
              </w:r>
            </w:hyperlink>
          </w:p>
        </w:tc>
        <w:tc>
          <w:tcPr>
            <w:tcW w:w="3327" w:type="dxa"/>
          </w:tcPr>
          <w:p w14:paraId="48F2F8FC" w14:textId="77777777" w:rsidR="00AB17F5" w:rsidRDefault="00000000">
            <w:pPr>
              <w:spacing w:before="20" w:after="20" w:line="240" w:lineRule="auto"/>
            </w:pPr>
            <w:r>
              <w:rPr>
                <w:sz w:val="17"/>
                <w:szCs w:val="17"/>
              </w:rPr>
              <w:t>The most-cited evidence-based model: effective feedback answers feed-up (where am I going?), feed-back (how am I doing?) and feed-forward (what next?).</w:t>
            </w:r>
          </w:p>
        </w:tc>
        <w:tc>
          <w:tcPr>
            <w:tcW w:w="1001" w:type="dxa"/>
          </w:tcPr>
          <w:p w14:paraId="2C46C5F2" w14:textId="77777777" w:rsidR="00AB17F5" w:rsidRDefault="00000000">
            <w:pPr>
              <w:spacing w:before="20" w:after="20" w:line="240" w:lineRule="auto"/>
            </w:pPr>
            <w:r>
              <w:rPr>
                <w:sz w:val="17"/>
                <w:szCs w:val="17"/>
              </w:rPr>
              <w:t>Evidence</w:t>
            </w:r>
          </w:p>
        </w:tc>
      </w:tr>
      <w:tr w:rsidR="00AB17F5" w14:paraId="5374110C" w14:textId="77777777" w:rsidTr="009D2F18">
        <w:tc>
          <w:tcPr>
            <w:tcW w:w="2386" w:type="dxa"/>
          </w:tcPr>
          <w:p w14:paraId="43E97871" w14:textId="77777777" w:rsidR="00AB17F5" w:rsidRDefault="00000000">
            <w:pPr>
              <w:spacing w:before="20" w:after="20" w:line="240" w:lineRule="auto"/>
            </w:pPr>
            <w:r>
              <w:rPr>
                <w:sz w:val="17"/>
                <w:szCs w:val="17"/>
              </w:rPr>
              <w:t xml:space="preserve">van de Ridder et al. What is feedback in clinical education? </w:t>
            </w:r>
            <w:r>
              <w:rPr>
                <w:i/>
                <w:sz w:val="17"/>
                <w:szCs w:val="17"/>
              </w:rPr>
              <w:t>Med Educ.</w:t>
            </w:r>
            <w:r>
              <w:rPr>
                <w:sz w:val="17"/>
                <w:szCs w:val="17"/>
              </w:rPr>
              <w:t xml:space="preserve"> 2008</w:t>
            </w:r>
          </w:p>
        </w:tc>
        <w:tc>
          <w:tcPr>
            <w:tcW w:w="2886" w:type="dxa"/>
          </w:tcPr>
          <w:p w14:paraId="6EBE5B58" w14:textId="77777777" w:rsidR="00AB17F5" w:rsidRDefault="00AB17F5">
            <w:pPr>
              <w:spacing w:before="20" w:after="20" w:line="240" w:lineRule="auto"/>
            </w:pPr>
            <w:hyperlink r:id="rId76">
              <w:r>
                <w:rPr>
                  <w:rStyle w:val="Hyperlink"/>
                  <w:sz w:val="17"/>
                  <w:szCs w:val="17"/>
                </w:rPr>
                <w:t>doi:10.1111/j.1365-2923.</w:t>
              </w:r>
              <w:proofErr w:type="gramStart"/>
              <w:r>
                <w:rPr>
                  <w:rStyle w:val="Hyperlink"/>
                  <w:sz w:val="17"/>
                  <w:szCs w:val="17"/>
                </w:rPr>
                <w:t>2007.02973.x</w:t>
              </w:r>
              <w:proofErr w:type="gramEnd"/>
            </w:hyperlink>
          </w:p>
        </w:tc>
        <w:tc>
          <w:tcPr>
            <w:tcW w:w="3327" w:type="dxa"/>
          </w:tcPr>
          <w:p w14:paraId="17C32613" w14:textId="77777777" w:rsidR="00AB17F5" w:rsidRDefault="00000000">
            <w:pPr>
              <w:spacing w:before="20" w:after="20" w:line="240" w:lineRule="auto"/>
            </w:pPr>
            <w:r>
              <w:rPr>
                <w:sz w:val="17"/>
                <w:szCs w:val="17"/>
              </w:rPr>
              <w:t>Clarifies the contested definition of feedback — specific information comparing performance to a standard, intended to improve. “Based on the review above, we propose to define feedback in clinical education as: Specific information about the comparison between a trainee’s observed performance and a standard, given with the intent to improve the trainee’s performance.”</w:t>
            </w:r>
          </w:p>
        </w:tc>
        <w:tc>
          <w:tcPr>
            <w:tcW w:w="1001" w:type="dxa"/>
          </w:tcPr>
          <w:p w14:paraId="349857FB" w14:textId="77777777" w:rsidR="00AB17F5" w:rsidRDefault="00000000">
            <w:pPr>
              <w:spacing w:before="20" w:after="20" w:line="240" w:lineRule="auto"/>
            </w:pPr>
            <w:r>
              <w:rPr>
                <w:sz w:val="17"/>
                <w:szCs w:val="17"/>
              </w:rPr>
              <w:t>Theory</w:t>
            </w:r>
          </w:p>
        </w:tc>
      </w:tr>
      <w:tr w:rsidR="00AB17F5" w14:paraId="75EFA6C6" w14:textId="77777777" w:rsidTr="009D2F18">
        <w:tc>
          <w:tcPr>
            <w:tcW w:w="2386" w:type="dxa"/>
          </w:tcPr>
          <w:p w14:paraId="26BEE389" w14:textId="77777777" w:rsidR="00AB17F5" w:rsidRDefault="00000000">
            <w:pPr>
              <w:spacing w:before="20" w:after="20" w:line="240" w:lineRule="auto"/>
            </w:pPr>
            <w:r>
              <w:rPr>
                <w:sz w:val="17"/>
                <w:szCs w:val="17"/>
              </w:rPr>
              <w:t xml:space="preserve">Sargeant et al. The R2C2 facilitated reflective feedback model. </w:t>
            </w:r>
            <w:proofErr w:type="spellStart"/>
            <w:r>
              <w:rPr>
                <w:i/>
                <w:sz w:val="17"/>
                <w:szCs w:val="17"/>
              </w:rPr>
              <w:t>Acad</w:t>
            </w:r>
            <w:proofErr w:type="spellEnd"/>
            <w:r>
              <w:rPr>
                <w:i/>
                <w:sz w:val="17"/>
                <w:szCs w:val="17"/>
              </w:rPr>
              <w:t xml:space="preserve"> Med.</w:t>
            </w:r>
            <w:r>
              <w:rPr>
                <w:sz w:val="17"/>
                <w:szCs w:val="17"/>
              </w:rPr>
              <w:t xml:space="preserve"> 2015</w:t>
            </w:r>
          </w:p>
        </w:tc>
        <w:tc>
          <w:tcPr>
            <w:tcW w:w="2886" w:type="dxa"/>
          </w:tcPr>
          <w:p w14:paraId="042BC103" w14:textId="77777777" w:rsidR="00AB17F5" w:rsidRDefault="00AB17F5">
            <w:pPr>
              <w:spacing w:before="20" w:after="20" w:line="240" w:lineRule="auto"/>
            </w:pPr>
            <w:hyperlink r:id="rId77">
              <w:r>
                <w:rPr>
                  <w:rStyle w:val="Hyperlink"/>
                  <w:sz w:val="17"/>
                  <w:szCs w:val="17"/>
                </w:rPr>
                <w:t>doi:10.1097/ACM.0000000000000809</w:t>
              </w:r>
            </w:hyperlink>
          </w:p>
        </w:tc>
        <w:tc>
          <w:tcPr>
            <w:tcW w:w="3327" w:type="dxa"/>
          </w:tcPr>
          <w:p w14:paraId="1D983315" w14:textId="77777777" w:rsidR="00AB17F5" w:rsidRDefault="00000000">
            <w:pPr>
              <w:spacing w:before="20" w:after="20" w:line="240" w:lineRule="auto"/>
            </w:pPr>
            <w:r>
              <w:rPr>
                <w:sz w:val="17"/>
                <w:szCs w:val="17"/>
              </w:rPr>
              <w:t>An evidence- and theory-based coaching model (Relationship → Reactions → Content → Coaching) — well matched to psychiatry's reflective, alliance-based supervision.</w:t>
            </w:r>
          </w:p>
        </w:tc>
        <w:tc>
          <w:tcPr>
            <w:tcW w:w="1001" w:type="dxa"/>
          </w:tcPr>
          <w:p w14:paraId="72EC7FCC" w14:textId="77777777" w:rsidR="00AB17F5" w:rsidRDefault="00000000">
            <w:pPr>
              <w:spacing w:before="20" w:after="20" w:line="240" w:lineRule="auto"/>
            </w:pPr>
            <w:r>
              <w:rPr>
                <w:sz w:val="17"/>
                <w:szCs w:val="17"/>
              </w:rPr>
              <w:t>Theory</w:t>
            </w:r>
          </w:p>
        </w:tc>
      </w:tr>
    </w:tbl>
    <w:p w14:paraId="6F6A395E" w14:textId="77777777" w:rsidR="00AB17F5" w:rsidRDefault="00AB17F5"/>
    <w:p w14:paraId="5927B4F2" w14:textId="77777777" w:rsidR="00AB17F5" w:rsidRDefault="00AB17F5">
      <w:pPr>
        <w:pBdr>
          <w:bottom w:val="single" w:sz="4" w:space="1" w:color="CCCCCC"/>
        </w:pBdr>
      </w:pPr>
    </w:p>
    <w:p w14:paraId="63559409" w14:textId="77777777" w:rsidR="00AB17F5" w:rsidRDefault="00000000">
      <w:pPr>
        <w:pStyle w:val="Heading1"/>
      </w:pPr>
      <w:r>
        <w:t>8. Supervisors / Faculty Development</w:t>
      </w:r>
    </w:p>
    <w:p w14:paraId="651CFB3A" w14:textId="77777777" w:rsidR="00AB17F5" w:rsidRDefault="00000000">
      <w:r>
        <w:t xml:space="preserve">The highest-leverage, most-neglected investment in any CBME rollout. A programmatic, judgement-based system asks far more of supervisors than a checklist OSCE did — and the evidence (Steinert's two BEME reviews) says deliberate faculty development is what makes WBA, feedback and entrustment </w:t>
      </w:r>
      <w:proofErr w:type="gramStart"/>
      <w:r>
        <w:t>actually work</w:t>
      </w:r>
      <w:proofErr w:type="gramEnd"/>
      <w:r>
        <w:t xml:space="preserve">. Kilminster defines effective supervision (the relationship is the key variable); Harden &amp; Crosby map the full range of teacher roles to develop; Dreyfus gives supervisors a shared </w:t>
      </w:r>
      <w:proofErr w:type="spellStart"/>
      <w:r>
        <w:t>novice→expert</w:t>
      </w:r>
      <w:proofErr w:type="spellEnd"/>
      <w:r>
        <w:t xml:space="preserve"> language.</w:t>
      </w:r>
    </w:p>
    <w:tbl>
      <w:tblPr>
        <w:tblW w:w="9600" w:type="dxa"/>
        <w:tblInd w:w="1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CellMar>
          <w:left w:w="10" w:type="dxa"/>
          <w:right w:w="10" w:type="dxa"/>
        </w:tblCellMar>
        <w:tblLook w:val="07E0" w:firstRow="1" w:lastRow="1" w:firstColumn="1" w:lastColumn="1" w:noHBand="1" w:noVBand="1"/>
      </w:tblPr>
      <w:tblGrid>
        <w:gridCol w:w="2385"/>
        <w:gridCol w:w="2634"/>
        <w:gridCol w:w="3557"/>
        <w:gridCol w:w="1024"/>
      </w:tblGrid>
      <w:tr w:rsidR="00AB17F5" w14:paraId="5DA5A9C7" w14:textId="77777777">
        <w:trPr>
          <w:tblHeader/>
        </w:trPr>
        <w:tc>
          <w:tcPr>
            <w:tcW w:w="2880" w:type="dxa"/>
            <w:shd w:val="clear" w:color="auto" w:fill="EFE9F4"/>
          </w:tcPr>
          <w:p w14:paraId="23DED7BC" w14:textId="77777777" w:rsidR="00AB17F5" w:rsidRDefault="00000000">
            <w:pPr>
              <w:spacing w:before="20" w:after="20" w:line="240" w:lineRule="auto"/>
            </w:pPr>
            <w:r>
              <w:rPr>
                <w:b/>
                <w:sz w:val="17"/>
                <w:szCs w:val="17"/>
              </w:rPr>
              <w:t>Reference</w:t>
            </w:r>
          </w:p>
        </w:tc>
        <w:tc>
          <w:tcPr>
            <w:tcW w:w="1248" w:type="dxa"/>
            <w:shd w:val="clear" w:color="auto" w:fill="EFE9F4"/>
          </w:tcPr>
          <w:p w14:paraId="3706FDD8" w14:textId="77777777" w:rsidR="00AB17F5" w:rsidRDefault="00000000">
            <w:pPr>
              <w:spacing w:before="20" w:after="20" w:line="240" w:lineRule="auto"/>
            </w:pPr>
            <w:r>
              <w:rPr>
                <w:b/>
                <w:sz w:val="17"/>
                <w:szCs w:val="17"/>
              </w:rPr>
              <w:t>Link</w:t>
            </w:r>
          </w:p>
        </w:tc>
        <w:tc>
          <w:tcPr>
            <w:tcW w:w="4320" w:type="dxa"/>
            <w:shd w:val="clear" w:color="auto" w:fill="EFE9F4"/>
          </w:tcPr>
          <w:p w14:paraId="22452A4D" w14:textId="77777777" w:rsidR="00AB17F5" w:rsidRDefault="00000000">
            <w:pPr>
              <w:spacing w:before="20" w:after="20" w:line="240" w:lineRule="auto"/>
            </w:pPr>
            <w:r>
              <w:rPr>
                <w:b/>
                <w:sz w:val="17"/>
                <w:szCs w:val="17"/>
              </w:rPr>
              <w:t>What it tells us</w:t>
            </w:r>
          </w:p>
        </w:tc>
        <w:tc>
          <w:tcPr>
            <w:tcW w:w="1152" w:type="dxa"/>
            <w:shd w:val="clear" w:color="auto" w:fill="EFE9F4"/>
          </w:tcPr>
          <w:p w14:paraId="527495DA" w14:textId="77777777" w:rsidR="00AB17F5" w:rsidRDefault="00000000">
            <w:pPr>
              <w:spacing w:before="20" w:after="20" w:line="240" w:lineRule="auto"/>
            </w:pPr>
            <w:r>
              <w:rPr>
                <w:b/>
                <w:sz w:val="17"/>
                <w:szCs w:val="17"/>
              </w:rPr>
              <w:t>Category</w:t>
            </w:r>
          </w:p>
        </w:tc>
      </w:tr>
      <w:tr w:rsidR="00AB17F5" w14:paraId="7CBC58BB" w14:textId="77777777">
        <w:tc>
          <w:tcPr>
            <w:tcW w:w="2880" w:type="dxa"/>
          </w:tcPr>
          <w:p w14:paraId="376F327A" w14:textId="77777777" w:rsidR="00AB17F5" w:rsidRDefault="00000000">
            <w:pPr>
              <w:spacing w:before="20" w:after="20" w:line="240" w:lineRule="auto"/>
            </w:pPr>
            <w:r>
              <w:rPr>
                <w:sz w:val="17"/>
                <w:szCs w:val="17"/>
              </w:rPr>
              <w:t xml:space="preserve">Kilminster et al. Effective educational and clinical supervision: AMEE Guide No. 27. </w:t>
            </w:r>
            <w:r>
              <w:rPr>
                <w:i/>
                <w:sz w:val="17"/>
                <w:szCs w:val="17"/>
              </w:rPr>
              <w:t>Med Teach.</w:t>
            </w:r>
            <w:r>
              <w:rPr>
                <w:sz w:val="17"/>
                <w:szCs w:val="17"/>
              </w:rPr>
              <w:t xml:space="preserve"> 2007</w:t>
            </w:r>
          </w:p>
        </w:tc>
        <w:tc>
          <w:tcPr>
            <w:tcW w:w="1248" w:type="dxa"/>
          </w:tcPr>
          <w:p w14:paraId="3FF03D79" w14:textId="77777777" w:rsidR="00AB17F5" w:rsidRDefault="00AB17F5">
            <w:pPr>
              <w:spacing w:before="20" w:after="20" w:line="240" w:lineRule="auto"/>
            </w:pPr>
            <w:hyperlink r:id="rId78">
              <w:r>
                <w:rPr>
                  <w:rStyle w:val="Hyperlink"/>
                  <w:sz w:val="17"/>
                  <w:szCs w:val="17"/>
                </w:rPr>
                <w:t>doi:10.1080/01421590701210907</w:t>
              </w:r>
            </w:hyperlink>
          </w:p>
        </w:tc>
        <w:tc>
          <w:tcPr>
            <w:tcW w:w="4320" w:type="dxa"/>
          </w:tcPr>
          <w:p w14:paraId="7E732BE9" w14:textId="77777777" w:rsidR="00AB17F5" w:rsidRDefault="00000000">
            <w:pPr>
              <w:spacing w:before="20" w:after="20" w:line="240" w:lineRule="auto"/>
            </w:pPr>
            <w:r>
              <w:rPr>
                <w:sz w:val="17"/>
                <w:szCs w:val="17"/>
              </w:rPr>
              <w:t>The standard reference on effective supervision — the supervisory relationship is the single most important variable in its effectiveness</w:t>
            </w:r>
          </w:p>
        </w:tc>
        <w:tc>
          <w:tcPr>
            <w:tcW w:w="1152" w:type="dxa"/>
          </w:tcPr>
          <w:p w14:paraId="23688B7F" w14:textId="77777777" w:rsidR="00AB17F5" w:rsidRDefault="00000000">
            <w:pPr>
              <w:spacing w:before="20" w:after="20" w:line="240" w:lineRule="auto"/>
            </w:pPr>
            <w:r>
              <w:rPr>
                <w:sz w:val="17"/>
                <w:szCs w:val="17"/>
              </w:rPr>
              <w:t>Theory</w:t>
            </w:r>
          </w:p>
        </w:tc>
      </w:tr>
      <w:tr w:rsidR="00AB17F5" w14:paraId="76F494BD" w14:textId="77777777">
        <w:tc>
          <w:tcPr>
            <w:tcW w:w="2880" w:type="dxa"/>
          </w:tcPr>
          <w:p w14:paraId="60A4F6B7" w14:textId="77777777" w:rsidR="00AB17F5" w:rsidRDefault="00000000">
            <w:pPr>
              <w:spacing w:before="20" w:after="20" w:line="240" w:lineRule="auto"/>
            </w:pPr>
            <w:r>
              <w:rPr>
                <w:sz w:val="17"/>
                <w:szCs w:val="17"/>
              </w:rPr>
              <w:t xml:space="preserve">Harden &amp; Crosby. The good teacher is more than a lecturer — the twelve roles of the teacher: AMEE Guide No. 20. </w:t>
            </w:r>
            <w:r>
              <w:rPr>
                <w:i/>
                <w:sz w:val="17"/>
                <w:szCs w:val="17"/>
              </w:rPr>
              <w:t>Med Teach.</w:t>
            </w:r>
            <w:r>
              <w:rPr>
                <w:sz w:val="17"/>
                <w:szCs w:val="17"/>
              </w:rPr>
              <w:t xml:space="preserve"> 2000</w:t>
            </w:r>
          </w:p>
        </w:tc>
        <w:tc>
          <w:tcPr>
            <w:tcW w:w="1248" w:type="dxa"/>
          </w:tcPr>
          <w:p w14:paraId="3399C331" w14:textId="77777777" w:rsidR="00AB17F5" w:rsidRDefault="00AB17F5">
            <w:pPr>
              <w:spacing w:before="20" w:after="20" w:line="240" w:lineRule="auto"/>
            </w:pPr>
            <w:hyperlink r:id="rId79">
              <w:r>
                <w:rPr>
                  <w:rStyle w:val="Hyperlink"/>
                  <w:sz w:val="17"/>
                  <w:szCs w:val="17"/>
                </w:rPr>
                <w:t>doi:10.1080/014215900409429</w:t>
              </w:r>
            </w:hyperlink>
          </w:p>
        </w:tc>
        <w:tc>
          <w:tcPr>
            <w:tcW w:w="4320" w:type="dxa"/>
          </w:tcPr>
          <w:p w14:paraId="2CE1FA2E" w14:textId="77777777" w:rsidR="00AB17F5" w:rsidRDefault="00000000">
            <w:pPr>
              <w:spacing w:before="20" w:after="20" w:line="240" w:lineRule="auto"/>
            </w:pPr>
            <w:r>
              <w:rPr>
                <w:sz w:val="17"/>
                <w:szCs w:val="17"/>
              </w:rPr>
              <w:t>Maps the teacher's job beyond "lecturer" into twelve roles across six areas — a framework for defining and developing supervisor/teacher capabilities</w:t>
            </w:r>
          </w:p>
        </w:tc>
        <w:tc>
          <w:tcPr>
            <w:tcW w:w="1152" w:type="dxa"/>
          </w:tcPr>
          <w:p w14:paraId="74478635" w14:textId="77777777" w:rsidR="00AB17F5" w:rsidRDefault="00000000">
            <w:pPr>
              <w:spacing w:before="20" w:after="20" w:line="240" w:lineRule="auto"/>
            </w:pPr>
            <w:r>
              <w:rPr>
                <w:sz w:val="17"/>
                <w:szCs w:val="17"/>
              </w:rPr>
              <w:t>Theory</w:t>
            </w:r>
          </w:p>
        </w:tc>
      </w:tr>
      <w:tr w:rsidR="00AB17F5" w14:paraId="4BA070E7" w14:textId="77777777">
        <w:tc>
          <w:tcPr>
            <w:tcW w:w="2880" w:type="dxa"/>
          </w:tcPr>
          <w:p w14:paraId="1FFB0FAC" w14:textId="77777777" w:rsidR="00AB17F5" w:rsidRDefault="00000000">
            <w:pPr>
              <w:spacing w:before="20" w:after="20" w:line="240" w:lineRule="auto"/>
            </w:pPr>
            <w:r>
              <w:rPr>
                <w:sz w:val="17"/>
                <w:szCs w:val="17"/>
              </w:rPr>
              <w:t xml:space="preserve">Steinert et al. Faculty development to improve teaching: BEME Guide No. 8. </w:t>
            </w:r>
            <w:r>
              <w:rPr>
                <w:i/>
                <w:sz w:val="17"/>
                <w:szCs w:val="17"/>
              </w:rPr>
              <w:t>Med Teach.</w:t>
            </w:r>
            <w:r>
              <w:rPr>
                <w:sz w:val="17"/>
                <w:szCs w:val="17"/>
              </w:rPr>
              <w:t xml:space="preserve"> 2006</w:t>
            </w:r>
          </w:p>
        </w:tc>
        <w:tc>
          <w:tcPr>
            <w:tcW w:w="1248" w:type="dxa"/>
          </w:tcPr>
          <w:p w14:paraId="7D94FA72" w14:textId="77777777" w:rsidR="00AB17F5" w:rsidRDefault="00AB17F5">
            <w:pPr>
              <w:spacing w:before="20" w:after="20" w:line="240" w:lineRule="auto"/>
            </w:pPr>
            <w:hyperlink r:id="rId80">
              <w:r>
                <w:rPr>
                  <w:rStyle w:val="Hyperlink"/>
                  <w:sz w:val="17"/>
                  <w:szCs w:val="17"/>
                </w:rPr>
                <w:t>doi:10.1080/01421590600902976</w:t>
              </w:r>
            </w:hyperlink>
          </w:p>
        </w:tc>
        <w:tc>
          <w:tcPr>
            <w:tcW w:w="4320" w:type="dxa"/>
          </w:tcPr>
          <w:p w14:paraId="5758D3C2" w14:textId="77777777" w:rsidR="00AB17F5" w:rsidRDefault="00000000">
            <w:pPr>
              <w:spacing w:before="20" w:after="20" w:line="240" w:lineRule="auto"/>
            </w:pPr>
            <w:r>
              <w:rPr>
                <w:sz w:val="17"/>
                <w:szCs w:val="17"/>
              </w:rPr>
              <w:t>Systematic-review evidence that faculty-development initiatives improve teaching effectiveness</w:t>
            </w:r>
          </w:p>
        </w:tc>
        <w:tc>
          <w:tcPr>
            <w:tcW w:w="1152" w:type="dxa"/>
          </w:tcPr>
          <w:p w14:paraId="05C0AC58" w14:textId="77777777" w:rsidR="00AB17F5" w:rsidRDefault="00000000">
            <w:pPr>
              <w:spacing w:before="20" w:after="20" w:line="240" w:lineRule="auto"/>
            </w:pPr>
            <w:r>
              <w:rPr>
                <w:sz w:val="17"/>
                <w:szCs w:val="17"/>
              </w:rPr>
              <w:t>Evidence</w:t>
            </w:r>
          </w:p>
        </w:tc>
      </w:tr>
      <w:tr w:rsidR="00AB17F5" w14:paraId="5D7DCE9D" w14:textId="77777777">
        <w:tc>
          <w:tcPr>
            <w:tcW w:w="2880" w:type="dxa"/>
          </w:tcPr>
          <w:p w14:paraId="65182BF3" w14:textId="77777777" w:rsidR="00AB17F5" w:rsidRDefault="00000000">
            <w:pPr>
              <w:spacing w:before="20" w:after="20" w:line="240" w:lineRule="auto"/>
            </w:pPr>
            <w:r>
              <w:rPr>
                <w:sz w:val="17"/>
                <w:szCs w:val="17"/>
              </w:rPr>
              <w:t xml:space="preserve">Steinert et al. Faculty development — 10-year update: BEME Guide No. 40. </w:t>
            </w:r>
            <w:r>
              <w:rPr>
                <w:i/>
                <w:sz w:val="17"/>
                <w:szCs w:val="17"/>
              </w:rPr>
              <w:t>Med Teach.</w:t>
            </w:r>
            <w:r>
              <w:rPr>
                <w:sz w:val="17"/>
                <w:szCs w:val="17"/>
              </w:rPr>
              <w:t xml:space="preserve"> 2016</w:t>
            </w:r>
          </w:p>
        </w:tc>
        <w:tc>
          <w:tcPr>
            <w:tcW w:w="1248" w:type="dxa"/>
          </w:tcPr>
          <w:p w14:paraId="6B5B07E7" w14:textId="77777777" w:rsidR="00AB17F5" w:rsidRDefault="00AB17F5">
            <w:pPr>
              <w:spacing w:before="20" w:after="20" w:line="240" w:lineRule="auto"/>
            </w:pPr>
            <w:hyperlink r:id="rId81">
              <w:r>
                <w:rPr>
                  <w:rStyle w:val="Hyperlink"/>
                  <w:sz w:val="17"/>
                  <w:szCs w:val="17"/>
                </w:rPr>
                <w:t>doi:10.1080/0142159X.2016.1181851</w:t>
              </w:r>
            </w:hyperlink>
          </w:p>
        </w:tc>
        <w:tc>
          <w:tcPr>
            <w:tcW w:w="4320" w:type="dxa"/>
          </w:tcPr>
          <w:p w14:paraId="1E4B2813" w14:textId="77777777" w:rsidR="00AB17F5" w:rsidRDefault="00000000">
            <w:pPr>
              <w:spacing w:before="20" w:after="20" w:line="240" w:lineRule="auto"/>
            </w:pPr>
            <w:r>
              <w:rPr>
                <w:sz w:val="17"/>
                <w:szCs w:val="17"/>
              </w:rPr>
              <w:t>The ten-year update confirming and extending the evidence on what makes faculty development work</w:t>
            </w:r>
          </w:p>
        </w:tc>
        <w:tc>
          <w:tcPr>
            <w:tcW w:w="1152" w:type="dxa"/>
          </w:tcPr>
          <w:p w14:paraId="444D1DD2" w14:textId="77777777" w:rsidR="00AB17F5" w:rsidRDefault="00000000">
            <w:pPr>
              <w:spacing w:before="20" w:after="20" w:line="240" w:lineRule="auto"/>
            </w:pPr>
            <w:r>
              <w:rPr>
                <w:sz w:val="17"/>
                <w:szCs w:val="17"/>
              </w:rPr>
              <w:t>Evidence</w:t>
            </w:r>
          </w:p>
        </w:tc>
      </w:tr>
      <w:tr w:rsidR="00AB17F5" w14:paraId="6E84692D" w14:textId="77777777">
        <w:tc>
          <w:tcPr>
            <w:tcW w:w="2880" w:type="dxa"/>
          </w:tcPr>
          <w:p w14:paraId="3E6C4842" w14:textId="77777777" w:rsidR="00AB17F5" w:rsidRDefault="00000000">
            <w:pPr>
              <w:spacing w:before="20" w:after="20" w:line="240" w:lineRule="auto"/>
            </w:pPr>
            <w:r>
              <w:rPr>
                <w:sz w:val="17"/>
                <w:szCs w:val="17"/>
              </w:rPr>
              <w:t xml:space="preserve">Dreyfus. The five-stage model of adult skill acquisition. </w:t>
            </w:r>
            <w:r>
              <w:rPr>
                <w:i/>
                <w:sz w:val="17"/>
                <w:szCs w:val="17"/>
              </w:rPr>
              <w:t>Bull Sci Technol Soc.</w:t>
            </w:r>
            <w:r>
              <w:rPr>
                <w:sz w:val="17"/>
                <w:szCs w:val="17"/>
              </w:rPr>
              <w:t xml:space="preserve"> 2004</w:t>
            </w:r>
          </w:p>
        </w:tc>
        <w:tc>
          <w:tcPr>
            <w:tcW w:w="1248" w:type="dxa"/>
          </w:tcPr>
          <w:p w14:paraId="5B1CE30B" w14:textId="77777777" w:rsidR="00AB17F5" w:rsidRDefault="00AB17F5">
            <w:pPr>
              <w:spacing w:before="20" w:after="20" w:line="240" w:lineRule="auto"/>
            </w:pPr>
            <w:hyperlink r:id="rId82">
              <w:r>
                <w:rPr>
                  <w:rStyle w:val="Hyperlink"/>
                  <w:sz w:val="17"/>
                  <w:szCs w:val="17"/>
                </w:rPr>
                <w:t>doi:10.1177/0270467604264992</w:t>
              </w:r>
            </w:hyperlink>
          </w:p>
        </w:tc>
        <w:tc>
          <w:tcPr>
            <w:tcW w:w="4320" w:type="dxa"/>
          </w:tcPr>
          <w:p w14:paraId="7E3EF961" w14:textId="77777777" w:rsidR="00AB17F5" w:rsidRDefault="00000000">
            <w:pPr>
              <w:spacing w:before="20" w:after="20" w:line="240" w:lineRule="auto"/>
            </w:pPr>
            <w:r>
              <w:rPr>
                <w:sz w:val="17"/>
                <w:szCs w:val="17"/>
              </w:rPr>
              <w:t>The novice → advanced beginner → competent → proficient → expert progression — the shared language underpinning Milestones and entrustment levels</w:t>
            </w:r>
          </w:p>
        </w:tc>
        <w:tc>
          <w:tcPr>
            <w:tcW w:w="1152" w:type="dxa"/>
          </w:tcPr>
          <w:p w14:paraId="50F1FD04" w14:textId="77777777" w:rsidR="00AB17F5" w:rsidRDefault="00000000">
            <w:pPr>
              <w:spacing w:before="20" w:after="20" w:line="240" w:lineRule="auto"/>
            </w:pPr>
            <w:r>
              <w:rPr>
                <w:sz w:val="17"/>
                <w:szCs w:val="17"/>
              </w:rPr>
              <w:t>Theory</w:t>
            </w:r>
          </w:p>
        </w:tc>
      </w:tr>
    </w:tbl>
    <w:p w14:paraId="68C3E4AC" w14:textId="77777777" w:rsidR="00AB17F5" w:rsidRDefault="00AB17F5"/>
    <w:p w14:paraId="3E2887F4" w14:textId="77777777" w:rsidR="00AB17F5" w:rsidRDefault="00AB17F5">
      <w:pPr>
        <w:pBdr>
          <w:bottom w:val="single" w:sz="4" w:space="1" w:color="CCCCCC"/>
        </w:pBdr>
      </w:pPr>
    </w:p>
    <w:p w14:paraId="33F483F1" w14:textId="77777777" w:rsidR="00AB17F5" w:rsidRDefault="00000000">
      <w:pPr>
        <w:pStyle w:val="Heading1"/>
      </w:pPr>
      <w:r>
        <w:t>9. Professional Identity &amp; Reflective Practice</w:t>
      </w:r>
    </w:p>
    <w:p w14:paraId="46768865" w14:textId="77777777" w:rsidR="00AB17F5" w:rsidRDefault="00000000">
      <w:r>
        <w:t xml:space="preserve">The distinctively psychiatric strand: the clinician's </w:t>
      </w:r>
      <w:r>
        <w:rPr>
          <w:i/>
        </w:rPr>
        <w:t>self</w:t>
      </w:r>
      <w:r>
        <w:t xml:space="preserve"> is the instrument. Identity formation is therefore the core curriculum, not a soft adjunct. Cruess reframes training around </w:t>
      </w:r>
      <w:r>
        <w:rPr>
          <w:i/>
        </w:rPr>
        <w:t>becoming</w:t>
      </w:r>
      <w:r>
        <w:t xml:space="preserve"> a psychiatrist and adds an "is/identity" apex to Miller's pyramid. Schön's </w:t>
      </w:r>
      <w:r>
        <w:rPr>
          <w:i/>
        </w:rPr>
        <w:t>Educating the Reflective Practitioner</w:t>
      </w:r>
      <w:r>
        <w:t xml:space="preserve"> (1987) turns reflection into a theory of professional education that maps onto psychiatry's supervision model. Balint allows psychiatry to </w:t>
      </w:r>
      <w:proofErr w:type="spellStart"/>
      <w:r>
        <w:t>processpr</w:t>
      </w:r>
      <w:proofErr w:type="spellEnd"/>
      <w:r>
        <w:t xml:space="preserve"> the doctor–patient relationship.</w:t>
      </w:r>
    </w:p>
    <w:tbl>
      <w:tblPr>
        <w:tblW w:w="9600" w:type="dxa"/>
        <w:tblInd w:w="1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CellMar>
          <w:left w:w="10" w:type="dxa"/>
          <w:right w:w="10" w:type="dxa"/>
        </w:tblCellMar>
        <w:tblLook w:val="07E0" w:firstRow="1" w:lastRow="1" w:firstColumn="1" w:lastColumn="1" w:noHBand="1" w:noVBand="1"/>
      </w:tblPr>
      <w:tblGrid>
        <w:gridCol w:w="2359"/>
        <w:gridCol w:w="2665"/>
        <w:gridCol w:w="3558"/>
        <w:gridCol w:w="1018"/>
      </w:tblGrid>
      <w:tr w:rsidR="00AB17F5" w14:paraId="35B24F12" w14:textId="77777777">
        <w:trPr>
          <w:tblHeader/>
        </w:trPr>
        <w:tc>
          <w:tcPr>
            <w:tcW w:w="2880" w:type="dxa"/>
            <w:shd w:val="clear" w:color="auto" w:fill="EFE9F4"/>
          </w:tcPr>
          <w:p w14:paraId="4C5B6E58" w14:textId="77777777" w:rsidR="00AB17F5" w:rsidRDefault="00000000">
            <w:pPr>
              <w:spacing w:before="20" w:after="20" w:line="240" w:lineRule="auto"/>
            </w:pPr>
            <w:r>
              <w:rPr>
                <w:b/>
                <w:sz w:val="17"/>
                <w:szCs w:val="17"/>
              </w:rPr>
              <w:t>Reference</w:t>
            </w:r>
          </w:p>
        </w:tc>
        <w:tc>
          <w:tcPr>
            <w:tcW w:w="1248" w:type="dxa"/>
            <w:shd w:val="clear" w:color="auto" w:fill="EFE9F4"/>
          </w:tcPr>
          <w:p w14:paraId="6AA51622" w14:textId="77777777" w:rsidR="00AB17F5" w:rsidRDefault="00000000">
            <w:pPr>
              <w:spacing w:before="20" w:after="20" w:line="240" w:lineRule="auto"/>
            </w:pPr>
            <w:r>
              <w:rPr>
                <w:b/>
                <w:sz w:val="17"/>
                <w:szCs w:val="17"/>
              </w:rPr>
              <w:t>Link</w:t>
            </w:r>
          </w:p>
        </w:tc>
        <w:tc>
          <w:tcPr>
            <w:tcW w:w="4320" w:type="dxa"/>
            <w:shd w:val="clear" w:color="auto" w:fill="EFE9F4"/>
          </w:tcPr>
          <w:p w14:paraId="5A4F1355" w14:textId="77777777" w:rsidR="00AB17F5" w:rsidRDefault="00000000">
            <w:pPr>
              <w:spacing w:before="20" w:after="20" w:line="240" w:lineRule="auto"/>
            </w:pPr>
            <w:r>
              <w:rPr>
                <w:b/>
                <w:sz w:val="17"/>
                <w:szCs w:val="17"/>
              </w:rPr>
              <w:t>What it tells us</w:t>
            </w:r>
          </w:p>
        </w:tc>
        <w:tc>
          <w:tcPr>
            <w:tcW w:w="1152" w:type="dxa"/>
            <w:shd w:val="clear" w:color="auto" w:fill="EFE9F4"/>
          </w:tcPr>
          <w:p w14:paraId="26A57CD2" w14:textId="77777777" w:rsidR="00AB17F5" w:rsidRDefault="00000000">
            <w:pPr>
              <w:spacing w:before="20" w:after="20" w:line="240" w:lineRule="auto"/>
            </w:pPr>
            <w:r>
              <w:rPr>
                <w:b/>
                <w:sz w:val="17"/>
                <w:szCs w:val="17"/>
              </w:rPr>
              <w:t>Category</w:t>
            </w:r>
          </w:p>
        </w:tc>
      </w:tr>
      <w:tr w:rsidR="00AB17F5" w14:paraId="13C3AD3C" w14:textId="77777777">
        <w:tc>
          <w:tcPr>
            <w:tcW w:w="2880" w:type="dxa"/>
          </w:tcPr>
          <w:p w14:paraId="149023A8" w14:textId="77777777" w:rsidR="00AB17F5" w:rsidRDefault="00000000">
            <w:pPr>
              <w:spacing w:before="20" w:after="20" w:line="240" w:lineRule="auto"/>
            </w:pPr>
            <w:r>
              <w:rPr>
                <w:sz w:val="17"/>
                <w:szCs w:val="17"/>
              </w:rPr>
              <w:t xml:space="preserve">Cruess et al. Reframing medical education to support professional identity formation. </w:t>
            </w:r>
            <w:proofErr w:type="spellStart"/>
            <w:r>
              <w:rPr>
                <w:i/>
                <w:sz w:val="17"/>
                <w:szCs w:val="17"/>
              </w:rPr>
              <w:t>Acad</w:t>
            </w:r>
            <w:proofErr w:type="spellEnd"/>
            <w:r>
              <w:rPr>
                <w:i/>
                <w:sz w:val="17"/>
                <w:szCs w:val="17"/>
              </w:rPr>
              <w:t xml:space="preserve"> Med.</w:t>
            </w:r>
            <w:r>
              <w:rPr>
                <w:sz w:val="17"/>
                <w:szCs w:val="17"/>
              </w:rPr>
              <w:t xml:space="preserve"> 2014</w:t>
            </w:r>
          </w:p>
        </w:tc>
        <w:tc>
          <w:tcPr>
            <w:tcW w:w="1248" w:type="dxa"/>
          </w:tcPr>
          <w:p w14:paraId="78B4ADC2" w14:textId="77777777" w:rsidR="00AB17F5" w:rsidRDefault="00AB17F5">
            <w:pPr>
              <w:spacing w:before="20" w:after="20" w:line="240" w:lineRule="auto"/>
            </w:pPr>
            <w:hyperlink r:id="rId83">
              <w:r>
                <w:rPr>
                  <w:rStyle w:val="Hyperlink"/>
                  <w:sz w:val="17"/>
                  <w:szCs w:val="17"/>
                </w:rPr>
                <w:t>doi:10.1097/ACM.0000000000000427</w:t>
              </w:r>
            </w:hyperlink>
          </w:p>
        </w:tc>
        <w:tc>
          <w:tcPr>
            <w:tcW w:w="4320" w:type="dxa"/>
          </w:tcPr>
          <w:p w14:paraId="467AE17D" w14:textId="77777777" w:rsidR="00AB17F5" w:rsidRDefault="00000000">
            <w:pPr>
              <w:spacing w:before="20" w:after="20" w:line="240" w:lineRule="auto"/>
            </w:pPr>
            <w:r>
              <w:rPr>
                <w:sz w:val="17"/>
                <w:szCs w:val="17"/>
              </w:rPr>
              <w:t xml:space="preserve">Reframes the goal from teaching professionalism-as-behaviour to supporting </w:t>
            </w:r>
            <w:r>
              <w:rPr>
                <w:i/>
                <w:sz w:val="17"/>
                <w:szCs w:val="17"/>
              </w:rPr>
              <w:t>professional identity formation</w:t>
            </w:r>
            <w:r>
              <w:rPr>
                <w:sz w:val="17"/>
                <w:szCs w:val="17"/>
              </w:rPr>
              <w:t xml:space="preserve"> — becoming a clinician; central to psychiatry's "use of self"</w:t>
            </w:r>
          </w:p>
        </w:tc>
        <w:tc>
          <w:tcPr>
            <w:tcW w:w="1152" w:type="dxa"/>
          </w:tcPr>
          <w:p w14:paraId="7329558B" w14:textId="77777777" w:rsidR="00AB17F5" w:rsidRDefault="00000000">
            <w:pPr>
              <w:spacing w:before="20" w:after="20" w:line="240" w:lineRule="auto"/>
            </w:pPr>
            <w:r>
              <w:rPr>
                <w:sz w:val="17"/>
                <w:szCs w:val="17"/>
              </w:rPr>
              <w:t>Theory</w:t>
            </w:r>
          </w:p>
        </w:tc>
      </w:tr>
      <w:tr w:rsidR="00AB17F5" w14:paraId="6081174A" w14:textId="77777777">
        <w:tc>
          <w:tcPr>
            <w:tcW w:w="2880" w:type="dxa"/>
          </w:tcPr>
          <w:p w14:paraId="54D99450" w14:textId="77777777" w:rsidR="00AB17F5" w:rsidRDefault="00000000">
            <w:pPr>
              <w:spacing w:before="20" w:after="20" w:line="240" w:lineRule="auto"/>
            </w:pPr>
            <w:r>
              <w:rPr>
                <w:sz w:val="17"/>
                <w:szCs w:val="17"/>
              </w:rPr>
              <w:t xml:space="preserve">Cruess, Cruess, Steinert. Amending Miller's pyramid to include PIF. </w:t>
            </w:r>
            <w:proofErr w:type="spellStart"/>
            <w:r>
              <w:rPr>
                <w:i/>
                <w:sz w:val="17"/>
                <w:szCs w:val="17"/>
              </w:rPr>
              <w:t>Acad</w:t>
            </w:r>
            <w:proofErr w:type="spellEnd"/>
            <w:r>
              <w:rPr>
                <w:i/>
                <w:sz w:val="17"/>
                <w:szCs w:val="17"/>
              </w:rPr>
              <w:t xml:space="preserve"> Med.</w:t>
            </w:r>
            <w:r>
              <w:rPr>
                <w:sz w:val="17"/>
                <w:szCs w:val="17"/>
              </w:rPr>
              <w:t xml:space="preserve"> 2016</w:t>
            </w:r>
          </w:p>
        </w:tc>
        <w:tc>
          <w:tcPr>
            <w:tcW w:w="1248" w:type="dxa"/>
          </w:tcPr>
          <w:p w14:paraId="3A1B9FC6" w14:textId="77777777" w:rsidR="00AB17F5" w:rsidRDefault="00AB17F5">
            <w:pPr>
              <w:spacing w:before="20" w:after="20" w:line="240" w:lineRule="auto"/>
            </w:pPr>
            <w:hyperlink r:id="rId84">
              <w:r>
                <w:rPr>
                  <w:rStyle w:val="Hyperlink"/>
                  <w:sz w:val="17"/>
                  <w:szCs w:val="17"/>
                </w:rPr>
                <w:t>doi:10.1097/ACM.0000000000000913</w:t>
              </w:r>
            </w:hyperlink>
          </w:p>
        </w:tc>
        <w:tc>
          <w:tcPr>
            <w:tcW w:w="4320" w:type="dxa"/>
          </w:tcPr>
          <w:p w14:paraId="50CD392F" w14:textId="77777777" w:rsidR="00AB17F5" w:rsidRDefault="00000000">
            <w:pPr>
              <w:spacing w:before="20" w:after="20" w:line="240" w:lineRule="auto"/>
            </w:pPr>
            <w:r>
              <w:rPr>
                <w:sz w:val="17"/>
                <w:szCs w:val="17"/>
              </w:rPr>
              <w:t xml:space="preserve">Adds an "is/identity" apex above Miller's "does", licensing assessment of </w:t>
            </w:r>
            <w:r>
              <w:rPr>
                <w:i/>
                <w:sz w:val="17"/>
                <w:szCs w:val="17"/>
              </w:rPr>
              <w:t>who the trainee is becoming</w:t>
            </w:r>
          </w:p>
        </w:tc>
        <w:tc>
          <w:tcPr>
            <w:tcW w:w="1152" w:type="dxa"/>
          </w:tcPr>
          <w:p w14:paraId="6C179A23" w14:textId="77777777" w:rsidR="00AB17F5" w:rsidRDefault="00000000">
            <w:pPr>
              <w:spacing w:before="20" w:after="20" w:line="240" w:lineRule="auto"/>
            </w:pPr>
            <w:r>
              <w:rPr>
                <w:sz w:val="17"/>
                <w:szCs w:val="17"/>
              </w:rPr>
              <w:t>Theory</w:t>
            </w:r>
          </w:p>
        </w:tc>
      </w:tr>
      <w:tr w:rsidR="00AB17F5" w14:paraId="4DA047EE" w14:textId="77777777">
        <w:tc>
          <w:tcPr>
            <w:tcW w:w="2880" w:type="dxa"/>
          </w:tcPr>
          <w:p w14:paraId="53676559" w14:textId="77777777" w:rsidR="00AB17F5" w:rsidRDefault="00000000">
            <w:pPr>
              <w:spacing w:before="20" w:after="20" w:line="240" w:lineRule="auto"/>
            </w:pPr>
            <w:r>
              <w:rPr>
                <w:sz w:val="17"/>
                <w:szCs w:val="17"/>
              </w:rPr>
              <w:t xml:space="preserve">Schön. </w:t>
            </w:r>
            <w:r>
              <w:rPr>
                <w:i/>
                <w:sz w:val="17"/>
                <w:szCs w:val="17"/>
              </w:rPr>
              <w:t>The Reflective Practitioner.</w:t>
            </w:r>
            <w:r>
              <w:rPr>
                <w:sz w:val="17"/>
                <w:szCs w:val="17"/>
              </w:rPr>
              <w:t xml:space="preserve"> Basic Books; 1983</w:t>
            </w:r>
          </w:p>
        </w:tc>
        <w:tc>
          <w:tcPr>
            <w:tcW w:w="1248" w:type="dxa"/>
          </w:tcPr>
          <w:p w14:paraId="40A7DDA6" w14:textId="77777777" w:rsidR="00AB17F5" w:rsidRDefault="00000000">
            <w:pPr>
              <w:spacing w:before="20" w:after="20" w:line="240" w:lineRule="auto"/>
            </w:pPr>
            <w:r>
              <w:rPr>
                <w:sz w:val="17"/>
                <w:szCs w:val="17"/>
              </w:rPr>
              <w:t>ISBN 978-0465068784</w:t>
            </w:r>
          </w:p>
        </w:tc>
        <w:tc>
          <w:tcPr>
            <w:tcW w:w="4320" w:type="dxa"/>
          </w:tcPr>
          <w:p w14:paraId="02EF0CBD" w14:textId="77777777" w:rsidR="00AB17F5" w:rsidRDefault="00000000">
            <w:pPr>
              <w:spacing w:before="20" w:after="20" w:line="240" w:lineRule="auto"/>
            </w:pPr>
            <w:r>
              <w:rPr>
                <w:sz w:val="17"/>
                <w:szCs w:val="17"/>
              </w:rPr>
              <w:t>Introduces reflection-in-action and reflection-on-action, and the "swampy lowlands" of messy real practice versus the "high ground" of technical rationality</w:t>
            </w:r>
          </w:p>
        </w:tc>
        <w:tc>
          <w:tcPr>
            <w:tcW w:w="1152" w:type="dxa"/>
          </w:tcPr>
          <w:p w14:paraId="27C86390" w14:textId="77777777" w:rsidR="00AB17F5" w:rsidRDefault="00000000">
            <w:pPr>
              <w:spacing w:before="20" w:after="20" w:line="240" w:lineRule="auto"/>
            </w:pPr>
            <w:r>
              <w:rPr>
                <w:sz w:val="17"/>
                <w:szCs w:val="17"/>
              </w:rPr>
              <w:t>Theory</w:t>
            </w:r>
          </w:p>
        </w:tc>
      </w:tr>
      <w:tr w:rsidR="00AB17F5" w14:paraId="53BF76C0" w14:textId="77777777">
        <w:tc>
          <w:tcPr>
            <w:tcW w:w="2880" w:type="dxa"/>
          </w:tcPr>
          <w:p w14:paraId="18F46448" w14:textId="77777777" w:rsidR="00AB17F5" w:rsidRDefault="00000000">
            <w:pPr>
              <w:spacing w:before="20" w:after="20" w:line="240" w:lineRule="auto"/>
            </w:pPr>
            <w:r>
              <w:rPr>
                <w:sz w:val="17"/>
                <w:szCs w:val="17"/>
              </w:rPr>
              <w:t xml:space="preserve">Schön. </w:t>
            </w:r>
            <w:r>
              <w:rPr>
                <w:i/>
                <w:sz w:val="17"/>
                <w:szCs w:val="17"/>
              </w:rPr>
              <w:t>Educating the Reflective Practitioner.</w:t>
            </w:r>
            <w:r>
              <w:rPr>
                <w:sz w:val="17"/>
                <w:szCs w:val="17"/>
              </w:rPr>
              <w:t xml:space="preserve"> Jossey-Bass; 1987</w:t>
            </w:r>
          </w:p>
        </w:tc>
        <w:tc>
          <w:tcPr>
            <w:tcW w:w="1248" w:type="dxa"/>
          </w:tcPr>
          <w:p w14:paraId="72B7EA6E" w14:textId="77777777" w:rsidR="00AB17F5" w:rsidRDefault="00000000">
            <w:pPr>
              <w:spacing w:before="20" w:after="20" w:line="240" w:lineRule="auto"/>
            </w:pPr>
            <w:r>
              <w:rPr>
                <w:sz w:val="17"/>
                <w:szCs w:val="17"/>
              </w:rPr>
              <w:t>ISBN 978-1555422202</w:t>
            </w:r>
          </w:p>
        </w:tc>
        <w:tc>
          <w:tcPr>
            <w:tcW w:w="4320" w:type="dxa"/>
          </w:tcPr>
          <w:p w14:paraId="14A97AB8" w14:textId="77777777" w:rsidR="00AB17F5" w:rsidRDefault="00000000">
            <w:pPr>
              <w:spacing w:before="20" w:after="20" w:line="240" w:lineRule="auto"/>
            </w:pPr>
            <w:r>
              <w:rPr>
                <w:sz w:val="17"/>
                <w:szCs w:val="17"/>
              </w:rPr>
              <w:t>The sequel and the more useful text for design — turns reflection into a theory of professional education (the "reflective practicum")</w:t>
            </w:r>
          </w:p>
        </w:tc>
        <w:tc>
          <w:tcPr>
            <w:tcW w:w="1152" w:type="dxa"/>
          </w:tcPr>
          <w:p w14:paraId="44D5A8F4" w14:textId="77777777" w:rsidR="00AB17F5" w:rsidRDefault="00000000">
            <w:pPr>
              <w:spacing w:before="20" w:after="20" w:line="240" w:lineRule="auto"/>
            </w:pPr>
            <w:r>
              <w:rPr>
                <w:sz w:val="17"/>
                <w:szCs w:val="17"/>
              </w:rPr>
              <w:t>Theory</w:t>
            </w:r>
          </w:p>
        </w:tc>
      </w:tr>
      <w:tr w:rsidR="00AB17F5" w14:paraId="270A2A8B" w14:textId="77777777">
        <w:tc>
          <w:tcPr>
            <w:tcW w:w="2880" w:type="dxa"/>
          </w:tcPr>
          <w:p w14:paraId="733B82FB" w14:textId="77777777" w:rsidR="00AB17F5" w:rsidRDefault="00000000">
            <w:pPr>
              <w:spacing w:before="20" w:after="20" w:line="240" w:lineRule="auto"/>
            </w:pPr>
            <w:r>
              <w:rPr>
                <w:sz w:val="17"/>
                <w:szCs w:val="17"/>
              </w:rPr>
              <w:t xml:space="preserve">Kolb. </w:t>
            </w:r>
            <w:r>
              <w:rPr>
                <w:i/>
                <w:sz w:val="17"/>
                <w:szCs w:val="17"/>
              </w:rPr>
              <w:t>Experiential Learning.</w:t>
            </w:r>
            <w:r>
              <w:rPr>
                <w:sz w:val="17"/>
                <w:szCs w:val="17"/>
              </w:rPr>
              <w:t xml:space="preserve"> 2nd ed; 2015 (1st ed. 1984)</w:t>
            </w:r>
          </w:p>
        </w:tc>
        <w:tc>
          <w:tcPr>
            <w:tcW w:w="1248" w:type="dxa"/>
          </w:tcPr>
          <w:p w14:paraId="4D1CD237" w14:textId="77777777" w:rsidR="00AB17F5" w:rsidRDefault="00000000">
            <w:pPr>
              <w:spacing w:before="20" w:after="20" w:line="240" w:lineRule="auto"/>
            </w:pPr>
            <w:r>
              <w:rPr>
                <w:sz w:val="17"/>
                <w:szCs w:val="17"/>
              </w:rPr>
              <w:t>ISBN 978-0133892406</w:t>
            </w:r>
          </w:p>
        </w:tc>
        <w:tc>
          <w:tcPr>
            <w:tcW w:w="4320" w:type="dxa"/>
          </w:tcPr>
          <w:p w14:paraId="65B96B8F" w14:textId="77777777" w:rsidR="00AB17F5" w:rsidRDefault="00000000">
            <w:pPr>
              <w:spacing w:before="20" w:after="20" w:line="240" w:lineRule="auto"/>
            </w:pPr>
            <w:r>
              <w:rPr>
                <w:sz w:val="17"/>
                <w:szCs w:val="17"/>
              </w:rPr>
              <w:t>The experiential learning cycle (experience → reflection → conceptualisation → experimentation) underpinning supervised practice</w:t>
            </w:r>
          </w:p>
        </w:tc>
        <w:tc>
          <w:tcPr>
            <w:tcW w:w="1152" w:type="dxa"/>
          </w:tcPr>
          <w:p w14:paraId="15603627" w14:textId="77777777" w:rsidR="00AB17F5" w:rsidRDefault="00000000">
            <w:pPr>
              <w:spacing w:before="20" w:after="20" w:line="240" w:lineRule="auto"/>
            </w:pPr>
            <w:r>
              <w:rPr>
                <w:sz w:val="17"/>
                <w:szCs w:val="17"/>
              </w:rPr>
              <w:t>Theory</w:t>
            </w:r>
          </w:p>
        </w:tc>
      </w:tr>
      <w:tr w:rsidR="00AB17F5" w14:paraId="104AD1A4" w14:textId="77777777">
        <w:tc>
          <w:tcPr>
            <w:tcW w:w="2880" w:type="dxa"/>
          </w:tcPr>
          <w:p w14:paraId="4C0EEF10" w14:textId="77777777" w:rsidR="00AB17F5" w:rsidRDefault="00000000">
            <w:pPr>
              <w:spacing w:before="20" w:after="20" w:line="240" w:lineRule="auto"/>
            </w:pPr>
            <w:r>
              <w:rPr>
                <w:sz w:val="17"/>
                <w:szCs w:val="17"/>
              </w:rPr>
              <w:lastRenderedPageBreak/>
              <w:t xml:space="preserve">Mann, Gordon, MacLeod. Reflection and reflective practice: systematic review. </w:t>
            </w:r>
            <w:r>
              <w:rPr>
                <w:i/>
                <w:sz w:val="17"/>
                <w:szCs w:val="17"/>
              </w:rPr>
              <w:t>Adv Health Sci Educ.</w:t>
            </w:r>
            <w:r>
              <w:rPr>
                <w:sz w:val="17"/>
                <w:szCs w:val="17"/>
              </w:rPr>
              <w:t xml:space="preserve"> 2009</w:t>
            </w:r>
          </w:p>
        </w:tc>
        <w:tc>
          <w:tcPr>
            <w:tcW w:w="1248" w:type="dxa"/>
          </w:tcPr>
          <w:p w14:paraId="73F6071C" w14:textId="77777777" w:rsidR="00AB17F5" w:rsidRDefault="00AB17F5">
            <w:pPr>
              <w:spacing w:before="20" w:after="20" w:line="240" w:lineRule="auto"/>
            </w:pPr>
            <w:hyperlink r:id="rId85">
              <w:r>
                <w:rPr>
                  <w:rStyle w:val="Hyperlink"/>
                  <w:sz w:val="17"/>
                  <w:szCs w:val="17"/>
                </w:rPr>
                <w:t>doi:10.1007/s10459-007-9090-2</w:t>
              </w:r>
            </w:hyperlink>
          </w:p>
        </w:tc>
        <w:tc>
          <w:tcPr>
            <w:tcW w:w="4320" w:type="dxa"/>
          </w:tcPr>
          <w:p w14:paraId="407BB642" w14:textId="77777777" w:rsidR="00AB17F5" w:rsidRDefault="00000000">
            <w:pPr>
              <w:spacing w:before="20" w:after="20" w:line="240" w:lineRule="auto"/>
            </w:pPr>
            <w:r>
              <w:rPr>
                <w:sz w:val="17"/>
                <w:szCs w:val="17"/>
              </w:rPr>
              <w:t>Systematic review: reflection can be taught and matters, but the evidence is uneven — so design reflective practice purposefully</w:t>
            </w:r>
          </w:p>
        </w:tc>
        <w:tc>
          <w:tcPr>
            <w:tcW w:w="1152" w:type="dxa"/>
          </w:tcPr>
          <w:p w14:paraId="650BC9D5" w14:textId="77777777" w:rsidR="00AB17F5" w:rsidRDefault="00000000">
            <w:pPr>
              <w:spacing w:before="20" w:after="20" w:line="240" w:lineRule="auto"/>
            </w:pPr>
            <w:r>
              <w:rPr>
                <w:sz w:val="17"/>
                <w:szCs w:val="17"/>
              </w:rPr>
              <w:t>Evidence</w:t>
            </w:r>
          </w:p>
        </w:tc>
      </w:tr>
      <w:tr w:rsidR="00AB17F5" w14:paraId="08B90A76" w14:textId="77777777">
        <w:tc>
          <w:tcPr>
            <w:tcW w:w="2880" w:type="dxa"/>
          </w:tcPr>
          <w:p w14:paraId="21592B37" w14:textId="77777777" w:rsidR="00AB17F5" w:rsidRDefault="00000000">
            <w:pPr>
              <w:spacing w:before="20" w:after="20" w:line="240" w:lineRule="auto"/>
            </w:pPr>
            <w:r>
              <w:rPr>
                <w:sz w:val="17"/>
                <w:szCs w:val="17"/>
              </w:rPr>
              <w:t xml:space="preserve">Graham, Gask et al. Balint-style case discussion groups in psychiatric training. </w:t>
            </w:r>
            <w:proofErr w:type="spellStart"/>
            <w:r>
              <w:rPr>
                <w:i/>
                <w:sz w:val="17"/>
                <w:szCs w:val="17"/>
              </w:rPr>
              <w:t>Acad</w:t>
            </w:r>
            <w:proofErr w:type="spellEnd"/>
            <w:r>
              <w:rPr>
                <w:i/>
                <w:sz w:val="17"/>
                <w:szCs w:val="17"/>
              </w:rPr>
              <w:t xml:space="preserve"> Psychiatry.</w:t>
            </w:r>
            <w:r>
              <w:rPr>
                <w:sz w:val="17"/>
                <w:szCs w:val="17"/>
              </w:rPr>
              <w:t xml:space="preserve"> 2009</w:t>
            </w:r>
          </w:p>
        </w:tc>
        <w:tc>
          <w:tcPr>
            <w:tcW w:w="1248" w:type="dxa"/>
          </w:tcPr>
          <w:p w14:paraId="74DB9E04" w14:textId="77777777" w:rsidR="00AB17F5" w:rsidRDefault="00AB17F5">
            <w:pPr>
              <w:spacing w:before="20" w:after="20" w:line="240" w:lineRule="auto"/>
            </w:pPr>
            <w:hyperlink r:id="rId86">
              <w:r>
                <w:rPr>
                  <w:rStyle w:val="Hyperlink"/>
                  <w:sz w:val="17"/>
                  <w:szCs w:val="17"/>
                </w:rPr>
                <w:t>doi:10.1176/appi.ap.33.3.198</w:t>
              </w:r>
            </w:hyperlink>
          </w:p>
        </w:tc>
        <w:tc>
          <w:tcPr>
            <w:tcW w:w="4320" w:type="dxa"/>
          </w:tcPr>
          <w:p w14:paraId="2849F2C5" w14:textId="77777777" w:rsidR="00AB17F5" w:rsidRDefault="00000000">
            <w:pPr>
              <w:spacing w:before="20" w:after="20" w:line="240" w:lineRule="auto"/>
            </w:pPr>
            <w:r>
              <w:rPr>
                <w:sz w:val="17"/>
                <w:szCs w:val="17"/>
              </w:rPr>
              <w:t>Psychiatry-specific evaluation of Balint groups for processing the doctor–patient relationship and countertransference.</w:t>
            </w:r>
          </w:p>
        </w:tc>
        <w:tc>
          <w:tcPr>
            <w:tcW w:w="1152" w:type="dxa"/>
          </w:tcPr>
          <w:p w14:paraId="37F33806" w14:textId="77777777" w:rsidR="00AB17F5" w:rsidRDefault="00000000">
            <w:pPr>
              <w:spacing w:before="20" w:after="20" w:line="240" w:lineRule="auto"/>
            </w:pPr>
            <w:r>
              <w:rPr>
                <w:sz w:val="17"/>
                <w:szCs w:val="17"/>
              </w:rPr>
              <w:t>Evidence</w:t>
            </w:r>
          </w:p>
        </w:tc>
      </w:tr>
      <w:tr w:rsidR="00AB17F5" w14:paraId="46738F91" w14:textId="77777777">
        <w:tc>
          <w:tcPr>
            <w:tcW w:w="2880" w:type="dxa"/>
          </w:tcPr>
          <w:p w14:paraId="3DD300E6" w14:textId="47119F96" w:rsidR="00AB17F5" w:rsidRDefault="00000000">
            <w:pPr>
              <w:spacing w:before="20" w:after="20" w:line="240" w:lineRule="auto"/>
            </w:pPr>
            <w:r>
              <w:rPr>
                <w:sz w:val="17"/>
                <w:szCs w:val="17"/>
              </w:rPr>
              <w:t xml:space="preserve">Seth et al. The impact of coaching on professional identity development in postgraduate medical trainees: a scoping review. </w:t>
            </w:r>
            <w:r>
              <w:rPr>
                <w:i/>
                <w:sz w:val="17"/>
                <w:szCs w:val="17"/>
              </w:rPr>
              <w:t>Med Educ.</w:t>
            </w:r>
            <w:r>
              <w:rPr>
                <w:sz w:val="17"/>
                <w:szCs w:val="17"/>
              </w:rPr>
              <w:t xml:space="preserve"> 2025 </w:t>
            </w:r>
            <w:r>
              <w:rPr>
                <w:i/>
                <w:sz w:val="17"/>
                <w:szCs w:val="17"/>
              </w:rPr>
              <w:t>(online-first)</w:t>
            </w:r>
          </w:p>
        </w:tc>
        <w:tc>
          <w:tcPr>
            <w:tcW w:w="1248" w:type="dxa"/>
          </w:tcPr>
          <w:p w14:paraId="62D63B96" w14:textId="77777777" w:rsidR="00AB17F5" w:rsidRDefault="00AB17F5">
            <w:pPr>
              <w:spacing w:before="20" w:after="20" w:line="240" w:lineRule="auto"/>
            </w:pPr>
            <w:hyperlink r:id="rId87">
              <w:r>
                <w:rPr>
                  <w:rStyle w:val="Hyperlink"/>
                  <w:sz w:val="17"/>
                  <w:szCs w:val="17"/>
                </w:rPr>
                <w:t>doi:1</w:t>
              </w:r>
              <w:r>
                <w:rPr>
                  <w:rStyle w:val="Hyperlink"/>
                  <w:sz w:val="17"/>
                  <w:szCs w:val="17"/>
                </w:rPr>
                <w:t>0</w:t>
              </w:r>
              <w:r>
                <w:rPr>
                  <w:rStyle w:val="Hyperlink"/>
                  <w:sz w:val="17"/>
                  <w:szCs w:val="17"/>
                </w:rPr>
                <w:t>.1111/medu.70106</w:t>
              </w:r>
            </w:hyperlink>
          </w:p>
        </w:tc>
        <w:tc>
          <w:tcPr>
            <w:tcW w:w="4320" w:type="dxa"/>
          </w:tcPr>
          <w:p w14:paraId="4FB8E6FF" w14:textId="77777777" w:rsidR="00AB17F5" w:rsidRDefault="00000000">
            <w:pPr>
              <w:spacing w:before="20" w:after="20" w:line="240" w:lineRule="auto"/>
            </w:pPr>
            <w:r>
              <w:rPr>
                <w:sz w:val="17"/>
                <w:szCs w:val="17"/>
              </w:rPr>
              <w:t>Scoping review linking coaching to professional identity formation.</w:t>
            </w:r>
          </w:p>
        </w:tc>
        <w:tc>
          <w:tcPr>
            <w:tcW w:w="1152" w:type="dxa"/>
          </w:tcPr>
          <w:p w14:paraId="0382A7FF" w14:textId="77777777" w:rsidR="00AB17F5" w:rsidRDefault="00000000">
            <w:pPr>
              <w:spacing w:before="20" w:after="20" w:line="240" w:lineRule="auto"/>
            </w:pPr>
            <w:r>
              <w:rPr>
                <w:sz w:val="17"/>
                <w:szCs w:val="17"/>
              </w:rPr>
              <w:t>Evidence</w:t>
            </w:r>
          </w:p>
        </w:tc>
      </w:tr>
    </w:tbl>
    <w:p w14:paraId="5A5794C7" w14:textId="77777777" w:rsidR="00AB17F5" w:rsidRDefault="00AB17F5"/>
    <w:p w14:paraId="6CF36DBB" w14:textId="77777777" w:rsidR="00AB17F5" w:rsidRDefault="00AB17F5">
      <w:pPr>
        <w:pBdr>
          <w:bottom w:val="single" w:sz="4" w:space="1" w:color="CCCCCC"/>
        </w:pBdr>
      </w:pPr>
    </w:p>
    <w:p w14:paraId="51C59E29" w14:textId="77777777" w:rsidR="00AB17F5" w:rsidRDefault="00000000">
      <w:pPr>
        <w:pStyle w:val="Heading1"/>
      </w:pPr>
      <w:r>
        <w:t>10. Equity &amp; Cultural Safety</w:t>
      </w:r>
    </w:p>
    <w:p w14:paraId="25517512" w14:textId="584BBAE5" w:rsidR="00AB17F5" w:rsidRDefault="00000000">
      <w:r>
        <w:t xml:space="preserve">The AMC's cultural-safety conditions influence this redesign, and the assessment literature gives the equity case real teeth. The OSCE carries documented differential-attainment risk (Woolf; Esmail &amp; Roberts; Patterson) — a concern for a College with many international medical graduates — which strengthens the case for the assessment shift </w:t>
      </w:r>
      <w:r>
        <w:rPr>
          <w:i/>
        </w:rPr>
        <w:t>and</w:t>
      </w:r>
      <w:r>
        <w:t xml:space="preserve"> demands that the new system build in safeguards: examiner calibration, bias-aware assessor training, and monitoring of differential attainment by IMG status / ethnicity / first language. Cultural safety also belongs in curriculum content, not just assessment (§11).</w:t>
      </w:r>
      <w:r w:rsidR="00B735E6">
        <w:br/>
      </w:r>
    </w:p>
    <w:tbl>
      <w:tblPr>
        <w:tblW w:w="9600" w:type="dxa"/>
        <w:tblInd w:w="1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CellMar>
          <w:left w:w="10" w:type="dxa"/>
          <w:right w:w="10" w:type="dxa"/>
        </w:tblCellMar>
        <w:tblLook w:val="07E0" w:firstRow="1" w:lastRow="1" w:firstColumn="1" w:lastColumn="1" w:noHBand="1" w:noVBand="1"/>
      </w:tblPr>
      <w:tblGrid>
        <w:gridCol w:w="2102"/>
        <w:gridCol w:w="3440"/>
        <w:gridCol w:w="2888"/>
        <w:gridCol w:w="1170"/>
      </w:tblGrid>
      <w:tr w:rsidR="00AB17F5" w14:paraId="0A8D40A9" w14:textId="77777777" w:rsidTr="00B735E6">
        <w:trPr>
          <w:tblHeader/>
        </w:trPr>
        <w:tc>
          <w:tcPr>
            <w:tcW w:w="2102" w:type="dxa"/>
            <w:shd w:val="clear" w:color="auto" w:fill="EFE9F4"/>
          </w:tcPr>
          <w:p w14:paraId="4104F5C7" w14:textId="77777777" w:rsidR="00AB17F5" w:rsidRDefault="00000000">
            <w:pPr>
              <w:spacing w:before="20" w:after="20" w:line="240" w:lineRule="auto"/>
            </w:pPr>
            <w:r>
              <w:rPr>
                <w:b/>
                <w:sz w:val="17"/>
                <w:szCs w:val="17"/>
              </w:rPr>
              <w:t>Reference</w:t>
            </w:r>
          </w:p>
        </w:tc>
        <w:tc>
          <w:tcPr>
            <w:tcW w:w="3440" w:type="dxa"/>
            <w:shd w:val="clear" w:color="auto" w:fill="EFE9F4"/>
          </w:tcPr>
          <w:p w14:paraId="76559CA5" w14:textId="77777777" w:rsidR="00AB17F5" w:rsidRDefault="00000000">
            <w:pPr>
              <w:spacing w:before="20" w:after="20" w:line="240" w:lineRule="auto"/>
            </w:pPr>
            <w:r>
              <w:rPr>
                <w:b/>
                <w:sz w:val="17"/>
                <w:szCs w:val="17"/>
              </w:rPr>
              <w:t>Link</w:t>
            </w:r>
          </w:p>
        </w:tc>
        <w:tc>
          <w:tcPr>
            <w:tcW w:w="2888" w:type="dxa"/>
            <w:shd w:val="clear" w:color="auto" w:fill="EFE9F4"/>
          </w:tcPr>
          <w:p w14:paraId="4D675F79" w14:textId="77777777" w:rsidR="00AB17F5" w:rsidRDefault="00000000">
            <w:pPr>
              <w:spacing w:before="20" w:after="20" w:line="240" w:lineRule="auto"/>
            </w:pPr>
            <w:r>
              <w:rPr>
                <w:b/>
                <w:sz w:val="17"/>
                <w:szCs w:val="17"/>
              </w:rPr>
              <w:t>What it tells us</w:t>
            </w:r>
          </w:p>
        </w:tc>
        <w:tc>
          <w:tcPr>
            <w:tcW w:w="1170" w:type="dxa"/>
            <w:shd w:val="clear" w:color="auto" w:fill="EFE9F4"/>
          </w:tcPr>
          <w:p w14:paraId="11C696A0" w14:textId="77777777" w:rsidR="00AB17F5" w:rsidRDefault="00000000">
            <w:pPr>
              <w:spacing w:before="20" w:after="20" w:line="240" w:lineRule="auto"/>
            </w:pPr>
            <w:r>
              <w:rPr>
                <w:b/>
                <w:sz w:val="17"/>
                <w:szCs w:val="17"/>
              </w:rPr>
              <w:t>Category</w:t>
            </w:r>
          </w:p>
        </w:tc>
      </w:tr>
      <w:tr w:rsidR="00AB17F5" w14:paraId="0300BB29" w14:textId="77777777" w:rsidTr="00B735E6">
        <w:tc>
          <w:tcPr>
            <w:tcW w:w="2102" w:type="dxa"/>
          </w:tcPr>
          <w:p w14:paraId="67F64046" w14:textId="77777777" w:rsidR="00AB17F5" w:rsidRDefault="00000000">
            <w:pPr>
              <w:spacing w:before="20" w:after="20" w:line="240" w:lineRule="auto"/>
            </w:pPr>
            <w:r>
              <w:rPr>
                <w:sz w:val="17"/>
                <w:szCs w:val="17"/>
              </w:rPr>
              <w:t xml:space="preserve">Woolf, Potts, McManus. Ethnicity and academic performance in UK doctors/students: meta-analysis. </w:t>
            </w:r>
            <w:r>
              <w:rPr>
                <w:i/>
                <w:sz w:val="17"/>
                <w:szCs w:val="17"/>
              </w:rPr>
              <w:t>BMJ.</w:t>
            </w:r>
            <w:r>
              <w:rPr>
                <w:sz w:val="17"/>
                <w:szCs w:val="17"/>
              </w:rPr>
              <w:t xml:space="preserve"> 2011</w:t>
            </w:r>
          </w:p>
        </w:tc>
        <w:tc>
          <w:tcPr>
            <w:tcW w:w="3440" w:type="dxa"/>
          </w:tcPr>
          <w:p w14:paraId="6D0CB610" w14:textId="77777777" w:rsidR="00AB17F5" w:rsidRDefault="00AB17F5">
            <w:pPr>
              <w:spacing w:before="20" w:after="20" w:line="240" w:lineRule="auto"/>
            </w:pPr>
            <w:hyperlink r:id="rId88">
              <w:r>
                <w:rPr>
                  <w:rStyle w:val="Hyperlink"/>
                  <w:sz w:val="17"/>
                  <w:szCs w:val="17"/>
                </w:rPr>
                <w:t>doi:10.1136/</w:t>
              </w:r>
              <w:proofErr w:type="gramStart"/>
              <w:r>
                <w:rPr>
                  <w:rStyle w:val="Hyperlink"/>
                  <w:sz w:val="17"/>
                  <w:szCs w:val="17"/>
                </w:rPr>
                <w:t>bmj.d</w:t>
              </w:r>
              <w:proofErr w:type="gramEnd"/>
              <w:r>
                <w:rPr>
                  <w:rStyle w:val="Hyperlink"/>
                  <w:sz w:val="17"/>
                  <w:szCs w:val="17"/>
                </w:rPr>
                <w:t>901</w:t>
              </w:r>
            </w:hyperlink>
          </w:p>
        </w:tc>
        <w:tc>
          <w:tcPr>
            <w:tcW w:w="2888" w:type="dxa"/>
          </w:tcPr>
          <w:p w14:paraId="1BB16E96" w14:textId="77777777" w:rsidR="00AB17F5" w:rsidRDefault="00000000">
            <w:pPr>
              <w:spacing w:before="20" w:after="20" w:line="240" w:lineRule="auto"/>
            </w:pPr>
            <w:r>
              <w:rPr>
                <w:sz w:val="17"/>
                <w:szCs w:val="17"/>
              </w:rPr>
              <w:t>Meta-analysis (23,742 candidates): consistent underperformance of non-white candidates (d≈0.42), comparable across machine-marked and examiner-based assessments</w:t>
            </w:r>
          </w:p>
        </w:tc>
        <w:tc>
          <w:tcPr>
            <w:tcW w:w="1170" w:type="dxa"/>
          </w:tcPr>
          <w:p w14:paraId="00EC4431" w14:textId="77777777" w:rsidR="00AB17F5" w:rsidRDefault="00000000">
            <w:pPr>
              <w:spacing w:before="20" w:after="20" w:line="240" w:lineRule="auto"/>
            </w:pPr>
            <w:r>
              <w:rPr>
                <w:sz w:val="17"/>
                <w:szCs w:val="17"/>
              </w:rPr>
              <w:t>Evidence</w:t>
            </w:r>
          </w:p>
        </w:tc>
      </w:tr>
      <w:tr w:rsidR="00AB17F5" w14:paraId="5FC31D84" w14:textId="77777777" w:rsidTr="00B735E6">
        <w:tc>
          <w:tcPr>
            <w:tcW w:w="2102" w:type="dxa"/>
          </w:tcPr>
          <w:p w14:paraId="4E18BF94" w14:textId="77777777" w:rsidR="00AB17F5" w:rsidRDefault="00000000">
            <w:pPr>
              <w:spacing w:before="20" w:after="20" w:line="240" w:lineRule="auto"/>
            </w:pPr>
            <w:r>
              <w:rPr>
                <w:sz w:val="17"/>
                <w:szCs w:val="17"/>
              </w:rPr>
              <w:t xml:space="preserve">Esmail &amp; Roberts. Ethnic minority performance &amp; discrimination in the MRCGP. </w:t>
            </w:r>
            <w:r>
              <w:rPr>
                <w:i/>
                <w:sz w:val="17"/>
                <w:szCs w:val="17"/>
              </w:rPr>
              <w:t>BMJ.</w:t>
            </w:r>
            <w:r>
              <w:rPr>
                <w:sz w:val="17"/>
                <w:szCs w:val="17"/>
              </w:rPr>
              <w:t xml:space="preserve"> 2013</w:t>
            </w:r>
          </w:p>
        </w:tc>
        <w:tc>
          <w:tcPr>
            <w:tcW w:w="3440" w:type="dxa"/>
          </w:tcPr>
          <w:p w14:paraId="267A7222" w14:textId="77777777" w:rsidR="00AB17F5" w:rsidRDefault="00AB17F5">
            <w:pPr>
              <w:spacing w:before="20" w:after="20" w:line="240" w:lineRule="auto"/>
            </w:pPr>
            <w:hyperlink r:id="rId89">
              <w:r>
                <w:rPr>
                  <w:rStyle w:val="Hyperlink"/>
                  <w:sz w:val="17"/>
                  <w:szCs w:val="17"/>
                </w:rPr>
                <w:t>doi:10.1136/</w:t>
              </w:r>
              <w:proofErr w:type="gramStart"/>
              <w:r>
                <w:rPr>
                  <w:rStyle w:val="Hyperlink"/>
                  <w:sz w:val="17"/>
                  <w:szCs w:val="17"/>
                </w:rPr>
                <w:t>bmj.f</w:t>
              </w:r>
              <w:proofErr w:type="gramEnd"/>
              <w:r>
                <w:rPr>
                  <w:rStyle w:val="Hyperlink"/>
                  <w:sz w:val="17"/>
                  <w:szCs w:val="17"/>
                </w:rPr>
                <w:t>5662</w:t>
              </w:r>
            </w:hyperlink>
          </w:p>
        </w:tc>
        <w:tc>
          <w:tcPr>
            <w:tcW w:w="2888" w:type="dxa"/>
          </w:tcPr>
          <w:p w14:paraId="42795A05" w14:textId="77777777" w:rsidR="00AB17F5" w:rsidRDefault="00000000">
            <w:pPr>
              <w:spacing w:before="20" w:after="20" w:line="240" w:lineRule="auto"/>
            </w:pPr>
            <w:r>
              <w:rPr>
                <w:sz w:val="17"/>
                <w:szCs w:val="17"/>
              </w:rPr>
              <w:t>The GMC-commissioned analysis behind the BAPIO judicial review: subjective examiner bias in the face-to-face clinical exam may contribute to higher failure among BME UK graduates and IMGs</w:t>
            </w:r>
          </w:p>
        </w:tc>
        <w:tc>
          <w:tcPr>
            <w:tcW w:w="1170" w:type="dxa"/>
          </w:tcPr>
          <w:p w14:paraId="447F3939" w14:textId="77777777" w:rsidR="00AB17F5" w:rsidRDefault="00000000">
            <w:pPr>
              <w:spacing w:before="20" w:after="20" w:line="240" w:lineRule="auto"/>
            </w:pPr>
            <w:r>
              <w:rPr>
                <w:sz w:val="17"/>
                <w:szCs w:val="17"/>
              </w:rPr>
              <w:t>Evidence</w:t>
            </w:r>
          </w:p>
        </w:tc>
      </w:tr>
      <w:tr w:rsidR="00AB17F5" w14:paraId="321145A8" w14:textId="77777777" w:rsidTr="00B735E6">
        <w:tc>
          <w:tcPr>
            <w:tcW w:w="2102" w:type="dxa"/>
          </w:tcPr>
          <w:p w14:paraId="5B503AAD" w14:textId="77777777" w:rsidR="00AB17F5" w:rsidRDefault="00000000">
            <w:pPr>
              <w:spacing w:before="20" w:after="20" w:line="240" w:lineRule="auto"/>
            </w:pPr>
            <w:r>
              <w:rPr>
                <w:sz w:val="17"/>
                <w:szCs w:val="17"/>
              </w:rPr>
              <w:t xml:space="preserve">Patterson et al. Unpacking the dark variance of differential attainment in overseas graduates. </w:t>
            </w:r>
            <w:r>
              <w:rPr>
                <w:i/>
                <w:sz w:val="17"/>
                <w:szCs w:val="17"/>
              </w:rPr>
              <w:t>Med Educ.</w:t>
            </w:r>
            <w:r>
              <w:rPr>
                <w:sz w:val="17"/>
                <w:szCs w:val="17"/>
              </w:rPr>
              <w:t xml:space="preserve"> 2018</w:t>
            </w:r>
          </w:p>
        </w:tc>
        <w:tc>
          <w:tcPr>
            <w:tcW w:w="3440" w:type="dxa"/>
          </w:tcPr>
          <w:p w14:paraId="2FE7E401" w14:textId="77777777" w:rsidR="00AB17F5" w:rsidRDefault="00AB17F5">
            <w:pPr>
              <w:spacing w:before="20" w:after="20" w:line="240" w:lineRule="auto"/>
            </w:pPr>
            <w:hyperlink r:id="rId90">
              <w:r>
                <w:rPr>
                  <w:rStyle w:val="Hyperlink"/>
                  <w:sz w:val="17"/>
                  <w:szCs w:val="17"/>
                </w:rPr>
                <w:t>doi:10.1111/medu.13605</w:t>
              </w:r>
            </w:hyperlink>
          </w:p>
        </w:tc>
        <w:tc>
          <w:tcPr>
            <w:tcW w:w="2888" w:type="dxa"/>
          </w:tcPr>
          <w:p w14:paraId="6E22B614" w14:textId="77777777" w:rsidR="00AB17F5" w:rsidRDefault="00000000">
            <w:pPr>
              <w:spacing w:before="20" w:after="20" w:line="240" w:lineRule="auto"/>
            </w:pPr>
            <w:r>
              <w:rPr>
                <w:sz w:val="17"/>
                <w:szCs w:val="17"/>
              </w:rPr>
              <w:t>Differential attainment is multifactorial ("dark variance"), but exam design and acculturation interact to disadvantage international medical graduates</w:t>
            </w:r>
          </w:p>
        </w:tc>
        <w:tc>
          <w:tcPr>
            <w:tcW w:w="1170" w:type="dxa"/>
          </w:tcPr>
          <w:p w14:paraId="44B0148D" w14:textId="77777777" w:rsidR="00AB17F5" w:rsidRDefault="00000000">
            <w:pPr>
              <w:spacing w:before="20" w:after="20" w:line="240" w:lineRule="auto"/>
            </w:pPr>
            <w:r>
              <w:rPr>
                <w:sz w:val="17"/>
                <w:szCs w:val="17"/>
              </w:rPr>
              <w:t>Evidence</w:t>
            </w:r>
          </w:p>
        </w:tc>
      </w:tr>
      <w:tr w:rsidR="00AB17F5" w14:paraId="31AA1696" w14:textId="77777777" w:rsidTr="00B735E6">
        <w:tc>
          <w:tcPr>
            <w:tcW w:w="2102" w:type="dxa"/>
          </w:tcPr>
          <w:p w14:paraId="5BAA0F1A" w14:textId="77777777" w:rsidR="00AB17F5" w:rsidRDefault="00000000">
            <w:pPr>
              <w:spacing w:before="20" w:after="20" w:line="240" w:lineRule="auto"/>
            </w:pPr>
            <w:r>
              <w:rPr>
                <w:sz w:val="17"/>
                <w:szCs w:val="17"/>
              </w:rPr>
              <w:t xml:space="preserve">AMC. </w:t>
            </w:r>
            <w:r>
              <w:rPr>
                <w:i/>
                <w:sz w:val="17"/>
                <w:szCs w:val="17"/>
              </w:rPr>
              <w:t>Standards for Assessment and Accreditation of Specialist Medical Programs.</w:t>
            </w:r>
            <w:r>
              <w:rPr>
                <w:sz w:val="17"/>
                <w:szCs w:val="17"/>
              </w:rPr>
              <w:t xml:space="preserve"> 2023 — incl. cultural safety; Standard 5 </w:t>
            </w:r>
            <w:r>
              <w:rPr>
                <w:i/>
                <w:sz w:val="17"/>
                <w:szCs w:val="17"/>
              </w:rPr>
              <w:t>(cross-ref §1)</w:t>
            </w:r>
          </w:p>
        </w:tc>
        <w:tc>
          <w:tcPr>
            <w:tcW w:w="3440" w:type="dxa"/>
          </w:tcPr>
          <w:p w14:paraId="261246D1" w14:textId="77777777" w:rsidR="00AB17F5" w:rsidRDefault="00AB17F5">
            <w:pPr>
              <w:spacing w:before="20" w:after="20" w:line="240" w:lineRule="auto"/>
            </w:pPr>
            <w:hyperlink r:id="rId91">
              <w:r>
                <w:rPr>
                  <w:rStyle w:val="Hyperlink"/>
                  <w:sz w:val="17"/>
                  <w:szCs w:val="17"/>
                </w:rPr>
                <w:t>www.amc.org.au/wp-content/uploads/2023/08/Standards-for-Assessment-and-Accreditation-of-Specialist-Medical-Programs-by-the-Australian-Medical-Council-2023-secured.pdf</w:t>
              </w:r>
            </w:hyperlink>
          </w:p>
        </w:tc>
        <w:tc>
          <w:tcPr>
            <w:tcW w:w="2888" w:type="dxa"/>
          </w:tcPr>
          <w:p w14:paraId="263388C2" w14:textId="77777777" w:rsidR="00AB17F5" w:rsidRDefault="00000000">
            <w:pPr>
              <w:spacing w:before="20" w:after="20" w:line="240" w:lineRule="auto"/>
            </w:pPr>
            <w:r>
              <w:rPr>
                <w:sz w:val="17"/>
                <w:szCs w:val="17"/>
              </w:rPr>
              <w:t>The accreditation standards' cultural-safety requirements — a key driver of the equity work in this section</w:t>
            </w:r>
          </w:p>
        </w:tc>
        <w:tc>
          <w:tcPr>
            <w:tcW w:w="1170" w:type="dxa"/>
          </w:tcPr>
          <w:p w14:paraId="2212433C" w14:textId="77777777" w:rsidR="00AB17F5" w:rsidRDefault="00000000">
            <w:pPr>
              <w:spacing w:before="20" w:after="20" w:line="240" w:lineRule="auto"/>
            </w:pPr>
            <w:r>
              <w:rPr>
                <w:sz w:val="17"/>
                <w:szCs w:val="17"/>
              </w:rPr>
              <w:t>Regulatory/AMC</w:t>
            </w:r>
          </w:p>
        </w:tc>
      </w:tr>
      <w:tr w:rsidR="00AB17F5" w14:paraId="541A89B8" w14:textId="77777777" w:rsidTr="00B735E6">
        <w:tc>
          <w:tcPr>
            <w:tcW w:w="2102" w:type="dxa"/>
          </w:tcPr>
          <w:p w14:paraId="15001496" w14:textId="25918A33" w:rsidR="00AB17F5" w:rsidRDefault="00000000">
            <w:pPr>
              <w:spacing w:before="20" w:after="20" w:line="240" w:lineRule="auto"/>
            </w:pPr>
            <w:r>
              <w:rPr>
                <w:sz w:val="17"/>
                <w:szCs w:val="17"/>
              </w:rPr>
              <w:t xml:space="preserve">Newton-Howes et al. Does a comprehensive service user-led education programme…? (comparative cohort study). </w:t>
            </w:r>
            <w:r>
              <w:rPr>
                <w:i/>
                <w:sz w:val="17"/>
                <w:szCs w:val="17"/>
              </w:rPr>
              <w:t>ANZJP.</w:t>
            </w:r>
            <w:r>
              <w:rPr>
                <w:sz w:val="17"/>
                <w:szCs w:val="17"/>
              </w:rPr>
              <w:t xml:space="preserve"> 2021;55(9):903–910</w:t>
            </w:r>
          </w:p>
        </w:tc>
        <w:tc>
          <w:tcPr>
            <w:tcW w:w="3440" w:type="dxa"/>
          </w:tcPr>
          <w:p w14:paraId="3F227976" w14:textId="77777777" w:rsidR="00AB17F5" w:rsidRDefault="00AB17F5">
            <w:pPr>
              <w:spacing w:before="20" w:after="20" w:line="240" w:lineRule="auto"/>
            </w:pPr>
            <w:hyperlink r:id="rId92">
              <w:r>
                <w:rPr>
                  <w:rStyle w:val="Hyperlink"/>
                  <w:sz w:val="17"/>
                  <w:szCs w:val="17"/>
                </w:rPr>
                <w:t>doi:10.1177/0004867420987886</w:t>
              </w:r>
            </w:hyperlink>
          </w:p>
        </w:tc>
        <w:tc>
          <w:tcPr>
            <w:tcW w:w="2888" w:type="dxa"/>
          </w:tcPr>
          <w:p w14:paraId="289A7BD6" w14:textId="77777777" w:rsidR="00AB17F5" w:rsidRDefault="00000000">
            <w:pPr>
              <w:spacing w:before="20" w:after="20" w:line="240" w:lineRule="auto"/>
            </w:pPr>
            <w:r>
              <w:rPr>
                <w:sz w:val="17"/>
                <w:szCs w:val="17"/>
              </w:rPr>
              <w:t>Evidence that lived-experience (service-user-led) education shifts trainee attitudes toward recovery.</w:t>
            </w:r>
          </w:p>
        </w:tc>
        <w:tc>
          <w:tcPr>
            <w:tcW w:w="1170" w:type="dxa"/>
          </w:tcPr>
          <w:p w14:paraId="498D7DA9" w14:textId="77777777" w:rsidR="00AB17F5" w:rsidRDefault="00000000">
            <w:pPr>
              <w:spacing w:before="20" w:after="20" w:line="240" w:lineRule="auto"/>
            </w:pPr>
            <w:r>
              <w:rPr>
                <w:sz w:val="17"/>
                <w:szCs w:val="17"/>
              </w:rPr>
              <w:t>Evidence</w:t>
            </w:r>
          </w:p>
        </w:tc>
      </w:tr>
      <w:tr w:rsidR="00AB17F5" w14:paraId="5E5F752D" w14:textId="77777777" w:rsidTr="00B735E6">
        <w:tc>
          <w:tcPr>
            <w:tcW w:w="2102" w:type="dxa"/>
          </w:tcPr>
          <w:p w14:paraId="19224312" w14:textId="61AD873F" w:rsidR="00AB17F5" w:rsidRDefault="00000000">
            <w:pPr>
              <w:spacing w:before="20" w:after="20" w:line="240" w:lineRule="auto"/>
            </w:pPr>
            <w:r>
              <w:rPr>
                <w:sz w:val="17"/>
                <w:szCs w:val="17"/>
              </w:rPr>
              <w:t xml:space="preserve">Ahir-Knight et al. Growing the lived experience voice in psychiatry education and research. </w:t>
            </w:r>
            <w:r>
              <w:rPr>
                <w:i/>
                <w:sz w:val="17"/>
                <w:szCs w:val="17"/>
              </w:rPr>
              <w:t>ANZJP.</w:t>
            </w:r>
            <w:r>
              <w:rPr>
                <w:sz w:val="17"/>
                <w:szCs w:val="17"/>
              </w:rPr>
              <w:t xml:space="preserve"> 2024;58(10):825–828</w:t>
            </w:r>
          </w:p>
        </w:tc>
        <w:tc>
          <w:tcPr>
            <w:tcW w:w="3440" w:type="dxa"/>
          </w:tcPr>
          <w:p w14:paraId="5273BA3E" w14:textId="77777777" w:rsidR="00AB17F5" w:rsidRDefault="00AB17F5">
            <w:pPr>
              <w:spacing w:before="20" w:after="20" w:line="240" w:lineRule="auto"/>
            </w:pPr>
            <w:hyperlink r:id="rId93">
              <w:r>
                <w:rPr>
                  <w:rStyle w:val="Hyperlink"/>
                  <w:sz w:val="17"/>
                  <w:szCs w:val="17"/>
                </w:rPr>
                <w:t>doi:10.1177/00048674241274278</w:t>
              </w:r>
            </w:hyperlink>
          </w:p>
        </w:tc>
        <w:tc>
          <w:tcPr>
            <w:tcW w:w="2888" w:type="dxa"/>
          </w:tcPr>
          <w:p w14:paraId="3CBCB8E9" w14:textId="77777777" w:rsidR="00AB17F5" w:rsidRDefault="00000000">
            <w:pPr>
              <w:spacing w:before="20" w:after="20" w:line="240" w:lineRule="auto"/>
            </w:pPr>
            <w:r>
              <w:rPr>
                <w:sz w:val="17"/>
                <w:szCs w:val="17"/>
              </w:rPr>
              <w:t>An academic department's journey embedding lived experience in education.</w:t>
            </w:r>
          </w:p>
        </w:tc>
        <w:tc>
          <w:tcPr>
            <w:tcW w:w="1170" w:type="dxa"/>
          </w:tcPr>
          <w:p w14:paraId="2F0E9B10" w14:textId="77777777" w:rsidR="00AB17F5" w:rsidRDefault="00000000">
            <w:pPr>
              <w:spacing w:before="20" w:after="20" w:line="240" w:lineRule="auto"/>
            </w:pPr>
            <w:r>
              <w:rPr>
                <w:sz w:val="17"/>
                <w:szCs w:val="17"/>
              </w:rPr>
              <w:t>Evidence</w:t>
            </w:r>
          </w:p>
        </w:tc>
      </w:tr>
      <w:tr w:rsidR="00AB17F5" w14:paraId="1D46CD6C" w14:textId="77777777" w:rsidTr="00B735E6">
        <w:tc>
          <w:tcPr>
            <w:tcW w:w="2102" w:type="dxa"/>
          </w:tcPr>
          <w:p w14:paraId="0F1F1A50" w14:textId="48AEAC2A" w:rsidR="00AB17F5" w:rsidRDefault="00000000">
            <w:pPr>
              <w:spacing w:before="20" w:after="20" w:line="240" w:lineRule="auto"/>
            </w:pPr>
            <w:r>
              <w:rPr>
                <w:sz w:val="17"/>
                <w:szCs w:val="17"/>
              </w:rPr>
              <w:t xml:space="preserve">Leandre, Diaz-Fernandez, </w:t>
            </w:r>
            <w:proofErr w:type="spellStart"/>
            <w:r>
              <w:rPr>
                <w:sz w:val="17"/>
                <w:szCs w:val="17"/>
              </w:rPr>
              <w:t>Ginory</w:t>
            </w:r>
            <w:proofErr w:type="spellEnd"/>
            <w:r>
              <w:rPr>
                <w:sz w:val="17"/>
                <w:szCs w:val="17"/>
              </w:rPr>
              <w:t xml:space="preserve">. Are medical students and residents receiving an appropriate education on </w:t>
            </w:r>
            <w:r>
              <w:rPr>
                <w:sz w:val="17"/>
                <w:szCs w:val="17"/>
              </w:rPr>
              <w:lastRenderedPageBreak/>
              <w:t xml:space="preserve">LGBTQ+ health? </w:t>
            </w:r>
            <w:r>
              <w:rPr>
                <w:i/>
                <w:sz w:val="17"/>
                <w:szCs w:val="17"/>
              </w:rPr>
              <w:t>ANZJP.</w:t>
            </w:r>
            <w:r>
              <w:rPr>
                <w:sz w:val="17"/>
                <w:szCs w:val="17"/>
              </w:rPr>
              <w:t xml:space="preserve"> 2021;55(4):426–427</w:t>
            </w:r>
          </w:p>
        </w:tc>
        <w:tc>
          <w:tcPr>
            <w:tcW w:w="3440" w:type="dxa"/>
          </w:tcPr>
          <w:p w14:paraId="3741362C" w14:textId="77777777" w:rsidR="00AB17F5" w:rsidRDefault="00AB17F5">
            <w:pPr>
              <w:spacing w:before="20" w:after="20" w:line="240" w:lineRule="auto"/>
            </w:pPr>
            <w:hyperlink r:id="rId94">
              <w:r>
                <w:rPr>
                  <w:rStyle w:val="Hyperlink"/>
                  <w:sz w:val="17"/>
                  <w:szCs w:val="17"/>
                </w:rPr>
                <w:t>doi:10.1177/0004867420982069</w:t>
              </w:r>
            </w:hyperlink>
          </w:p>
        </w:tc>
        <w:tc>
          <w:tcPr>
            <w:tcW w:w="2888" w:type="dxa"/>
          </w:tcPr>
          <w:p w14:paraId="5BC7F7EB" w14:textId="77777777" w:rsidR="00AB17F5" w:rsidRDefault="00000000">
            <w:pPr>
              <w:spacing w:before="20" w:after="20" w:line="240" w:lineRule="auto"/>
            </w:pPr>
            <w:r>
              <w:rPr>
                <w:sz w:val="17"/>
                <w:szCs w:val="17"/>
              </w:rPr>
              <w:t>Flags LGBTQ+ health as an under-taught equity gap.</w:t>
            </w:r>
          </w:p>
        </w:tc>
        <w:tc>
          <w:tcPr>
            <w:tcW w:w="1170" w:type="dxa"/>
          </w:tcPr>
          <w:p w14:paraId="217EEC95" w14:textId="77777777" w:rsidR="00AB17F5" w:rsidRDefault="00000000">
            <w:pPr>
              <w:spacing w:before="20" w:after="20" w:line="240" w:lineRule="auto"/>
            </w:pPr>
            <w:r>
              <w:rPr>
                <w:sz w:val="17"/>
                <w:szCs w:val="17"/>
              </w:rPr>
              <w:t>Evidence</w:t>
            </w:r>
          </w:p>
        </w:tc>
      </w:tr>
    </w:tbl>
    <w:p w14:paraId="74CDA3B2" w14:textId="77777777" w:rsidR="00AB17F5" w:rsidRDefault="00AB17F5"/>
    <w:p w14:paraId="100DD602" w14:textId="77777777" w:rsidR="00AB17F5" w:rsidRDefault="00AB17F5">
      <w:pPr>
        <w:pBdr>
          <w:bottom w:val="single" w:sz="4" w:space="1" w:color="CCCCCC"/>
        </w:pBdr>
      </w:pPr>
    </w:p>
    <w:p w14:paraId="7DD7C53E" w14:textId="77777777" w:rsidR="00AB17F5" w:rsidRDefault="00000000">
      <w:pPr>
        <w:pStyle w:val="Heading1"/>
      </w:pPr>
      <w:r>
        <w:t>11. First Nations mental health — models of wellbeing, traditional practice &amp; cultural safety</w:t>
      </w:r>
    </w:p>
    <w:p w14:paraId="59B6D668" w14:textId="77777777" w:rsidR="00AB17F5" w:rsidRDefault="00000000">
      <w:r>
        <w:t xml:space="preserve">The AMC condition asks the </w:t>
      </w:r>
      <w:r>
        <w:rPr>
          <w:i/>
        </w:rPr>
        <w:t>curriculum</w:t>
      </w:r>
      <w:r>
        <w:t xml:space="preserve"> — not just the assessment — to embed cultural safety. That means teaching Indigenous </w:t>
      </w:r>
      <w:r>
        <w:rPr>
          <w:b/>
        </w:rPr>
        <w:t>models of wellbeing</w:t>
      </w:r>
      <w:r>
        <w:t xml:space="preserve">, which are holistic and collective rather than the individual biomedical construct, and engaging respectfully with </w:t>
      </w:r>
      <w:r>
        <w:rPr>
          <w:b/>
        </w:rPr>
        <w:t>traditional healing</w:t>
      </w:r>
      <w:r>
        <w:t xml:space="preserve">. The canonical Aboriginal and Torres Strait Islander frame is </w:t>
      </w:r>
      <w:r>
        <w:rPr>
          <w:b/>
        </w:rPr>
        <w:t>Social and Emotional Wellbeing (SEWB)</w:t>
      </w:r>
      <w:r>
        <w:t xml:space="preserve">; the canonical Māori frames are </w:t>
      </w:r>
      <w:proofErr w:type="spellStart"/>
      <w:r>
        <w:rPr>
          <w:b/>
        </w:rPr>
        <w:t>Te</w:t>
      </w:r>
      <w:proofErr w:type="spellEnd"/>
      <w:r>
        <w:rPr>
          <w:b/>
        </w:rPr>
        <w:t xml:space="preserve"> Whare Tapa </w:t>
      </w:r>
      <w:proofErr w:type="spellStart"/>
      <w:r>
        <w:rPr>
          <w:b/>
        </w:rPr>
        <w:t>Whā</w:t>
      </w:r>
      <w:proofErr w:type="spellEnd"/>
      <w:r>
        <w:t xml:space="preserve"> and </w:t>
      </w:r>
      <w:r>
        <w:rPr>
          <w:b/>
        </w:rPr>
        <w:t xml:space="preserve">cultural safety / Kawa </w:t>
      </w:r>
      <w:proofErr w:type="spellStart"/>
      <w:r>
        <w:rPr>
          <w:b/>
        </w:rPr>
        <w:t>Whakaruruhau</w:t>
      </w:r>
      <w:proofErr w:type="spellEnd"/>
      <w:r>
        <w:t xml:space="preserve"> (which is itself the origin of the term the AMC uses).</w:t>
      </w:r>
    </w:p>
    <w:tbl>
      <w:tblPr>
        <w:tblW w:w="9600" w:type="dxa"/>
        <w:tblInd w:w="1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CellMar>
          <w:left w:w="10" w:type="dxa"/>
          <w:right w:w="10" w:type="dxa"/>
        </w:tblCellMar>
        <w:tblLook w:val="07E0" w:firstRow="1" w:lastRow="1" w:firstColumn="1" w:lastColumn="1" w:noHBand="1" w:noVBand="1"/>
      </w:tblPr>
      <w:tblGrid>
        <w:gridCol w:w="1913"/>
        <w:gridCol w:w="4463"/>
        <w:gridCol w:w="2403"/>
        <w:gridCol w:w="821"/>
      </w:tblGrid>
      <w:tr w:rsidR="00AB17F5" w14:paraId="331169D8" w14:textId="77777777" w:rsidTr="00B735E6">
        <w:trPr>
          <w:tblHeader/>
        </w:trPr>
        <w:tc>
          <w:tcPr>
            <w:tcW w:w="1913" w:type="dxa"/>
            <w:shd w:val="clear" w:color="auto" w:fill="EFE9F4"/>
          </w:tcPr>
          <w:p w14:paraId="564C296C" w14:textId="77777777" w:rsidR="00AB17F5" w:rsidRDefault="00000000">
            <w:pPr>
              <w:spacing w:before="20" w:after="20" w:line="240" w:lineRule="auto"/>
            </w:pPr>
            <w:r>
              <w:rPr>
                <w:b/>
                <w:sz w:val="17"/>
                <w:szCs w:val="17"/>
              </w:rPr>
              <w:t>Reference</w:t>
            </w:r>
          </w:p>
        </w:tc>
        <w:tc>
          <w:tcPr>
            <w:tcW w:w="4463" w:type="dxa"/>
            <w:shd w:val="clear" w:color="auto" w:fill="EFE9F4"/>
          </w:tcPr>
          <w:p w14:paraId="42DE05AD" w14:textId="77777777" w:rsidR="00AB17F5" w:rsidRDefault="00000000">
            <w:pPr>
              <w:spacing w:before="20" w:after="20" w:line="240" w:lineRule="auto"/>
            </w:pPr>
            <w:r>
              <w:rPr>
                <w:b/>
                <w:sz w:val="17"/>
                <w:szCs w:val="17"/>
              </w:rPr>
              <w:t>Link</w:t>
            </w:r>
          </w:p>
        </w:tc>
        <w:tc>
          <w:tcPr>
            <w:tcW w:w="2403" w:type="dxa"/>
            <w:shd w:val="clear" w:color="auto" w:fill="EFE9F4"/>
          </w:tcPr>
          <w:p w14:paraId="5A8C97D6" w14:textId="77777777" w:rsidR="00AB17F5" w:rsidRDefault="00000000">
            <w:pPr>
              <w:spacing w:before="20" w:after="20" w:line="240" w:lineRule="auto"/>
            </w:pPr>
            <w:r>
              <w:rPr>
                <w:b/>
                <w:sz w:val="17"/>
                <w:szCs w:val="17"/>
              </w:rPr>
              <w:t>What it tells us</w:t>
            </w:r>
          </w:p>
        </w:tc>
        <w:tc>
          <w:tcPr>
            <w:tcW w:w="821" w:type="dxa"/>
            <w:shd w:val="clear" w:color="auto" w:fill="EFE9F4"/>
          </w:tcPr>
          <w:p w14:paraId="5EA9CC59" w14:textId="77777777" w:rsidR="00AB17F5" w:rsidRDefault="00000000">
            <w:pPr>
              <w:spacing w:before="20" w:after="20" w:line="240" w:lineRule="auto"/>
            </w:pPr>
            <w:r>
              <w:rPr>
                <w:b/>
                <w:sz w:val="17"/>
                <w:szCs w:val="17"/>
              </w:rPr>
              <w:t>Category</w:t>
            </w:r>
          </w:p>
        </w:tc>
      </w:tr>
      <w:tr w:rsidR="00AB17F5" w14:paraId="486748B0" w14:textId="77777777" w:rsidTr="00B735E6">
        <w:tc>
          <w:tcPr>
            <w:tcW w:w="1913" w:type="dxa"/>
          </w:tcPr>
          <w:p w14:paraId="3E165272" w14:textId="77777777" w:rsidR="00AB17F5" w:rsidRDefault="00000000">
            <w:pPr>
              <w:spacing w:before="20" w:after="20" w:line="240" w:lineRule="auto"/>
            </w:pPr>
            <w:r>
              <w:rPr>
                <w:sz w:val="17"/>
                <w:szCs w:val="17"/>
              </w:rPr>
              <w:t xml:space="preserve">Dudgeon, Milroy &amp; Walker (eds). </w:t>
            </w:r>
            <w:r>
              <w:rPr>
                <w:i/>
                <w:sz w:val="17"/>
                <w:szCs w:val="17"/>
              </w:rPr>
              <w:t>Working Together: Aboriginal and Torres Strait Islander Mental Health and Wellbeing Principles and Practice.</w:t>
            </w:r>
            <w:r>
              <w:rPr>
                <w:sz w:val="17"/>
                <w:szCs w:val="17"/>
              </w:rPr>
              <w:t xml:space="preserve"> 2nd ed; 2014</w:t>
            </w:r>
          </w:p>
        </w:tc>
        <w:tc>
          <w:tcPr>
            <w:tcW w:w="4463" w:type="dxa"/>
          </w:tcPr>
          <w:p w14:paraId="7965A41F" w14:textId="77777777" w:rsidR="00AB17F5" w:rsidRDefault="00AB17F5">
            <w:pPr>
              <w:spacing w:before="20" w:after="20" w:line="240" w:lineRule="auto"/>
            </w:pPr>
            <w:hyperlink r:id="rId95">
              <w:r>
                <w:rPr>
                  <w:rStyle w:val="Hyperlink"/>
                  <w:sz w:val="17"/>
                  <w:szCs w:val="17"/>
                </w:rPr>
                <w:t>www.thekids.org.au/globalassets/media/documents/aboriginal-health/working-together-second-edition/working-together-aboriginal-and-wellbeing-2014.pdf</w:t>
              </w:r>
            </w:hyperlink>
            <w:r w:rsidR="00000000">
              <w:rPr>
                <w:sz w:val="17"/>
                <w:szCs w:val="17"/>
              </w:rPr>
              <w:t xml:space="preserve"> open access (Telethon Kids)</w:t>
            </w:r>
          </w:p>
        </w:tc>
        <w:tc>
          <w:tcPr>
            <w:tcW w:w="2403" w:type="dxa"/>
          </w:tcPr>
          <w:p w14:paraId="4B5628C1" w14:textId="77777777" w:rsidR="00AB17F5" w:rsidRDefault="00000000">
            <w:pPr>
              <w:spacing w:before="20" w:after="20" w:line="240" w:lineRule="auto"/>
            </w:pPr>
            <w:r>
              <w:rPr>
                <w:sz w:val="17"/>
                <w:szCs w:val="17"/>
              </w:rPr>
              <w:t>The definitive edited reference text on Aboriginal and Torres Strait Islander mental health and wellbeing</w:t>
            </w:r>
          </w:p>
        </w:tc>
        <w:tc>
          <w:tcPr>
            <w:tcW w:w="821" w:type="dxa"/>
          </w:tcPr>
          <w:p w14:paraId="436658BE" w14:textId="77777777" w:rsidR="00AB17F5" w:rsidRDefault="00000000">
            <w:pPr>
              <w:spacing w:before="20" w:after="20" w:line="240" w:lineRule="auto"/>
            </w:pPr>
            <w:r>
              <w:rPr>
                <w:sz w:val="17"/>
                <w:szCs w:val="17"/>
              </w:rPr>
              <w:t>Theory</w:t>
            </w:r>
          </w:p>
        </w:tc>
      </w:tr>
      <w:tr w:rsidR="00AB17F5" w14:paraId="0B96FB52" w14:textId="77777777" w:rsidTr="00B735E6">
        <w:tc>
          <w:tcPr>
            <w:tcW w:w="1913" w:type="dxa"/>
          </w:tcPr>
          <w:p w14:paraId="3D5C75B5" w14:textId="77777777" w:rsidR="00AB17F5" w:rsidRDefault="00000000">
            <w:pPr>
              <w:spacing w:before="20" w:after="20" w:line="240" w:lineRule="auto"/>
            </w:pPr>
            <w:r>
              <w:rPr>
                <w:sz w:val="17"/>
                <w:szCs w:val="17"/>
              </w:rPr>
              <w:t xml:space="preserve">Gee, Dudgeon, Schultz, Hart &amp; Kelly. Aboriginal and Torres Strait Islander social and emotional wellbeing. In </w:t>
            </w:r>
            <w:r>
              <w:rPr>
                <w:i/>
                <w:sz w:val="17"/>
                <w:szCs w:val="17"/>
              </w:rPr>
              <w:t>Working Together</w:t>
            </w:r>
            <w:r>
              <w:rPr>
                <w:sz w:val="17"/>
                <w:szCs w:val="17"/>
              </w:rPr>
              <w:t xml:space="preserve"> (Ch. 4, pp. 55–68); 2014</w:t>
            </w:r>
          </w:p>
        </w:tc>
        <w:tc>
          <w:tcPr>
            <w:tcW w:w="4463" w:type="dxa"/>
          </w:tcPr>
          <w:p w14:paraId="1F1C7E91" w14:textId="77777777" w:rsidR="00AB17F5" w:rsidRDefault="00AB17F5">
            <w:pPr>
              <w:spacing w:before="20" w:after="20" w:line="240" w:lineRule="auto"/>
            </w:pPr>
            <w:hyperlink r:id="rId96">
              <w:r>
                <w:rPr>
                  <w:rStyle w:val="Hyperlink"/>
                  <w:sz w:val="17"/>
                  <w:szCs w:val="17"/>
                </w:rPr>
                <w:t>www.thekids.org.au/globalassets/media/documents/aboriginal-health/working-together-second-edition/wt-part-1-chapt-4-final.pdf</w:t>
              </w:r>
            </w:hyperlink>
            <w:r w:rsidR="00000000">
              <w:rPr>
                <w:sz w:val="17"/>
                <w:szCs w:val="17"/>
              </w:rPr>
              <w:t xml:space="preserve"> open access</w:t>
            </w:r>
          </w:p>
        </w:tc>
        <w:tc>
          <w:tcPr>
            <w:tcW w:w="2403" w:type="dxa"/>
          </w:tcPr>
          <w:p w14:paraId="2330440A" w14:textId="77777777" w:rsidR="00AB17F5" w:rsidRDefault="00000000">
            <w:pPr>
              <w:spacing w:before="20" w:after="20" w:line="240" w:lineRule="auto"/>
            </w:pPr>
            <w:r>
              <w:rPr>
                <w:sz w:val="17"/>
                <w:szCs w:val="17"/>
              </w:rPr>
              <w:t xml:space="preserve">The </w:t>
            </w:r>
            <w:r>
              <w:rPr>
                <w:b/>
                <w:sz w:val="17"/>
                <w:szCs w:val="17"/>
              </w:rPr>
              <w:t>SEWB model</w:t>
            </w:r>
            <w:r>
              <w:rPr>
                <w:sz w:val="17"/>
                <w:szCs w:val="17"/>
              </w:rPr>
              <w:t xml:space="preserve"> — wellbeing as connection to self, body, mind/emotions, family &amp; kinship, community, culture, </w:t>
            </w:r>
            <w:r>
              <w:rPr>
                <w:b/>
                <w:sz w:val="17"/>
                <w:szCs w:val="17"/>
              </w:rPr>
              <w:t>Country</w:t>
            </w:r>
            <w:r>
              <w:rPr>
                <w:sz w:val="17"/>
                <w:szCs w:val="17"/>
              </w:rPr>
              <w:t xml:space="preserve"> and spirituality; the core conceptual frame for Indigenous mental health</w:t>
            </w:r>
          </w:p>
        </w:tc>
        <w:tc>
          <w:tcPr>
            <w:tcW w:w="821" w:type="dxa"/>
          </w:tcPr>
          <w:p w14:paraId="0DAEF26D" w14:textId="77777777" w:rsidR="00AB17F5" w:rsidRDefault="00000000">
            <w:pPr>
              <w:spacing w:before="20" w:after="20" w:line="240" w:lineRule="auto"/>
            </w:pPr>
            <w:r>
              <w:rPr>
                <w:sz w:val="17"/>
                <w:szCs w:val="17"/>
              </w:rPr>
              <w:t>Theory</w:t>
            </w:r>
          </w:p>
        </w:tc>
      </w:tr>
      <w:tr w:rsidR="00AB17F5" w14:paraId="1877B14E" w14:textId="77777777" w:rsidTr="00B735E6">
        <w:tc>
          <w:tcPr>
            <w:tcW w:w="1913" w:type="dxa"/>
          </w:tcPr>
          <w:p w14:paraId="3A342359" w14:textId="77777777" w:rsidR="00AB17F5" w:rsidRDefault="00000000">
            <w:pPr>
              <w:spacing w:before="20" w:after="20" w:line="240" w:lineRule="auto"/>
            </w:pPr>
            <w:r>
              <w:rPr>
                <w:sz w:val="17"/>
                <w:szCs w:val="17"/>
              </w:rPr>
              <w:t xml:space="preserve">Commonwealth of Australia. </w:t>
            </w:r>
            <w:r>
              <w:rPr>
                <w:i/>
                <w:sz w:val="17"/>
                <w:szCs w:val="17"/>
              </w:rPr>
              <w:t>National Strategic Framework for Aboriginal and Torres Strait Islander Peoples' Mental Health and SEWB 2017–2023</w:t>
            </w:r>
            <w:r>
              <w:rPr>
                <w:sz w:val="17"/>
                <w:szCs w:val="17"/>
              </w:rPr>
              <w:t>; 2017</w:t>
            </w:r>
          </w:p>
        </w:tc>
        <w:tc>
          <w:tcPr>
            <w:tcW w:w="4463" w:type="dxa"/>
          </w:tcPr>
          <w:p w14:paraId="7D3CEDC3" w14:textId="77777777" w:rsidR="00AB17F5" w:rsidRDefault="00AB17F5">
            <w:pPr>
              <w:spacing w:before="20" w:after="20" w:line="240" w:lineRule="auto"/>
            </w:pPr>
            <w:hyperlink r:id="rId97">
              <w:r>
                <w:rPr>
                  <w:rStyle w:val="Hyperlink"/>
                  <w:sz w:val="17"/>
                  <w:szCs w:val="17"/>
                </w:rPr>
                <w:t>www.niaa.gov.au</w:t>
              </w:r>
            </w:hyperlink>
          </w:p>
        </w:tc>
        <w:tc>
          <w:tcPr>
            <w:tcW w:w="2403" w:type="dxa"/>
          </w:tcPr>
          <w:p w14:paraId="257A4947" w14:textId="77777777" w:rsidR="00AB17F5" w:rsidRDefault="00000000">
            <w:pPr>
              <w:spacing w:before="20" w:after="20" w:line="240" w:lineRule="auto"/>
            </w:pPr>
            <w:r>
              <w:rPr>
                <w:sz w:val="17"/>
                <w:szCs w:val="17"/>
              </w:rPr>
              <w:t>The national policy framework (co-chairs Dudgeon &amp; Calma) the curriculum should align to</w:t>
            </w:r>
          </w:p>
        </w:tc>
        <w:tc>
          <w:tcPr>
            <w:tcW w:w="821" w:type="dxa"/>
          </w:tcPr>
          <w:p w14:paraId="5F59F0CC" w14:textId="77777777" w:rsidR="00AB17F5" w:rsidRDefault="00000000">
            <w:pPr>
              <w:spacing w:before="20" w:after="20" w:line="240" w:lineRule="auto"/>
            </w:pPr>
            <w:r>
              <w:rPr>
                <w:sz w:val="17"/>
                <w:szCs w:val="17"/>
              </w:rPr>
              <w:t>Theory</w:t>
            </w:r>
          </w:p>
        </w:tc>
      </w:tr>
      <w:tr w:rsidR="00AB17F5" w14:paraId="26A0454F" w14:textId="77777777" w:rsidTr="00B735E6">
        <w:tc>
          <w:tcPr>
            <w:tcW w:w="1913" w:type="dxa"/>
          </w:tcPr>
          <w:p w14:paraId="42D9C617" w14:textId="77777777" w:rsidR="00AB17F5" w:rsidRDefault="00000000">
            <w:pPr>
              <w:spacing w:before="20" w:after="20" w:line="240" w:lineRule="auto"/>
            </w:pPr>
            <w:r>
              <w:rPr>
                <w:sz w:val="17"/>
                <w:szCs w:val="17"/>
              </w:rPr>
              <w:t xml:space="preserve">Dudgeon &amp; Walker. Decolonising Australian psychology: discourses, strategies, and practice. </w:t>
            </w:r>
            <w:r>
              <w:rPr>
                <w:i/>
                <w:sz w:val="17"/>
                <w:szCs w:val="17"/>
              </w:rPr>
              <w:t>J Soc Polit Psychol.</w:t>
            </w:r>
            <w:r>
              <w:rPr>
                <w:sz w:val="17"/>
                <w:szCs w:val="17"/>
              </w:rPr>
              <w:t xml:space="preserve"> 2015;3(1):276–297</w:t>
            </w:r>
          </w:p>
        </w:tc>
        <w:tc>
          <w:tcPr>
            <w:tcW w:w="4463" w:type="dxa"/>
          </w:tcPr>
          <w:p w14:paraId="37914882" w14:textId="77777777" w:rsidR="00AB17F5" w:rsidRDefault="00AB17F5">
            <w:pPr>
              <w:spacing w:before="20" w:after="20" w:line="240" w:lineRule="auto"/>
            </w:pPr>
            <w:hyperlink r:id="rId98">
              <w:r>
                <w:rPr>
                  <w:rStyle w:val="Hyperlink"/>
                  <w:sz w:val="17"/>
                  <w:szCs w:val="17"/>
                </w:rPr>
                <w:t>doi:10.5964/</w:t>
              </w:r>
              <w:proofErr w:type="gramStart"/>
              <w:r>
                <w:rPr>
                  <w:rStyle w:val="Hyperlink"/>
                  <w:sz w:val="17"/>
                  <w:szCs w:val="17"/>
                </w:rPr>
                <w:t>jspp.v</w:t>
              </w:r>
              <w:proofErr w:type="gramEnd"/>
              <w:r>
                <w:rPr>
                  <w:rStyle w:val="Hyperlink"/>
                  <w:sz w:val="17"/>
                  <w:szCs w:val="17"/>
                </w:rPr>
                <w:t>3i1.126</w:t>
              </w:r>
            </w:hyperlink>
          </w:p>
        </w:tc>
        <w:tc>
          <w:tcPr>
            <w:tcW w:w="2403" w:type="dxa"/>
          </w:tcPr>
          <w:p w14:paraId="5B976922" w14:textId="77777777" w:rsidR="00AB17F5" w:rsidRDefault="00000000">
            <w:pPr>
              <w:spacing w:before="20" w:after="20" w:line="240" w:lineRule="auto"/>
            </w:pPr>
            <w:r>
              <w:rPr>
                <w:sz w:val="17"/>
                <w:szCs w:val="17"/>
              </w:rPr>
              <w:t>The decolonising-practice argument for Australian mental health (open access)</w:t>
            </w:r>
          </w:p>
        </w:tc>
        <w:tc>
          <w:tcPr>
            <w:tcW w:w="821" w:type="dxa"/>
          </w:tcPr>
          <w:p w14:paraId="5AA9293F" w14:textId="77777777" w:rsidR="00AB17F5" w:rsidRDefault="00000000">
            <w:pPr>
              <w:spacing w:before="20" w:after="20" w:line="240" w:lineRule="auto"/>
            </w:pPr>
            <w:r>
              <w:rPr>
                <w:sz w:val="17"/>
                <w:szCs w:val="17"/>
              </w:rPr>
              <w:t>Theory</w:t>
            </w:r>
          </w:p>
        </w:tc>
      </w:tr>
      <w:tr w:rsidR="00AB17F5" w14:paraId="4E726B25" w14:textId="77777777" w:rsidTr="00B735E6">
        <w:tc>
          <w:tcPr>
            <w:tcW w:w="1913" w:type="dxa"/>
          </w:tcPr>
          <w:p w14:paraId="6D8F9EFE" w14:textId="77777777" w:rsidR="00AB17F5" w:rsidRDefault="00000000">
            <w:pPr>
              <w:spacing w:before="20" w:after="20" w:line="240" w:lineRule="auto"/>
            </w:pPr>
            <w:r>
              <w:rPr>
                <w:sz w:val="17"/>
                <w:szCs w:val="17"/>
              </w:rPr>
              <w:t xml:space="preserve">NPY Women's Council. </w:t>
            </w:r>
            <w:r>
              <w:rPr>
                <w:i/>
                <w:sz w:val="17"/>
                <w:szCs w:val="17"/>
              </w:rPr>
              <w:t xml:space="preserve">Traditional Healers of Central Australia: </w:t>
            </w:r>
            <w:proofErr w:type="spellStart"/>
            <w:r>
              <w:rPr>
                <w:i/>
                <w:sz w:val="17"/>
                <w:szCs w:val="17"/>
              </w:rPr>
              <w:t>Ngangkari</w:t>
            </w:r>
            <w:proofErr w:type="spellEnd"/>
            <w:r>
              <w:rPr>
                <w:i/>
                <w:sz w:val="17"/>
                <w:szCs w:val="17"/>
              </w:rPr>
              <w:t>.</w:t>
            </w:r>
            <w:r>
              <w:rPr>
                <w:sz w:val="17"/>
                <w:szCs w:val="17"/>
              </w:rPr>
              <w:t xml:space="preserve"> </w:t>
            </w:r>
            <w:proofErr w:type="spellStart"/>
            <w:r>
              <w:rPr>
                <w:sz w:val="17"/>
                <w:szCs w:val="17"/>
              </w:rPr>
              <w:t>Magabala</w:t>
            </w:r>
            <w:proofErr w:type="spellEnd"/>
            <w:r>
              <w:rPr>
                <w:sz w:val="17"/>
                <w:szCs w:val="17"/>
              </w:rPr>
              <w:t xml:space="preserve"> Books; 2013</w:t>
            </w:r>
          </w:p>
        </w:tc>
        <w:tc>
          <w:tcPr>
            <w:tcW w:w="4463" w:type="dxa"/>
          </w:tcPr>
          <w:p w14:paraId="39D3786D" w14:textId="77777777" w:rsidR="00AB17F5" w:rsidRDefault="00000000">
            <w:pPr>
              <w:spacing w:before="20" w:after="20" w:line="240" w:lineRule="auto"/>
            </w:pPr>
            <w:r>
              <w:rPr>
                <w:sz w:val="17"/>
                <w:szCs w:val="17"/>
              </w:rPr>
              <w:t>ISBN 9781921248825</w:t>
            </w:r>
          </w:p>
        </w:tc>
        <w:tc>
          <w:tcPr>
            <w:tcW w:w="2403" w:type="dxa"/>
          </w:tcPr>
          <w:p w14:paraId="00BFB4B5" w14:textId="77777777" w:rsidR="00AB17F5" w:rsidRDefault="00000000">
            <w:pPr>
              <w:spacing w:before="20" w:after="20" w:line="240" w:lineRule="auto"/>
            </w:pPr>
            <w:r>
              <w:rPr>
                <w:sz w:val="17"/>
                <w:szCs w:val="17"/>
              </w:rPr>
              <w:t xml:space="preserve">Primary-source, </w:t>
            </w:r>
            <w:proofErr w:type="spellStart"/>
            <w:r>
              <w:rPr>
                <w:sz w:val="17"/>
                <w:szCs w:val="17"/>
              </w:rPr>
              <w:t>ngangkari</w:t>
            </w:r>
            <w:proofErr w:type="spellEnd"/>
            <w:r>
              <w:rPr>
                <w:sz w:val="17"/>
                <w:szCs w:val="17"/>
              </w:rPr>
              <w:t>-authored account of Anangu (Western Desert) traditional healing</w:t>
            </w:r>
          </w:p>
        </w:tc>
        <w:tc>
          <w:tcPr>
            <w:tcW w:w="821" w:type="dxa"/>
          </w:tcPr>
          <w:p w14:paraId="558445B1" w14:textId="77777777" w:rsidR="00AB17F5" w:rsidRDefault="00000000">
            <w:pPr>
              <w:spacing w:before="20" w:after="20" w:line="240" w:lineRule="auto"/>
            </w:pPr>
            <w:r>
              <w:rPr>
                <w:sz w:val="17"/>
                <w:szCs w:val="17"/>
              </w:rPr>
              <w:t>Theory</w:t>
            </w:r>
          </w:p>
        </w:tc>
      </w:tr>
      <w:tr w:rsidR="00AB17F5" w14:paraId="6908F246" w14:textId="77777777" w:rsidTr="00B735E6">
        <w:tc>
          <w:tcPr>
            <w:tcW w:w="1913" w:type="dxa"/>
          </w:tcPr>
          <w:p w14:paraId="16855990" w14:textId="77777777" w:rsidR="00AB17F5" w:rsidRDefault="00000000">
            <w:pPr>
              <w:spacing w:before="20" w:after="20" w:line="240" w:lineRule="auto"/>
            </w:pPr>
            <w:r>
              <w:rPr>
                <w:sz w:val="17"/>
                <w:szCs w:val="17"/>
              </w:rPr>
              <w:t xml:space="preserve">Janca &amp; Bullen. The Aboriginal concept of time and its mental health implications. </w:t>
            </w:r>
            <w:proofErr w:type="spellStart"/>
            <w:r>
              <w:rPr>
                <w:i/>
                <w:sz w:val="17"/>
                <w:szCs w:val="17"/>
              </w:rPr>
              <w:t>Australas</w:t>
            </w:r>
            <w:proofErr w:type="spellEnd"/>
            <w:r>
              <w:rPr>
                <w:i/>
                <w:sz w:val="17"/>
                <w:szCs w:val="17"/>
              </w:rPr>
              <w:t xml:space="preserve"> Psychiatry.</w:t>
            </w:r>
            <w:r>
              <w:rPr>
                <w:sz w:val="17"/>
                <w:szCs w:val="17"/>
              </w:rPr>
              <w:t xml:space="preserve"> 2003;11(Suppl 1</w:t>
            </w:r>
            <w:proofErr w:type="gramStart"/>
            <w:r>
              <w:rPr>
                <w:sz w:val="17"/>
                <w:szCs w:val="17"/>
              </w:rPr>
              <w:t>):S</w:t>
            </w:r>
            <w:proofErr w:type="gramEnd"/>
            <w:r>
              <w:rPr>
                <w:sz w:val="17"/>
                <w:szCs w:val="17"/>
              </w:rPr>
              <w:t>40–S44</w:t>
            </w:r>
          </w:p>
        </w:tc>
        <w:tc>
          <w:tcPr>
            <w:tcW w:w="4463" w:type="dxa"/>
          </w:tcPr>
          <w:p w14:paraId="14C9AB1A" w14:textId="77777777" w:rsidR="00AB17F5" w:rsidRDefault="00AB17F5">
            <w:pPr>
              <w:spacing w:before="20" w:after="20" w:line="240" w:lineRule="auto"/>
            </w:pPr>
            <w:hyperlink r:id="rId99">
              <w:r>
                <w:rPr>
                  <w:rStyle w:val="Hyperlink"/>
                  <w:sz w:val="17"/>
                  <w:szCs w:val="17"/>
                </w:rPr>
                <w:t>doi:10.1046/j.1038-5282.</w:t>
              </w:r>
              <w:proofErr w:type="gramStart"/>
              <w:r>
                <w:rPr>
                  <w:rStyle w:val="Hyperlink"/>
                  <w:sz w:val="17"/>
                  <w:szCs w:val="17"/>
                </w:rPr>
                <w:t>2003.02009.x</w:t>
              </w:r>
              <w:proofErr w:type="gramEnd"/>
            </w:hyperlink>
          </w:p>
        </w:tc>
        <w:tc>
          <w:tcPr>
            <w:tcW w:w="2403" w:type="dxa"/>
          </w:tcPr>
          <w:p w14:paraId="17B5CA5B" w14:textId="77777777" w:rsidR="00AB17F5" w:rsidRDefault="00000000">
            <w:pPr>
              <w:spacing w:before="20" w:after="20" w:line="240" w:lineRule="auto"/>
            </w:pPr>
            <w:r>
              <w:rPr>
                <w:sz w:val="17"/>
                <w:szCs w:val="17"/>
              </w:rPr>
              <w:t>How a circular (vs linear) concept of time bears on culturally appropriate psychiatric assessment</w:t>
            </w:r>
          </w:p>
        </w:tc>
        <w:tc>
          <w:tcPr>
            <w:tcW w:w="821" w:type="dxa"/>
          </w:tcPr>
          <w:p w14:paraId="3420CA98" w14:textId="77777777" w:rsidR="00AB17F5" w:rsidRDefault="00000000">
            <w:pPr>
              <w:spacing w:before="20" w:after="20" w:line="240" w:lineRule="auto"/>
            </w:pPr>
            <w:r>
              <w:rPr>
                <w:sz w:val="17"/>
                <w:szCs w:val="17"/>
              </w:rPr>
              <w:t>Theory</w:t>
            </w:r>
          </w:p>
        </w:tc>
      </w:tr>
      <w:tr w:rsidR="00AB17F5" w14:paraId="42AA42D9" w14:textId="77777777" w:rsidTr="00B735E6">
        <w:tc>
          <w:tcPr>
            <w:tcW w:w="1913" w:type="dxa"/>
          </w:tcPr>
          <w:p w14:paraId="17434518" w14:textId="77777777" w:rsidR="00AB17F5" w:rsidRDefault="00000000">
            <w:pPr>
              <w:spacing w:before="20" w:after="20" w:line="240" w:lineRule="auto"/>
            </w:pPr>
            <w:r>
              <w:rPr>
                <w:sz w:val="17"/>
                <w:szCs w:val="17"/>
              </w:rPr>
              <w:t xml:space="preserve">Durie. </w:t>
            </w:r>
            <w:proofErr w:type="spellStart"/>
            <w:r>
              <w:rPr>
                <w:i/>
                <w:sz w:val="17"/>
                <w:szCs w:val="17"/>
              </w:rPr>
              <w:t>Whaiora</w:t>
            </w:r>
            <w:proofErr w:type="spellEnd"/>
            <w:r>
              <w:rPr>
                <w:i/>
                <w:sz w:val="17"/>
                <w:szCs w:val="17"/>
              </w:rPr>
              <w:t>: Māori Health Development.</w:t>
            </w:r>
            <w:r>
              <w:rPr>
                <w:sz w:val="17"/>
                <w:szCs w:val="17"/>
              </w:rPr>
              <w:t xml:space="preserve"> OUP; 1994 (2nd ed. 1998)</w:t>
            </w:r>
          </w:p>
        </w:tc>
        <w:tc>
          <w:tcPr>
            <w:tcW w:w="4463" w:type="dxa"/>
          </w:tcPr>
          <w:p w14:paraId="0ABE5F25" w14:textId="77777777" w:rsidR="00AB17F5" w:rsidRDefault="00000000">
            <w:pPr>
              <w:spacing w:before="20" w:after="20" w:line="240" w:lineRule="auto"/>
            </w:pPr>
            <w:r>
              <w:rPr>
                <w:sz w:val="17"/>
                <w:szCs w:val="17"/>
              </w:rPr>
              <w:t>ISBN 978-0195583175</w:t>
            </w:r>
          </w:p>
        </w:tc>
        <w:tc>
          <w:tcPr>
            <w:tcW w:w="2403" w:type="dxa"/>
          </w:tcPr>
          <w:p w14:paraId="4454D579" w14:textId="77777777" w:rsidR="00AB17F5" w:rsidRDefault="00000000">
            <w:pPr>
              <w:spacing w:before="20" w:after="20" w:line="240" w:lineRule="auto"/>
            </w:pPr>
            <w:proofErr w:type="spellStart"/>
            <w:r>
              <w:rPr>
                <w:b/>
                <w:sz w:val="17"/>
                <w:szCs w:val="17"/>
              </w:rPr>
              <w:t>Te</w:t>
            </w:r>
            <w:proofErr w:type="spellEnd"/>
            <w:r>
              <w:rPr>
                <w:b/>
                <w:sz w:val="17"/>
                <w:szCs w:val="17"/>
              </w:rPr>
              <w:t xml:space="preserve"> Whare Tapa </w:t>
            </w:r>
            <w:proofErr w:type="spellStart"/>
            <w:r>
              <w:rPr>
                <w:b/>
                <w:sz w:val="17"/>
                <w:szCs w:val="17"/>
              </w:rPr>
              <w:t>Whā</w:t>
            </w:r>
            <w:proofErr w:type="spellEnd"/>
            <w:r>
              <w:rPr>
                <w:sz w:val="17"/>
                <w:szCs w:val="17"/>
              </w:rPr>
              <w:t xml:space="preserve"> — the four-sided house: taha </w:t>
            </w:r>
            <w:proofErr w:type="spellStart"/>
            <w:r>
              <w:rPr>
                <w:sz w:val="17"/>
                <w:szCs w:val="17"/>
              </w:rPr>
              <w:t>tinana</w:t>
            </w:r>
            <w:proofErr w:type="spellEnd"/>
            <w:r>
              <w:rPr>
                <w:sz w:val="17"/>
                <w:szCs w:val="17"/>
              </w:rPr>
              <w:t xml:space="preserve"> (physical), taha </w:t>
            </w:r>
            <w:proofErr w:type="spellStart"/>
            <w:r>
              <w:rPr>
                <w:sz w:val="17"/>
                <w:szCs w:val="17"/>
              </w:rPr>
              <w:t>hinengaro</w:t>
            </w:r>
            <w:proofErr w:type="spellEnd"/>
            <w:r>
              <w:rPr>
                <w:sz w:val="17"/>
                <w:szCs w:val="17"/>
              </w:rPr>
              <w:t xml:space="preserve"> (mental/emotional), taha wairua (spiritual), taha whānau (family/social); the cornerstone Māori health model</w:t>
            </w:r>
          </w:p>
        </w:tc>
        <w:tc>
          <w:tcPr>
            <w:tcW w:w="821" w:type="dxa"/>
          </w:tcPr>
          <w:p w14:paraId="058E644B" w14:textId="77777777" w:rsidR="00AB17F5" w:rsidRDefault="00000000">
            <w:pPr>
              <w:spacing w:before="20" w:after="20" w:line="240" w:lineRule="auto"/>
            </w:pPr>
            <w:r>
              <w:rPr>
                <w:sz w:val="17"/>
                <w:szCs w:val="17"/>
              </w:rPr>
              <w:t>Theory</w:t>
            </w:r>
          </w:p>
        </w:tc>
      </w:tr>
      <w:tr w:rsidR="00AB17F5" w14:paraId="3C36F600" w14:textId="77777777" w:rsidTr="00B735E6">
        <w:tc>
          <w:tcPr>
            <w:tcW w:w="1913" w:type="dxa"/>
          </w:tcPr>
          <w:p w14:paraId="18D3621D" w14:textId="77777777" w:rsidR="00AB17F5" w:rsidRDefault="00000000">
            <w:pPr>
              <w:spacing w:before="20" w:after="20" w:line="240" w:lineRule="auto"/>
            </w:pPr>
            <w:r>
              <w:rPr>
                <w:sz w:val="17"/>
                <w:szCs w:val="17"/>
              </w:rPr>
              <w:t xml:space="preserve">Durie. </w:t>
            </w:r>
            <w:proofErr w:type="spellStart"/>
            <w:r>
              <w:rPr>
                <w:sz w:val="17"/>
                <w:szCs w:val="17"/>
              </w:rPr>
              <w:t>Te</w:t>
            </w:r>
            <w:proofErr w:type="spellEnd"/>
            <w:r>
              <w:rPr>
                <w:sz w:val="17"/>
                <w:szCs w:val="17"/>
              </w:rPr>
              <w:t xml:space="preserve"> Pae </w:t>
            </w:r>
            <w:proofErr w:type="spellStart"/>
            <w:r>
              <w:rPr>
                <w:sz w:val="17"/>
                <w:szCs w:val="17"/>
              </w:rPr>
              <w:t>Mahutonga</w:t>
            </w:r>
            <w:proofErr w:type="spellEnd"/>
            <w:r>
              <w:rPr>
                <w:sz w:val="17"/>
                <w:szCs w:val="17"/>
              </w:rPr>
              <w:t xml:space="preserve">: a model for Māori health promotion. </w:t>
            </w:r>
            <w:r>
              <w:rPr>
                <w:i/>
                <w:sz w:val="17"/>
                <w:szCs w:val="17"/>
              </w:rPr>
              <w:t xml:space="preserve">Health </w:t>
            </w:r>
            <w:r>
              <w:rPr>
                <w:i/>
                <w:sz w:val="17"/>
                <w:szCs w:val="17"/>
              </w:rPr>
              <w:lastRenderedPageBreak/>
              <w:t>Promotion Forum NZ Newsletter.</w:t>
            </w:r>
            <w:r>
              <w:rPr>
                <w:sz w:val="17"/>
                <w:szCs w:val="17"/>
              </w:rPr>
              <w:t xml:space="preserve"> </w:t>
            </w:r>
            <w:proofErr w:type="gramStart"/>
            <w:r>
              <w:rPr>
                <w:sz w:val="17"/>
                <w:szCs w:val="17"/>
              </w:rPr>
              <w:t>1999;49:2</w:t>
            </w:r>
            <w:proofErr w:type="gramEnd"/>
            <w:r>
              <w:rPr>
                <w:sz w:val="17"/>
                <w:szCs w:val="17"/>
              </w:rPr>
              <w:t>–5</w:t>
            </w:r>
          </w:p>
        </w:tc>
        <w:tc>
          <w:tcPr>
            <w:tcW w:w="4463" w:type="dxa"/>
          </w:tcPr>
          <w:p w14:paraId="0067BFDE" w14:textId="77777777" w:rsidR="00AB17F5" w:rsidRDefault="00000000">
            <w:pPr>
              <w:spacing w:before="20" w:after="20" w:line="240" w:lineRule="auto"/>
            </w:pPr>
            <w:r>
              <w:rPr>
                <w:sz w:val="17"/>
                <w:szCs w:val="17"/>
              </w:rPr>
              <w:lastRenderedPageBreak/>
              <w:t>report</w:t>
            </w:r>
          </w:p>
        </w:tc>
        <w:tc>
          <w:tcPr>
            <w:tcW w:w="2403" w:type="dxa"/>
          </w:tcPr>
          <w:p w14:paraId="27384625" w14:textId="77777777" w:rsidR="00AB17F5" w:rsidRDefault="00000000">
            <w:pPr>
              <w:spacing w:before="20" w:after="20" w:line="240" w:lineRule="auto"/>
            </w:pPr>
            <w:r>
              <w:rPr>
                <w:sz w:val="17"/>
                <w:szCs w:val="17"/>
              </w:rPr>
              <w:t>A Māori health-promotion model framed on the Southern Cross constellation</w:t>
            </w:r>
          </w:p>
        </w:tc>
        <w:tc>
          <w:tcPr>
            <w:tcW w:w="821" w:type="dxa"/>
          </w:tcPr>
          <w:p w14:paraId="34E7D083" w14:textId="77777777" w:rsidR="00AB17F5" w:rsidRDefault="00000000">
            <w:pPr>
              <w:spacing w:before="20" w:after="20" w:line="240" w:lineRule="auto"/>
            </w:pPr>
            <w:r>
              <w:rPr>
                <w:sz w:val="17"/>
                <w:szCs w:val="17"/>
              </w:rPr>
              <w:t>Theory</w:t>
            </w:r>
          </w:p>
        </w:tc>
      </w:tr>
      <w:tr w:rsidR="00AB17F5" w14:paraId="593B9299" w14:textId="77777777" w:rsidTr="00B735E6">
        <w:tc>
          <w:tcPr>
            <w:tcW w:w="1913" w:type="dxa"/>
          </w:tcPr>
          <w:p w14:paraId="2388319F" w14:textId="77777777" w:rsidR="00AB17F5" w:rsidRDefault="00000000">
            <w:pPr>
              <w:spacing w:before="20" w:after="20" w:line="240" w:lineRule="auto"/>
            </w:pPr>
            <w:r>
              <w:rPr>
                <w:sz w:val="17"/>
                <w:szCs w:val="17"/>
              </w:rPr>
              <w:t xml:space="preserve">Ramsden. </w:t>
            </w:r>
            <w:r>
              <w:rPr>
                <w:i/>
                <w:sz w:val="17"/>
                <w:szCs w:val="17"/>
              </w:rPr>
              <w:t xml:space="preserve">Cultural Safety and Nursing Education in Aotearoa and </w:t>
            </w:r>
            <w:proofErr w:type="spellStart"/>
            <w:r>
              <w:rPr>
                <w:i/>
                <w:sz w:val="17"/>
                <w:szCs w:val="17"/>
              </w:rPr>
              <w:t>Te</w:t>
            </w:r>
            <w:proofErr w:type="spellEnd"/>
            <w:r>
              <w:rPr>
                <w:i/>
                <w:sz w:val="17"/>
                <w:szCs w:val="17"/>
              </w:rPr>
              <w:t xml:space="preserve"> Waipounamu.</w:t>
            </w:r>
            <w:r>
              <w:rPr>
                <w:sz w:val="17"/>
                <w:szCs w:val="17"/>
              </w:rPr>
              <w:t xml:space="preserve"> PhD thesis, VUW; 2002</w:t>
            </w:r>
          </w:p>
        </w:tc>
        <w:tc>
          <w:tcPr>
            <w:tcW w:w="4463" w:type="dxa"/>
          </w:tcPr>
          <w:p w14:paraId="3AE46F83" w14:textId="77777777" w:rsidR="00AB17F5" w:rsidRDefault="00AB17F5">
            <w:pPr>
              <w:spacing w:before="20" w:after="20" w:line="240" w:lineRule="auto"/>
            </w:pPr>
            <w:hyperlink r:id="rId100">
              <w:r>
                <w:rPr>
                  <w:rStyle w:val="Hyperlink"/>
                  <w:sz w:val="17"/>
                  <w:szCs w:val="17"/>
                </w:rPr>
                <w:t>www.wgtn.ac.nz</w:t>
              </w:r>
            </w:hyperlink>
          </w:p>
        </w:tc>
        <w:tc>
          <w:tcPr>
            <w:tcW w:w="2403" w:type="dxa"/>
          </w:tcPr>
          <w:p w14:paraId="6896CAC1" w14:textId="77777777" w:rsidR="00AB17F5" w:rsidRDefault="00000000">
            <w:pPr>
              <w:spacing w:before="20" w:after="20" w:line="240" w:lineRule="auto"/>
            </w:pPr>
            <w:r>
              <w:rPr>
                <w:sz w:val="17"/>
                <w:szCs w:val="17"/>
              </w:rPr>
              <w:t xml:space="preserve">Irihapeti Ramsden's foundational articulation of </w:t>
            </w:r>
            <w:r>
              <w:rPr>
                <w:b/>
                <w:sz w:val="17"/>
                <w:szCs w:val="17"/>
              </w:rPr>
              <w:t xml:space="preserve">cultural safety / Kawa </w:t>
            </w:r>
            <w:proofErr w:type="spellStart"/>
            <w:r>
              <w:rPr>
                <w:b/>
                <w:sz w:val="17"/>
                <w:szCs w:val="17"/>
              </w:rPr>
              <w:t>Whakaruruhau</w:t>
            </w:r>
            <w:proofErr w:type="spellEnd"/>
            <w:r>
              <w:rPr>
                <w:sz w:val="17"/>
                <w:szCs w:val="17"/>
              </w:rPr>
              <w:t xml:space="preserve"> — the origin of the concept the AMC condition derives from</w:t>
            </w:r>
          </w:p>
        </w:tc>
        <w:tc>
          <w:tcPr>
            <w:tcW w:w="821" w:type="dxa"/>
          </w:tcPr>
          <w:p w14:paraId="7BED49F7" w14:textId="77777777" w:rsidR="00AB17F5" w:rsidRDefault="00000000">
            <w:pPr>
              <w:spacing w:before="20" w:after="20" w:line="240" w:lineRule="auto"/>
            </w:pPr>
            <w:r>
              <w:rPr>
                <w:sz w:val="17"/>
                <w:szCs w:val="17"/>
              </w:rPr>
              <w:t>Theory</w:t>
            </w:r>
          </w:p>
        </w:tc>
      </w:tr>
      <w:tr w:rsidR="00AB17F5" w14:paraId="6F02F532" w14:textId="77777777" w:rsidTr="00B735E6">
        <w:tc>
          <w:tcPr>
            <w:tcW w:w="1913" w:type="dxa"/>
          </w:tcPr>
          <w:p w14:paraId="5D73D9D0" w14:textId="77777777" w:rsidR="00AB17F5" w:rsidRDefault="00000000">
            <w:pPr>
              <w:spacing w:before="20" w:after="20" w:line="240" w:lineRule="auto"/>
            </w:pPr>
            <w:r>
              <w:rPr>
                <w:sz w:val="17"/>
                <w:szCs w:val="17"/>
              </w:rPr>
              <w:t xml:space="preserve">Papps &amp; Ramsden. Cultural safety in nursing: the New Zealand experience. </w:t>
            </w:r>
            <w:r>
              <w:rPr>
                <w:i/>
                <w:sz w:val="17"/>
                <w:szCs w:val="17"/>
              </w:rPr>
              <w:t>Int J Qual Health Care.</w:t>
            </w:r>
            <w:r>
              <w:rPr>
                <w:sz w:val="17"/>
                <w:szCs w:val="17"/>
              </w:rPr>
              <w:t xml:space="preserve"> 1996;8(5):491–497</w:t>
            </w:r>
          </w:p>
        </w:tc>
        <w:tc>
          <w:tcPr>
            <w:tcW w:w="4463" w:type="dxa"/>
          </w:tcPr>
          <w:p w14:paraId="4077DF6C" w14:textId="77777777" w:rsidR="00AB17F5" w:rsidRDefault="00AB17F5">
            <w:pPr>
              <w:spacing w:before="20" w:after="20" w:line="240" w:lineRule="auto"/>
            </w:pPr>
            <w:hyperlink r:id="rId101">
              <w:r>
                <w:rPr>
                  <w:rStyle w:val="Hyperlink"/>
                  <w:sz w:val="17"/>
                  <w:szCs w:val="17"/>
                </w:rPr>
                <w:t>doi:10.1093/</w:t>
              </w:r>
              <w:proofErr w:type="spellStart"/>
              <w:r>
                <w:rPr>
                  <w:rStyle w:val="Hyperlink"/>
                  <w:sz w:val="17"/>
                  <w:szCs w:val="17"/>
                </w:rPr>
                <w:t>intqhc</w:t>
              </w:r>
              <w:proofErr w:type="spellEnd"/>
              <w:r>
                <w:rPr>
                  <w:rStyle w:val="Hyperlink"/>
                  <w:sz w:val="17"/>
                  <w:szCs w:val="17"/>
                </w:rPr>
                <w:t>/8.5.491</w:t>
              </w:r>
            </w:hyperlink>
          </w:p>
        </w:tc>
        <w:tc>
          <w:tcPr>
            <w:tcW w:w="2403" w:type="dxa"/>
          </w:tcPr>
          <w:p w14:paraId="51C30A6D" w14:textId="77777777" w:rsidR="00AB17F5" w:rsidRDefault="00000000">
            <w:pPr>
              <w:spacing w:before="20" w:after="20" w:line="240" w:lineRule="auto"/>
            </w:pPr>
            <w:r>
              <w:rPr>
                <w:sz w:val="17"/>
                <w:szCs w:val="17"/>
              </w:rPr>
              <w:t>The peer-reviewed articulation of cultural safety</w:t>
            </w:r>
          </w:p>
        </w:tc>
        <w:tc>
          <w:tcPr>
            <w:tcW w:w="821" w:type="dxa"/>
          </w:tcPr>
          <w:p w14:paraId="4273C96B" w14:textId="77777777" w:rsidR="00AB17F5" w:rsidRDefault="00000000">
            <w:pPr>
              <w:spacing w:before="20" w:after="20" w:line="240" w:lineRule="auto"/>
            </w:pPr>
            <w:r>
              <w:rPr>
                <w:sz w:val="17"/>
                <w:szCs w:val="17"/>
              </w:rPr>
              <w:t>Theory</w:t>
            </w:r>
          </w:p>
        </w:tc>
      </w:tr>
      <w:tr w:rsidR="00AB17F5" w14:paraId="60D12BA8" w14:textId="77777777" w:rsidTr="00B735E6">
        <w:tc>
          <w:tcPr>
            <w:tcW w:w="1913" w:type="dxa"/>
          </w:tcPr>
          <w:p w14:paraId="5F856B82" w14:textId="77777777" w:rsidR="00AB17F5" w:rsidRDefault="00000000">
            <w:pPr>
              <w:spacing w:before="20" w:after="20" w:line="240" w:lineRule="auto"/>
            </w:pPr>
            <w:r>
              <w:rPr>
                <w:sz w:val="17"/>
                <w:szCs w:val="17"/>
              </w:rPr>
              <w:t xml:space="preserve">Government Inquiry into Mental Health and Addiction. </w:t>
            </w:r>
            <w:r>
              <w:rPr>
                <w:i/>
                <w:sz w:val="17"/>
                <w:szCs w:val="17"/>
              </w:rPr>
              <w:t>He Ara Oranga.</w:t>
            </w:r>
            <w:r>
              <w:rPr>
                <w:sz w:val="17"/>
                <w:szCs w:val="17"/>
              </w:rPr>
              <w:t xml:space="preserve"> NZ Government; 2018</w:t>
            </w:r>
          </w:p>
        </w:tc>
        <w:tc>
          <w:tcPr>
            <w:tcW w:w="4463" w:type="dxa"/>
          </w:tcPr>
          <w:p w14:paraId="1C7A4D18" w14:textId="77777777" w:rsidR="00AB17F5" w:rsidRDefault="00AB17F5">
            <w:pPr>
              <w:spacing w:before="20" w:after="20" w:line="240" w:lineRule="auto"/>
            </w:pPr>
            <w:hyperlink r:id="rId102">
              <w:r>
                <w:rPr>
                  <w:rStyle w:val="Hyperlink"/>
                  <w:sz w:val="17"/>
                  <w:szCs w:val="17"/>
                </w:rPr>
                <w:t>mentalhealth.inquiry.govt.nz</w:t>
              </w:r>
            </w:hyperlink>
          </w:p>
        </w:tc>
        <w:tc>
          <w:tcPr>
            <w:tcW w:w="2403" w:type="dxa"/>
          </w:tcPr>
          <w:p w14:paraId="1AEC56A8" w14:textId="77777777" w:rsidR="00AB17F5" w:rsidRDefault="00000000">
            <w:pPr>
              <w:spacing w:before="20" w:after="20" w:line="240" w:lineRule="auto"/>
            </w:pPr>
            <w:r>
              <w:rPr>
                <w:sz w:val="17"/>
                <w:szCs w:val="17"/>
              </w:rPr>
              <w:t>The landmark NZ inquiry (40 recommendations) centring equity and Māori mental health</w:t>
            </w:r>
          </w:p>
        </w:tc>
        <w:tc>
          <w:tcPr>
            <w:tcW w:w="821" w:type="dxa"/>
          </w:tcPr>
          <w:p w14:paraId="77C522B3" w14:textId="77777777" w:rsidR="00AB17F5" w:rsidRDefault="00000000">
            <w:pPr>
              <w:spacing w:before="20" w:after="20" w:line="240" w:lineRule="auto"/>
            </w:pPr>
            <w:r>
              <w:rPr>
                <w:sz w:val="17"/>
                <w:szCs w:val="17"/>
              </w:rPr>
              <w:t>Evidence</w:t>
            </w:r>
          </w:p>
        </w:tc>
      </w:tr>
      <w:tr w:rsidR="00AB17F5" w14:paraId="64F0AB97" w14:textId="77777777" w:rsidTr="00B735E6">
        <w:tc>
          <w:tcPr>
            <w:tcW w:w="1913" w:type="dxa"/>
          </w:tcPr>
          <w:p w14:paraId="5384A4D2" w14:textId="77777777" w:rsidR="00AB17F5" w:rsidRDefault="00000000">
            <w:pPr>
              <w:spacing w:before="20" w:after="20" w:line="240" w:lineRule="auto"/>
            </w:pPr>
            <w:proofErr w:type="spellStart"/>
            <w:r>
              <w:rPr>
                <w:sz w:val="17"/>
                <w:szCs w:val="17"/>
              </w:rPr>
              <w:t>Rangihuna</w:t>
            </w:r>
            <w:proofErr w:type="spellEnd"/>
            <w:r>
              <w:rPr>
                <w:sz w:val="17"/>
                <w:szCs w:val="17"/>
              </w:rPr>
              <w:t xml:space="preserve">, Kopua &amp; Tipene-Leach. Mahi a Atua: a pathway forward for Māori mental health? </w:t>
            </w:r>
            <w:r>
              <w:rPr>
                <w:i/>
                <w:sz w:val="17"/>
                <w:szCs w:val="17"/>
              </w:rPr>
              <w:t>NZ Med J.</w:t>
            </w:r>
            <w:r>
              <w:rPr>
                <w:sz w:val="17"/>
                <w:szCs w:val="17"/>
              </w:rPr>
              <w:t xml:space="preserve"> 2018;131(1471):79–83</w:t>
            </w:r>
          </w:p>
        </w:tc>
        <w:tc>
          <w:tcPr>
            <w:tcW w:w="4463" w:type="dxa"/>
          </w:tcPr>
          <w:p w14:paraId="22B3EF7F" w14:textId="3790373C" w:rsidR="00AB17F5" w:rsidRDefault="00B735E6">
            <w:pPr>
              <w:spacing w:before="20" w:after="20" w:line="240" w:lineRule="auto"/>
            </w:pPr>
            <w:hyperlink r:id="rId103" w:history="1">
              <w:r w:rsidRPr="00C73ED8">
                <w:rPr>
                  <w:rStyle w:val="Hyperlink"/>
                  <w:sz w:val="17"/>
                  <w:szCs w:val="17"/>
                </w:rPr>
                <w:t>https://nzmj.org.nz/media/pages/journal/vol-131-no-1471/mahi-a-atua-a-pathway-forward-for-maori-mental-health/2f88ad3102-1696474232/mahi-a-atua-a-pathway-forward-for-maori-mental-health.pdf</w:t>
              </w:r>
            </w:hyperlink>
            <w:r>
              <w:rPr>
                <w:sz w:val="17"/>
                <w:szCs w:val="17"/>
              </w:rPr>
              <w:t xml:space="preserve"> </w:t>
            </w:r>
          </w:p>
        </w:tc>
        <w:tc>
          <w:tcPr>
            <w:tcW w:w="2403" w:type="dxa"/>
          </w:tcPr>
          <w:p w14:paraId="6BF7A17E" w14:textId="77777777" w:rsidR="00AB17F5" w:rsidRDefault="00000000">
            <w:pPr>
              <w:spacing w:before="20" w:after="20" w:line="240" w:lineRule="auto"/>
            </w:pPr>
            <w:r>
              <w:rPr>
                <w:sz w:val="17"/>
                <w:szCs w:val="17"/>
              </w:rPr>
              <w:t>A narratives-based (</w:t>
            </w:r>
            <w:proofErr w:type="spellStart"/>
            <w:r>
              <w:rPr>
                <w:sz w:val="17"/>
                <w:szCs w:val="17"/>
              </w:rPr>
              <w:t>pūrākau</w:t>
            </w:r>
            <w:proofErr w:type="spellEnd"/>
            <w:r>
              <w:rPr>
                <w:sz w:val="17"/>
                <w:szCs w:val="17"/>
              </w:rPr>
              <w:t>) Māori approach to assessment and therapy</w:t>
            </w:r>
          </w:p>
        </w:tc>
        <w:tc>
          <w:tcPr>
            <w:tcW w:w="821" w:type="dxa"/>
          </w:tcPr>
          <w:p w14:paraId="15FB4E1F" w14:textId="77777777" w:rsidR="00AB17F5" w:rsidRDefault="00000000">
            <w:pPr>
              <w:spacing w:before="20" w:after="20" w:line="240" w:lineRule="auto"/>
            </w:pPr>
            <w:r>
              <w:rPr>
                <w:sz w:val="17"/>
                <w:szCs w:val="17"/>
              </w:rPr>
              <w:t>Theory</w:t>
            </w:r>
          </w:p>
        </w:tc>
      </w:tr>
      <w:tr w:rsidR="00AB17F5" w14:paraId="5F75F5CC" w14:textId="77777777" w:rsidTr="00B735E6">
        <w:tc>
          <w:tcPr>
            <w:tcW w:w="1913" w:type="dxa"/>
          </w:tcPr>
          <w:p w14:paraId="7FF39FC3" w14:textId="77777777" w:rsidR="00AB17F5" w:rsidRDefault="00000000">
            <w:pPr>
              <w:spacing w:before="20" w:after="20" w:line="240" w:lineRule="auto"/>
            </w:pPr>
            <w:r>
              <w:rPr>
                <w:sz w:val="17"/>
                <w:szCs w:val="17"/>
              </w:rPr>
              <w:t xml:space="preserve">Ahuriri-Driscoll et al. </w:t>
            </w:r>
            <w:r>
              <w:rPr>
                <w:i/>
                <w:sz w:val="17"/>
                <w:szCs w:val="17"/>
              </w:rPr>
              <w:t xml:space="preserve">The Future of </w:t>
            </w:r>
            <w:proofErr w:type="spellStart"/>
            <w:r>
              <w:rPr>
                <w:i/>
                <w:sz w:val="17"/>
                <w:szCs w:val="17"/>
              </w:rPr>
              <w:t>Rongoā</w:t>
            </w:r>
            <w:proofErr w:type="spellEnd"/>
            <w:r>
              <w:rPr>
                <w:i/>
                <w:sz w:val="17"/>
                <w:szCs w:val="17"/>
              </w:rPr>
              <w:t xml:space="preserve"> Māori: Wellbeing and Sustainability.</w:t>
            </w:r>
            <w:r>
              <w:rPr>
                <w:sz w:val="17"/>
                <w:szCs w:val="17"/>
              </w:rPr>
              <w:t xml:space="preserve"> ESR / Ministry of Health; 2008</w:t>
            </w:r>
          </w:p>
        </w:tc>
        <w:tc>
          <w:tcPr>
            <w:tcW w:w="4463" w:type="dxa"/>
          </w:tcPr>
          <w:p w14:paraId="4044E8DC" w14:textId="77777777" w:rsidR="00AB17F5" w:rsidRDefault="00000000">
            <w:pPr>
              <w:spacing w:before="20" w:after="20" w:line="240" w:lineRule="auto"/>
            </w:pPr>
            <w:r>
              <w:rPr>
                <w:sz w:val="17"/>
                <w:szCs w:val="17"/>
              </w:rPr>
              <w:t>report</w:t>
            </w:r>
          </w:p>
        </w:tc>
        <w:tc>
          <w:tcPr>
            <w:tcW w:w="2403" w:type="dxa"/>
          </w:tcPr>
          <w:p w14:paraId="2EA624DA" w14:textId="77777777" w:rsidR="00AB17F5" w:rsidRDefault="00000000">
            <w:pPr>
              <w:spacing w:before="20" w:after="20" w:line="240" w:lineRule="auto"/>
            </w:pPr>
            <w:r>
              <w:rPr>
                <w:sz w:val="17"/>
                <w:szCs w:val="17"/>
              </w:rPr>
              <w:t>Traditional Māori healing (</w:t>
            </w:r>
            <w:proofErr w:type="spellStart"/>
            <w:r>
              <w:rPr>
                <w:sz w:val="17"/>
                <w:szCs w:val="17"/>
              </w:rPr>
              <w:t>rongoā</w:t>
            </w:r>
            <w:proofErr w:type="spellEnd"/>
            <w:r>
              <w:rPr>
                <w:sz w:val="17"/>
                <w:szCs w:val="17"/>
              </w:rPr>
              <w:t>) — a Ministry-commissioned report on wellbeing and sustainability and traditional healing practices</w:t>
            </w:r>
          </w:p>
        </w:tc>
        <w:tc>
          <w:tcPr>
            <w:tcW w:w="821" w:type="dxa"/>
          </w:tcPr>
          <w:p w14:paraId="36E08C5F" w14:textId="77777777" w:rsidR="00AB17F5" w:rsidRDefault="00000000">
            <w:pPr>
              <w:spacing w:before="20" w:after="20" w:line="240" w:lineRule="auto"/>
            </w:pPr>
            <w:r>
              <w:rPr>
                <w:sz w:val="17"/>
                <w:szCs w:val="17"/>
              </w:rPr>
              <w:t>Theory</w:t>
            </w:r>
          </w:p>
        </w:tc>
      </w:tr>
    </w:tbl>
    <w:p w14:paraId="11BD5A25" w14:textId="77777777" w:rsidR="00AB17F5" w:rsidRDefault="00AB17F5"/>
    <w:p w14:paraId="2837E754" w14:textId="77777777" w:rsidR="00AB17F5" w:rsidRDefault="00AB17F5">
      <w:pPr>
        <w:pBdr>
          <w:bottom w:val="single" w:sz="4" w:space="1" w:color="CCCCCC"/>
        </w:pBdr>
      </w:pPr>
    </w:p>
    <w:p w14:paraId="03B2499A" w14:textId="77777777" w:rsidR="00AB17F5" w:rsidRDefault="00000000">
      <w:pPr>
        <w:pStyle w:val="Heading1"/>
      </w:pPr>
      <w:r>
        <w:t>12. Program Evaluation</w:t>
      </w:r>
    </w:p>
    <w:p w14:paraId="69BE4261" w14:textId="77777777" w:rsidR="00AB17F5" w:rsidRDefault="00000000">
      <w:r>
        <w:t xml:space="preserve">Design the evaluation in from the start (Kern's Step 6). Kirkpatrick (with the Barr/Hammick medical-education adaptation) gives the outcomes framework; CIPP offers a decision-oriented alternative suited to continuous improvement; Cook &amp; Beckman is the standard for validating the program's own assessment tools — which RANZCP should do, to answer critics like Amos et al. with its </w:t>
      </w:r>
      <w:r>
        <w:rPr>
          <w:i/>
        </w:rPr>
        <w:t>own</w:t>
      </w:r>
      <w:r>
        <w:t xml:space="preserve"> evidence rather than assertion. Van Melle's Core Components Framework (§1) doubles as the implementation-fidelity yardstick.</w:t>
      </w:r>
    </w:p>
    <w:tbl>
      <w:tblPr>
        <w:tblW w:w="9600" w:type="dxa"/>
        <w:tblInd w:w="1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CellMar>
          <w:left w:w="10" w:type="dxa"/>
          <w:right w:w="10" w:type="dxa"/>
        </w:tblCellMar>
        <w:tblLook w:val="07E0" w:firstRow="1" w:lastRow="1" w:firstColumn="1" w:lastColumn="1" w:noHBand="1" w:noVBand="1"/>
      </w:tblPr>
      <w:tblGrid>
        <w:gridCol w:w="2365"/>
        <w:gridCol w:w="2665"/>
        <w:gridCol w:w="3570"/>
        <w:gridCol w:w="1000"/>
      </w:tblGrid>
      <w:tr w:rsidR="00AB17F5" w14:paraId="7A88FF86" w14:textId="77777777">
        <w:trPr>
          <w:tblHeader/>
        </w:trPr>
        <w:tc>
          <w:tcPr>
            <w:tcW w:w="2880" w:type="dxa"/>
            <w:shd w:val="clear" w:color="auto" w:fill="EFE9F4"/>
          </w:tcPr>
          <w:p w14:paraId="43056E3C" w14:textId="77777777" w:rsidR="00AB17F5" w:rsidRDefault="00000000">
            <w:pPr>
              <w:spacing w:before="20" w:after="20" w:line="240" w:lineRule="auto"/>
            </w:pPr>
            <w:r>
              <w:rPr>
                <w:b/>
                <w:sz w:val="17"/>
                <w:szCs w:val="17"/>
              </w:rPr>
              <w:t>Reference</w:t>
            </w:r>
          </w:p>
        </w:tc>
        <w:tc>
          <w:tcPr>
            <w:tcW w:w="1248" w:type="dxa"/>
            <w:shd w:val="clear" w:color="auto" w:fill="EFE9F4"/>
          </w:tcPr>
          <w:p w14:paraId="4262DC52" w14:textId="77777777" w:rsidR="00AB17F5" w:rsidRDefault="00000000">
            <w:pPr>
              <w:spacing w:before="20" w:after="20" w:line="240" w:lineRule="auto"/>
            </w:pPr>
            <w:r>
              <w:rPr>
                <w:b/>
                <w:sz w:val="17"/>
                <w:szCs w:val="17"/>
              </w:rPr>
              <w:t>Link</w:t>
            </w:r>
          </w:p>
        </w:tc>
        <w:tc>
          <w:tcPr>
            <w:tcW w:w="4320" w:type="dxa"/>
            <w:shd w:val="clear" w:color="auto" w:fill="EFE9F4"/>
          </w:tcPr>
          <w:p w14:paraId="65AB1E89" w14:textId="77777777" w:rsidR="00AB17F5" w:rsidRDefault="00000000">
            <w:pPr>
              <w:spacing w:before="20" w:after="20" w:line="240" w:lineRule="auto"/>
            </w:pPr>
            <w:r>
              <w:rPr>
                <w:b/>
                <w:sz w:val="17"/>
                <w:szCs w:val="17"/>
              </w:rPr>
              <w:t>What it tells us</w:t>
            </w:r>
          </w:p>
        </w:tc>
        <w:tc>
          <w:tcPr>
            <w:tcW w:w="1152" w:type="dxa"/>
            <w:shd w:val="clear" w:color="auto" w:fill="EFE9F4"/>
          </w:tcPr>
          <w:p w14:paraId="70BF6B6C" w14:textId="77777777" w:rsidR="00AB17F5" w:rsidRDefault="00000000">
            <w:pPr>
              <w:spacing w:before="20" w:after="20" w:line="240" w:lineRule="auto"/>
            </w:pPr>
            <w:r>
              <w:rPr>
                <w:b/>
                <w:sz w:val="17"/>
                <w:szCs w:val="17"/>
              </w:rPr>
              <w:t>Category</w:t>
            </w:r>
          </w:p>
        </w:tc>
      </w:tr>
      <w:tr w:rsidR="00AB17F5" w14:paraId="5F102A46" w14:textId="77777777">
        <w:tc>
          <w:tcPr>
            <w:tcW w:w="2880" w:type="dxa"/>
          </w:tcPr>
          <w:p w14:paraId="74BFAA18" w14:textId="77777777" w:rsidR="00AB17F5" w:rsidRDefault="00000000">
            <w:pPr>
              <w:spacing w:before="20" w:after="20" w:line="240" w:lineRule="auto"/>
            </w:pPr>
            <w:r>
              <w:rPr>
                <w:sz w:val="17"/>
                <w:szCs w:val="17"/>
              </w:rPr>
              <w:t xml:space="preserve">Kirkpatrick &amp; Kirkpatrick. </w:t>
            </w:r>
            <w:r>
              <w:rPr>
                <w:i/>
                <w:sz w:val="17"/>
                <w:szCs w:val="17"/>
              </w:rPr>
              <w:t>Evaluating Training Programs: The Four Levels.</w:t>
            </w:r>
            <w:r>
              <w:rPr>
                <w:sz w:val="17"/>
                <w:szCs w:val="17"/>
              </w:rPr>
              <w:t xml:space="preserve"> 3rd ed; 2006</w:t>
            </w:r>
          </w:p>
        </w:tc>
        <w:tc>
          <w:tcPr>
            <w:tcW w:w="1248" w:type="dxa"/>
          </w:tcPr>
          <w:p w14:paraId="77ED42A4" w14:textId="77777777" w:rsidR="00AB17F5" w:rsidRDefault="00000000">
            <w:pPr>
              <w:spacing w:before="20" w:after="20" w:line="240" w:lineRule="auto"/>
            </w:pPr>
            <w:r>
              <w:rPr>
                <w:sz w:val="17"/>
                <w:szCs w:val="17"/>
              </w:rPr>
              <w:t>ISBN 978-1576753484</w:t>
            </w:r>
          </w:p>
        </w:tc>
        <w:tc>
          <w:tcPr>
            <w:tcW w:w="4320" w:type="dxa"/>
          </w:tcPr>
          <w:p w14:paraId="64228B61" w14:textId="77777777" w:rsidR="00AB17F5" w:rsidRDefault="00000000">
            <w:pPr>
              <w:spacing w:before="20" w:after="20" w:line="240" w:lineRule="auto"/>
            </w:pPr>
            <w:r>
              <w:rPr>
                <w:sz w:val="17"/>
                <w:szCs w:val="17"/>
              </w:rPr>
              <w:t>The four-level evaluation model (reaction → learning → behaviour → results) for judging whether a program works</w:t>
            </w:r>
          </w:p>
        </w:tc>
        <w:tc>
          <w:tcPr>
            <w:tcW w:w="1152" w:type="dxa"/>
          </w:tcPr>
          <w:p w14:paraId="1C4A078B" w14:textId="77777777" w:rsidR="00AB17F5" w:rsidRDefault="00000000">
            <w:pPr>
              <w:spacing w:before="20" w:after="20" w:line="240" w:lineRule="auto"/>
            </w:pPr>
            <w:r>
              <w:rPr>
                <w:sz w:val="17"/>
                <w:szCs w:val="17"/>
              </w:rPr>
              <w:t>Theory</w:t>
            </w:r>
          </w:p>
        </w:tc>
      </w:tr>
      <w:tr w:rsidR="00AB17F5" w14:paraId="3FA5A96D" w14:textId="77777777">
        <w:tc>
          <w:tcPr>
            <w:tcW w:w="2880" w:type="dxa"/>
          </w:tcPr>
          <w:p w14:paraId="0A32A3EA" w14:textId="77777777" w:rsidR="00AB17F5" w:rsidRDefault="00000000">
            <w:pPr>
              <w:spacing w:before="20" w:after="20" w:line="240" w:lineRule="auto"/>
            </w:pPr>
            <w:r>
              <w:rPr>
                <w:sz w:val="17"/>
                <w:szCs w:val="17"/>
              </w:rPr>
              <w:t xml:space="preserve">Barr, Koppel, Reeves, Hammick, Freeth. </w:t>
            </w:r>
            <w:r>
              <w:rPr>
                <w:i/>
                <w:sz w:val="17"/>
                <w:szCs w:val="17"/>
              </w:rPr>
              <w:t>Effective Interprofessional Education</w:t>
            </w:r>
            <w:r>
              <w:rPr>
                <w:sz w:val="17"/>
                <w:szCs w:val="17"/>
              </w:rPr>
              <w:t xml:space="preserve"> (modified Kirkpatrick); 2005 / BEME Guide No. 9, </w:t>
            </w:r>
            <w:r>
              <w:rPr>
                <w:i/>
                <w:sz w:val="17"/>
                <w:szCs w:val="17"/>
              </w:rPr>
              <w:t>Med Teach.</w:t>
            </w:r>
            <w:r>
              <w:rPr>
                <w:sz w:val="17"/>
                <w:szCs w:val="17"/>
              </w:rPr>
              <w:t xml:space="preserve"> 2007</w:t>
            </w:r>
          </w:p>
        </w:tc>
        <w:tc>
          <w:tcPr>
            <w:tcW w:w="1248" w:type="dxa"/>
          </w:tcPr>
          <w:p w14:paraId="53C6EB60" w14:textId="77777777" w:rsidR="00AB17F5" w:rsidRDefault="00AB17F5">
            <w:pPr>
              <w:spacing w:before="20" w:after="20" w:line="240" w:lineRule="auto"/>
            </w:pPr>
            <w:hyperlink r:id="rId104">
              <w:r>
                <w:rPr>
                  <w:rStyle w:val="Hyperlink"/>
                  <w:sz w:val="17"/>
                  <w:szCs w:val="17"/>
                </w:rPr>
                <w:t>doi:10.1080/01421590701682576</w:t>
              </w:r>
            </w:hyperlink>
          </w:p>
        </w:tc>
        <w:tc>
          <w:tcPr>
            <w:tcW w:w="4320" w:type="dxa"/>
          </w:tcPr>
          <w:p w14:paraId="11409187" w14:textId="77777777" w:rsidR="00AB17F5" w:rsidRDefault="00000000">
            <w:pPr>
              <w:spacing w:before="20" w:after="20" w:line="240" w:lineRule="auto"/>
            </w:pPr>
            <w:r>
              <w:rPr>
                <w:sz w:val="17"/>
                <w:szCs w:val="17"/>
              </w:rPr>
              <w:t>The medical/interprofessional-education adaptation of Kirkpatrick (splitting learning into 2a/2b and results into 4a/4b)</w:t>
            </w:r>
          </w:p>
        </w:tc>
        <w:tc>
          <w:tcPr>
            <w:tcW w:w="1152" w:type="dxa"/>
          </w:tcPr>
          <w:p w14:paraId="751B9EBD" w14:textId="77777777" w:rsidR="00AB17F5" w:rsidRDefault="00000000">
            <w:pPr>
              <w:spacing w:before="20" w:after="20" w:line="240" w:lineRule="auto"/>
            </w:pPr>
            <w:r>
              <w:rPr>
                <w:sz w:val="17"/>
                <w:szCs w:val="17"/>
              </w:rPr>
              <w:t>Theory</w:t>
            </w:r>
          </w:p>
        </w:tc>
      </w:tr>
      <w:tr w:rsidR="00AB17F5" w14:paraId="05176640" w14:textId="77777777">
        <w:tc>
          <w:tcPr>
            <w:tcW w:w="2880" w:type="dxa"/>
          </w:tcPr>
          <w:p w14:paraId="5161A2AC" w14:textId="77777777" w:rsidR="00AB17F5" w:rsidRDefault="00000000">
            <w:pPr>
              <w:spacing w:before="20" w:after="20" w:line="240" w:lineRule="auto"/>
            </w:pPr>
            <w:r>
              <w:rPr>
                <w:sz w:val="17"/>
                <w:szCs w:val="17"/>
              </w:rPr>
              <w:t>Stufflebeam. The CIPP model for evaluation; 2000/2014</w:t>
            </w:r>
          </w:p>
        </w:tc>
        <w:tc>
          <w:tcPr>
            <w:tcW w:w="1248" w:type="dxa"/>
          </w:tcPr>
          <w:p w14:paraId="29AA85CA" w14:textId="77777777" w:rsidR="00AB17F5" w:rsidRDefault="00000000">
            <w:pPr>
              <w:spacing w:before="20" w:after="20" w:line="240" w:lineRule="auto"/>
            </w:pPr>
            <w:r>
              <w:rPr>
                <w:sz w:val="17"/>
                <w:szCs w:val="17"/>
              </w:rPr>
              <w:t>ISBN 978-1462529230</w:t>
            </w:r>
          </w:p>
        </w:tc>
        <w:tc>
          <w:tcPr>
            <w:tcW w:w="4320" w:type="dxa"/>
          </w:tcPr>
          <w:p w14:paraId="0DDB600A" w14:textId="77777777" w:rsidR="00AB17F5" w:rsidRDefault="00000000">
            <w:pPr>
              <w:spacing w:before="20" w:after="20" w:line="240" w:lineRule="auto"/>
            </w:pPr>
            <w:r>
              <w:rPr>
                <w:sz w:val="17"/>
                <w:szCs w:val="17"/>
              </w:rPr>
              <w:t>The Context-Input-Process-Product model — a decision-oriented approach suited to continuous program improvement</w:t>
            </w:r>
          </w:p>
        </w:tc>
        <w:tc>
          <w:tcPr>
            <w:tcW w:w="1152" w:type="dxa"/>
          </w:tcPr>
          <w:p w14:paraId="34002850" w14:textId="77777777" w:rsidR="00AB17F5" w:rsidRDefault="00000000">
            <w:pPr>
              <w:spacing w:before="20" w:after="20" w:line="240" w:lineRule="auto"/>
            </w:pPr>
            <w:r>
              <w:rPr>
                <w:sz w:val="17"/>
                <w:szCs w:val="17"/>
              </w:rPr>
              <w:t>Theory</w:t>
            </w:r>
          </w:p>
        </w:tc>
      </w:tr>
      <w:tr w:rsidR="00AB17F5" w14:paraId="0B1E7B96" w14:textId="77777777">
        <w:tc>
          <w:tcPr>
            <w:tcW w:w="2880" w:type="dxa"/>
          </w:tcPr>
          <w:p w14:paraId="6DBA48EA" w14:textId="77777777" w:rsidR="00AB17F5" w:rsidRDefault="00000000">
            <w:pPr>
              <w:spacing w:before="20" w:after="20" w:line="240" w:lineRule="auto"/>
            </w:pPr>
            <w:r>
              <w:rPr>
                <w:sz w:val="17"/>
                <w:szCs w:val="17"/>
              </w:rPr>
              <w:t xml:space="preserve">Cook &amp; Beckman. Current concepts in validity and reliability for psychometric instruments. </w:t>
            </w:r>
            <w:r>
              <w:rPr>
                <w:i/>
                <w:sz w:val="17"/>
                <w:szCs w:val="17"/>
              </w:rPr>
              <w:t>Am J Med.</w:t>
            </w:r>
            <w:r>
              <w:rPr>
                <w:sz w:val="17"/>
                <w:szCs w:val="17"/>
              </w:rPr>
              <w:t xml:space="preserve"> 2006</w:t>
            </w:r>
          </w:p>
        </w:tc>
        <w:tc>
          <w:tcPr>
            <w:tcW w:w="1248" w:type="dxa"/>
          </w:tcPr>
          <w:p w14:paraId="1E8C2488" w14:textId="77777777" w:rsidR="00AB17F5" w:rsidRDefault="00AB17F5">
            <w:pPr>
              <w:spacing w:before="20" w:after="20" w:line="240" w:lineRule="auto"/>
            </w:pPr>
            <w:hyperlink r:id="rId105">
              <w:proofErr w:type="gramStart"/>
              <w:r>
                <w:rPr>
                  <w:rStyle w:val="Hyperlink"/>
                  <w:sz w:val="17"/>
                  <w:szCs w:val="17"/>
                </w:rPr>
                <w:t>doi:10.1016/j.amjmed</w:t>
              </w:r>
              <w:proofErr w:type="gramEnd"/>
              <w:r>
                <w:rPr>
                  <w:rStyle w:val="Hyperlink"/>
                  <w:sz w:val="17"/>
                  <w:szCs w:val="17"/>
                </w:rPr>
                <w:t>.2005.10.036</w:t>
              </w:r>
            </w:hyperlink>
          </w:p>
        </w:tc>
        <w:tc>
          <w:tcPr>
            <w:tcW w:w="4320" w:type="dxa"/>
          </w:tcPr>
          <w:p w14:paraId="01624210" w14:textId="77777777" w:rsidR="00AB17F5" w:rsidRDefault="00000000">
            <w:pPr>
              <w:spacing w:before="20" w:after="20" w:line="240" w:lineRule="auto"/>
            </w:pPr>
            <w:r>
              <w:rPr>
                <w:sz w:val="17"/>
                <w:szCs w:val="17"/>
              </w:rPr>
              <w:t>The standard reference on validity and reliability for the assessment instruments the program itself uses</w:t>
            </w:r>
          </w:p>
        </w:tc>
        <w:tc>
          <w:tcPr>
            <w:tcW w:w="1152" w:type="dxa"/>
          </w:tcPr>
          <w:p w14:paraId="318D0C52" w14:textId="77777777" w:rsidR="00AB17F5" w:rsidRDefault="00000000">
            <w:pPr>
              <w:spacing w:before="20" w:after="20" w:line="240" w:lineRule="auto"/>
            </w:pPr>
            <w:r>
              <w:rPr>
                <w:sz w:val="17"/>
                <w:szCs w:val="17"/>
              </w:rPr>
              <w:t>Theory</w:t>
            </w:r>
          </w:p>
        </w:tc>
      </w:tr>
      <w:tr w:rsidR="00AB17F5" w14:paraId="629F5F3F" w14:textId="77777777">
        <w:tc>
          <w:tcPr>
            <w:tcW w:w="2880" w:type="dxa"/>
          </w:tcPr>
          <w:p w14:paraId="2B77E7A6" w14:textId="77777777" w:rsidR="00AB17F5" w:rsidRDefault="00000000">
            <w:pPr>
              <w:spacing w:before="20" w:after="20" w:line="240" w:lineRule="auto"/>
            </w:pPr>
            <w:r w:rsidRPr="00B735E6">
              <w:rPr>
                <w:sz w:val="17"/>
                <w:szCs w:val="17"/>
                <w:lang w:val="fr-FR"/>
              </w:rPr>
              <w:t xml:space="preserve">Van Melle et al. Core Components Framework </w:t>
            </w:r>
            <w:r w:rsidRPr="00B735E6">
              <w:rPr>
                <w:i/>
                <w:sz w:val="17"/>
                <w:szCs w:val="17"/>
                <w:lang w:val="fr-FR"/>
              </w:rPr>
              <w:t>(cross-</w:t>
            </w:r>
            <w:proofErr w:type="spellStart"/>
            <w:r w:rsidRPr="00B735E6">
              <w:rPr>
                <w:i/>
                <w:sz w:val="17"/>
                <w:szCs w:val="17"/>
                <w:lang w:val="fr-FR"/>
              </w:rPr>
              <w:t>ref</w:t>
            </w:r>
            <w:proofErr w:type="spellEnd"/>
            <w:r w:rsidRPr="00B735E6">
              <w:rPr>
                <w:i/>
                <w:sz w:val="17"/>
                <w:szCs w:val="17"/>
                <w:lang w:val="fr-FR"/>
              </w:rPr>
              <w:t xml:space="preserve"> §1)</w:t>
            </w:r>
            <w:r w:rsidRPr="00B735E6">
              <w:rPr>
                <w:sz w:val="17"/>
                <w:szCs w:val="17"/>
                <w:lang w:val="fr-FR"/>
              </w:rPr>
              <w:t xml:space="preserve">. </w:t>
            </w:r>
            <w:proofErr w:type="spellStart"/>
            <w:r>
              <w:rPr>
                <w:i/>
                <w:sz w:val="17"/>
                <w:szCs w:val="17"/>
              </w:rPr>
              <w:t>Acad</w:t>
            </w:r>
            <w:proofErr w:type="spellEnd"/>
            <w:r>
              <w:rPr>
                <w:i/>
                <w:sz w:val="17"/>
                <w:szCs w:val="17"/>
              </w:rPr>
              <w:t xml:space="preserve"> Med.</w:t>
            </w:r>
            <w:r>
              <w:rPr>
                <w:sz w:val="17"/>
                <w:szCs w:val="17"/>
              </w:rPr>
              <w:t xml:space="preserve"> 2019</w:t>
            </w:r>
          </w:p>
        </w:tc>
        <w:tc>
          <w:tcPr>
            <w:tcW w:w="1248" w:type="dxa"/>
          </w:tcPr>
          <w:p w14:paraId="31FE8556" w14:textId="77777777" w:rsidR="00AB17F5" w:rsidRDefault="00AB17F5">
            <w:pPr>
              <w:spacing w:before="20" w:after="20" w:line="240" w:lineRule="auto"/>
            </w:pPr>
            <w:hyperlink r:id="rId106">
              <w:r>
                <w:rPr>
                  <w:rStyle w:val="Hyperlink"/>
                  <w:sz w:val="17"/>
                  <w:szCs w:val="17"/>
                </w:rPr>
                <w:t>doi:10.1097/ACM.0000000000002743</w:t>
              </w:r>
            </w:hyperlink>
          </w:p>
        </w:tc>
        <w:tc>
          <w:tcPr>
            <w:tcW w:w="4320" w:type="dxa"/>
          </w:tcPr>
          <w:p w14:paraId="0C4E1504" w14:textId="77777777" w:rsidR="00AB17F5" w:rsidRDefault="00000000">
            <w:pPr>
              <w:spacing w:before="20" w:after="20" w:line="240" w:lineRule="auto"/>
            </w:pPr>
            <w:r>
              <w:rPr>
                <w:sz w:val="17"/>
                <w:szCs w:val="17"/>
              </w:rPr>
              <w:t>Doubles as the implementation-fidelity yardstick for evaluating the CBME rollout</w:t>
            </w:r>
          </w:p>
        </w:tc>
        <w:tc>
          <w:tcPr>
            <w:tcW w:w="1152" w:type="dxa"/>
          </w:tcPr>
          <w:p w14:paraId="2A88F157" w14:textId="77777777" w:rsidR="00AB17F5" w:rsidRDefault="00000000">
            <w:pPr>
              <w:spacing w:before="20" w:after="20" w:line="240" w:lineRule="auto"/>
            </w:pPr>
            <w:r>
              <w:rPr>
                <w:sz w:val="17"/>
                <w:szCs w:val="17"/>
              </w:rPr>
              <w:t>Theory</w:t>
            </w:r>
          </w:p>
        </w:tc>
      </w:tr>
    </w:tbl>
    <w:p w14:paraId="1715E4C5" w14:textId="77777777" w:rsidR="00AB17F5" w:rsidRDefault="00AB17F5"/>
    <w:p w14:paraId="3DF61283" w14:textId="77777777" w:rsidR="00AB17F5" w:rsidRDefault="00AB17F5">
      <w:pPr>
        <w:pBdr>
          <w:bottom w:val="single" w:sz="4" w:space="1" w:color="CCCCCC"/>
        </w:pBdr>
      </w:pPr>
    </w:p>
    <w:p w14:paraId="2431073B" w14:textId="77777777" w:rsidR="00AB17F5" w:rsidRDefault="00000000">
      <w:pPr>
        <w:pStyle w:val="Heading1"/>
      </w:pPr>
      <w:r>
        <w:lastRenderedPageBreak/>
        <w:t>13. The Training-to-Practice Continuum (Transition to Practice &amp; Early-Career Consolidation)</w:t>
      </w:r>
    </w:p>
    <w:p w14:paraId="07EF1B88" w14:textId="77777777" w:rsidR="00AB17F5" w:rsidRDefault="00000000">
      <w:r>
        <w:t xml:space="preserve">Fellowship marks </w:t>
      </w:r>
      <w:r>
        <w:rPr>
          <w:b/>
        </w:rPr>
        <w:t>competence, not maturity</w:t>
      </w:r>
      <w:r>
        <w:t xml:space="preserve"> — and a substantial literature argues training should not stop there. The years immediately after qualification are a distinct, high-stakes, formative phase in which the new specialist consolidates toward genuinely independent, expert practice. The strongest structural precedent is the Royal College of Canada's </w:t>
      </w:r>
      <w:r>
        <w:rPr>
          <w:b/>
        </w:rPr>
        <w:t>Competence by Design</w:t>
      </w:r>
      <w:r>
        <w:t xml:space="preserve">, whose four-stage continuum </w:t>
      </w:r>
      <w:r>
        <w:rPr>
          <w:i/>
        </w:rPr>
        <w:t>ends</w:t>
      </w:r>
      <w:r>
        <w:t xml:space="preserve"> in a designed </w:t>
      </w:r>
      <w:r>
        <w:rPr>
          <w:b/>
        </w:rPr>
        <w:t>"Transition to Practice"</w:t>
      </w:r>
      <w:r>
        <w:t xml:space="preserve"> stage. The transition literature (Westerman &amp; Teunissen; Kilminster) shows new consultants feel clinically prepared but underprepared for the </w:t>
      </w:r>
      <w:r>
        <w:rPr>
          <w:i/>
        </w:rPr>
        <w:t>non-clinical</w:t>
      </w:r>
      <w:r>
        <w:t xml:space="preserve"> demands of autonomy and are at real burnout risk; "preparedness is not enough." For psychiatry this is also identity-and-belonging work. </w:t>
      </w:r>
      <w:r>
        <w:rPr>
          <w:i/>
        </w:rPr>
        <w:t>Design implication: RANZCP's Stage 3 "Advanced" and Certificate of Advanced Training partly address this, but the evidence supports an explicit, supported Transition to Practice / early-career phase — tapering entrustment, defined early-career capabilities, structured mentoring/preceptorship, and reframing the first CPD years as continued formation.</w:t>
      </w:r>
      <w:r>
        <w:t xml:space="preserve"> This connects to §8 (faculty development), §9 (identity formation continues), and the entrustment logic of the CCPR.</w:t>
      </w:r>
    </w:p>
    <w:tbl>
      <w:tblPr>
        <w:tblW w:w="9600" w:type="dxa"/>
        <w:tblInd w:w="1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CellMar>
          <w:left w:w="10" w:type="dxa"/>
          <w:right w:w="10" w:type="dxa"/>
        </w:tblCellMar>
        <w:tblLook w:val="07E0" w:firstRow="1" w:lastRow="1" w:firstColumn="1" w:lastColumn="1" w:noHBand="1" w:noVBand="1"/>
      </w:tblPr>
      <w:tblGrid>
        <w:gridCol w:w="1930"/>
        <w:gridCol w:w="3702"/>
        <w:gridCol w:w="3096"/>
        <w:gridCol w:w="872"/>
      </w:tblGrid>
      <w:tr w:rsidR="00AB17F5" w14:paraId="0D1DF3B3" w14:textId="77777777" w:rsidTr="00B735E6">
        <w:trPr>
          <w:tblHeader/>
        </w:trPr>
        <w:tc>
          <w:tcPr>
            <w:tcW w:w="1930" w:type="dxa"/>
            <w:shd w:val="clear" w:color="auto" w:fill="EFE9F4"/>
          </w:tcPr>
          <w:p w14:paraId="7AFFF39D" w14:textId="77777777" w:rsidR="00AB17F5" w:rsidRDefault="00000000">
            <w:pPr>
              <w:spacing w:before="20" w:after="20" w:line="240" w:lineRule="auto"/>
            </w:pPr>
            <w:r>
              <w:rPr>
                <w:b/>
                <w:sz w:val="17"/>
                <w:szCs w:val="17"/>
              </w:rPr>
              <w:t>Reference</w:t>
            </w:r>
          </w:p>
        </w:tc>
        <w:tc>
          <w:tcPr>
            <w:tcW w:w="3702" w:type="dxa"/>
            <w:shd w:val="clear" w:color="auto" w:fill="EFE9F4"/>
          </w:tcPr>
          <w:p w14:paraId="4831CB9D" w14:textId="77777777" w:rsidR="00AB17F5" w:rsidRDefault="00000000">
            <w:pPr>
              <w:spacing w:before="20" w:after="20" w:line="240" w:lineRule="auto"/>
            </w:pPr>
            <w:r>
              <w:rPr>
                <w:b/>
                <w:sz w:val="17"/>
                <w:szCs w:val="17"/>
              </w:rPr>
              <w:t>Link</w:t>
            </w:r>
          </w:p>
        </w:tc>
        <w:tc>
          <w:tcPr>
            <w:tcW w:w="3096" w:type="dxa"/>
            <w:shd w:val="clear" w:color="auto" w:fill="EFE9F4"/>
          </w:tcPr>
          <w:p w14:paraId="395D305C" w14:textId="77777777" w:rsidR="00AB17F5" w:rsidRDefault="00000000">
            <w:pPr>
              <w:spacing w:before="20" w:after="20" w:line="240" w:lineRule="auto"/>
            </w:pPr>
            <w:r>
              <w:rPr>
                <w:b/>
                <w:sz w:val="17"/>
                <w:szCs w:val="17"/>
              </w:rPr>
              <w:t>What it tells us</w:t>
            </w:r>
          </w:p>
        </w:tc>
        <w:tc>
          <w:tcPr>
            <w:tcW w:w="872" w:type="dxa"/>
            <w:shd w:val="clear" w:color="auto" w:fill="EFE9F4"/>
          </w:tcPr>
          <w:p w14:paraId="47150998" w14:textId="77777777" w:rsidR="00AB17F5" w:rsidRDefault="00000000">
            <w:pPr>
              <w:spacing w:before="20" w:after="20" w:line="240" w:lineRule="auto"/>
            </w:pPr>
            <w:r>
              <w:rPr>
                <w:b/>
                <w:sz w:val="17"/>
                <w:szCs w:val="17"/>
              </w:rPr>
              <w:t>Category</w:t>
            </w:r>
          </w:p>
        </w:tc>
      </w:tr>
      <w:tr w:rsidR="00AB17F5" w14:paraId="1CE285DE" w14:textId="77777777" w:rsidTr="00B735E6">
        <w:tc>
          <w:tcPr>
            <w:tcW w:w="1930" w:type="dxa"/>
          </w:tcPr>
          <w:p w14:paraId="511AC795" w14:textId="77777777" w:rsidR="00AB17F5" w:rsidRDefault="00000000">
            <w:pPr>
              <w:spacing w:before="20" w:after="20" w:line="240" w:lineRule="auto"/>
            </w:pPr>
            <w:r>
              <w:rPr>
                <w:sz w:val="17"/>
                <w:szCs w:val="17"/>
              </w:rPr>
              <w:t xml:space="preserve">Frank, Karpinski, </w:t>
            </w:r>
            <w:proofErr w:type="spellStart"/>
            <w:r>
              <w:rPr>
                <w:sz w:val="17"/>
                <w:szCs w:val="17"/>
              </w:rPr>
              <w:t>Sherbino</w:t>
            </w:r>
            <w:proofErr w:type="spellEnd"/>
            <w:r>
              <w:rPr>
                <w:sz w:val="17"/>
                <w:szCs w:val="17"/>
              </w:rPr>
              <w:t xml:space="preserve">, Snell, Hall et al. Competence </w:t>
            </w:r>
            <w:proofErr w:type="gramStart"/>
            <w:r>
              <w:rPr>
                <w:sz w:val="17"/>
                <w:szCs w:val="17"/>
              </w:rPr>
              <w:t>By</w:t>
            </w:r>
            <w:proofErr w:type="gramEnd"/>
            <w:r>
              <w:rPr>
                <w:sz w:val="17"/>
                <w:szCs w:val="17"/>
              </w:rPr>
              <w:t xml:space="preserve"> Design: a transformational national model of time-variable CBME. </w:t>
            </w:r>
            <w:proofErr w:type="spellStart"/>
            <w:r>
              <w:rPr>
                <w:i/>
                <w:sz w:val="17"/>
                <w:szCs w:val="17"/>
              </w:rPr>
              <w:t>Perspect</w:t>
            </w:r>
            <w:proofErr w:type="spellEnd"/>
            <w:r>
              <w:rPr>
                <w:i/>
                <w:sz w:val="17"/>
                <w:szCs w:val="17"/>
              </w:rPr>
              <w:t xml:space="preserve"> Med Educ.</w:t>
            </w:r>
            <w:r>
              <w:rPr>
                <w:sz w:val="17"/>
                <w:szCs w:val="17"/>
              </w:rPr>
              <w:t xml:space="preserve"> 2024</w:t>
            </w:r>
          </w:p>
        </w:tc>
        <w:tc>
          <w:tcPr>
            <w:tcW w:w="3702" w:type="dxa"/>
          </w:tcPr>
          <w:p w14:paraId="0B6789C1" w14:textId="77777777" w:rsidR="00AB17F5" w:rsidRDefault="00AB17F5">
            <w:pPr>
              <w:spacing w:before="20" w:after="20" w:line="240" w:lineRule="auto"/>
            </w:pPr>
            <w:hyperlink r:id="rId107">
              <w:r>
                <w:rPr>
                  <w:rStyle w:val="Hyperlink"/>
                  <w:sz w:val="17"/>
                  <w:szCs w:val="17"/>
                </w:rPr>
                <w:t>doi:10.5334/pme.1096</w:t>
              </w:r>
            </w:hyperlink>
          </w:p>
        </w:tc>
        <w:tc>
          <w:tcPr>
            <w:tcW w:w="3096" w:type="dxa"/>
          </w:tcPr>
          <w:p w14:paraId="1E1C76CD" w14:textId="77777777" w:rsidR="00AB17F5" w:rsidRDefault="00000000">
            <w:pPr>
              <w:spacing w:before="20" w:after="20" w:line="240" w:lineRule="auto"/>
            </w:pPr>
            <w:r>
              <w:rPr>
                <w:sz w:val="17"/>
                <w:szCs w:val="17"/>
              </w:rPr>
              <w:t xml:space="preserve">Describes CBD's four-stage Competence Continuum — Transition to Discipline → Foundations → Core → </w:t>
            </w:r>
            <w:r>
              <w:rPr>
                <w:b/>
                <w:sz w:val="17"/>
                <w:szCs w:val="17"/>
              </w:rPr>
              <w:t>Transition to Practice</w:t>
            </w:r>
            <w:r>
              <w:rPr>
                <w:sz w:val="17"/>
                <w:szCs w:val="17"/>
              </w:rPr>
              <w:t xml:space="preserve"> — the clearest precedent for building post-competence consolidation into the architecture</w:t>
            </w:r>
          </w:p>
        </w:tc>
        <w:tc>
          <w:tcPr>
            <w:tcW w:w="872" w:type="dxa"/>
          </w:tcPr>
          <w:p w14:paraId="4506471A" w14:textId="77777777" w:rsidR="00AB17F5" w:rsidRDefault="00000000">
            <w:pPr>
              <w:spacing w:before="20" w:after="20" w:line="240" w:lineRule="auto"/>
            </w:pPr>
            <w:r>
              <w:rPr>
                <w:sz w:val="17"/>
                <w:szCs w:val="17"/>
              </w:rPr>
              <w:t>Theory</w:t>
            </w:r>
          </w:p>
        </w:tc>
      </w:tr>
      <w:tr w:rsidR="00AB17F5" w14:paraId="4FB30AFA" w14:textId="77777777" w:rsidTr="00B735E6">
        <w:tc>
          <w:tcPr>
            <w:tcW w:w="1930" w:type="dxa"/>
          </w:tcPr>
          <w:p w14:paraId="39364BD3" w14:textId="77777777" w:rsidR="00AB17F5" w:rsidRDefault="00000000">
            <w:pPr>
              <w:spacing w:before="20" w:after="20" w:line="240" w:lineRule="auto"/>
            </w:pPr>
            <w:proofErr w:type="spellStart"/>
            <w:r>
              <w:rPr>
                <w:sz w:val="17"/>
                <w:szCs w:val="17"/>
              </w:rPr>
              <w:t>Carraccio</w:t>
            </w:r>
            <w:proofErr w:type="spellEnd"/>
            <w:r>
              <w:rPr>
                <w:sz w:val="17"/>
                <w:szCs w:val="17"/>
              </w:rPr>
              <w:t xml:space="preserve">, Englander, Van Melle, ten Cate et al. Advancing CBME: A Charter for Clinician-Educators. </w:t>
            </w:r>
            <w:proofErr w:type="spellStart"/>
            <w:r>
              <w:rPr>
                <w:i/>
                <w:sz w:val="17"/>
                <w:szCs w:val="17"/>
              </w:rPr>
              <w:t>Acad</w:t>
            </w:r>
            <w:proofErr w:type="spellEnd"/>
            <w:r>
              <w:rPr>
                <w:i/>
                <w:sz w:val="17"/>
                <w:szCs w:val="17"/>
              </w:rPr>
              <w:t xml:space="preserve"> Med.</w:t>
            </w:r>
            <w:r>
              <w:rPr>
                <w:sz w:val="17"/>
                <w:szCs w:val="17"/>
              </w:rPr>
              <w:t xml:space="preserve"> 2016</w:t>
            </w:r>
          </w:p>
        </w:tc>
        <w:tc>
          <w:tcPr>
            <w:tcW w:w="3702" w:type="dxa"/>
          </w:tcPr>
          <w:p w14:paraId="73079DA3" w14:textId="77777777" w:rsidR="00AB17F5" w:rsidRDefault="00AB17F5">
            <w:pPr>
              <w:spacing w:before="20" w:after="20" w:line="240" w:lineRule="auto"/>
            </w:pPr>
            <w:hyperlink r:id="rId108">
              <w:r>
                <w:rPr>
                  <w:rStyle w:val="Hyperlink"/>
                  <w:sz w:val="17"/>
                  <w:szCs w:val="17"/>
                </w:rPr>
                <w:t>doi:10.1097/ACM.0000000000001048</w:t>
              </w:r>
            </w:hyperlink>
          </w:p>
        </w:tc>
        <w:tc>
          <w:tcPr>
            <w:tcW w:w="3096" w:type="dxa"/>
          </w:tcPr>
          <w:p w14:paraId="06377B11" w14:textId="77777777" w:rsidR="00AB17F5" w:rsidRDefault="00000000">
            <w:pPr>
              <w:spacing w:before="20" w:after="20" w:line="240" w:lineRule="auto"/>
            </w:pPr>
            <w:r>
              <w:rPr>
                <w:sz w:val="17"/>
                <w:szCs w:val="17"/>
              </w:rPr>
              <w:t xml:space="preserve">Frames physician formation as a </w:t>
            </w:r>
            <w:r>
              <w:rPr>
                <w:i/>
                <w:sz w:val="17"/>
                <w:szCs w:val="17"/>
              </w:rPr>
              <w:t>seamless continuum</w:t>
            </w:r>
            <w:r>
              <w:rPr>
                <w:sz w:val="17"/>
                <w:szCs w:val="17"/>
              </w:rPr>
              <w:t xml:space="preserve"> across education, training and practice — Fellowship is a node, not an endpoint</w:t>
            </w:r>
          </w:p>
        </w:tc>
        <w:tc>
          <w:tcPr>
            <w:tcW w:w="872" w:type="dxa"/>
          </w:tcPr>
          <w:p w14:paraId="1978F09A" w14:textId="77777777" w:rsidR="00AB17F5" w:rsidRDefault="00000000">
            <w:pPr>
              <w:spacing w:before="20" w:after="20" w:line="240" w:lineRule="auto"/>
            </w:pPr>
            <w:r>
              <w:rPr>
                <w:sz w:val="17"/>
                <w:szCs w:val="17"/>
              </w:rPr>
              <w:t>Theory</w:t>
            </w:r>
          </w:p>
        </w:tc>
      </w:tr>
      <w:tr w:rsidR="00AB17F5" w14:paraId="7B688A91" w14:textId="77777777" w:rsidTr="00B735E6">
        <w:tc>
          <w:tcPr>
            <w:tcW w:w="1930" w:type="dxa"/>
          </w:tcPr>
          <w:p w14:paraId="22B8FA27" w14:textId="77777777" w:rsidR="00AB17F5" w:rsidRDefault="00000000">
            <w:pPr>
              <w:spacing w:before="20" w:after="20" w:line="240" w:lineRule="auto"/>
            </w:pPr>
            <w:r>
              <w:rPr>
                <w:sz w:val="17"/>
                <w:szCs w:val="17"/>
              </w:rPr>
              <w:t xml:space="preserve">Thomson et al. Transition to practice curriculum… scoping review and national survey. </w:t>
            </w:r>
            <w:r>
              <w:rPr>
                <w:i/>
                <w:sz w:val="17"/>
                <w:szCs w:val="17"/>
              </w:rPr>
              <w:t>BMC Med Educ.</w:t>
            </w:r>
            <w:r>
              <w:rPr>
                <w:sz w:val="17"/>
                <w:szCs w:val="17"/>
              </w:rPr>
              <w:t xml:space="preserve"> 2022</w:t>
            </w:r>
          </w:p>
        </w:tc>
        <w:tc>
          <w:tcPr>
            <w:tcW w:w="3702" w:type="dxa"/>
          </w:tcPr>
          <w:p w14:paraId="2D618223" w14:textId="77777777" w:rsidR="00AB17F5" w:rsidRDefault="00AB17F5">
            <w:pPr>
              <w:spacing w:before="20" w:after="20" w:line="240" w:lineRule="auto"/>
            </w:pPr>
            <w:hyperlink r:id="rId109">
              <w:r>
                <w:rPr>
                  <w:rStyle w:val="Hyperlink"/>
                  <w:sz w:val="17"/>
                  <w:szCs w:val="17"/>
                </w:rPr>
                <w:t>doi:10.1186/s12909-022-03673-4</w:t>
              </w:r>
            </w:hyperlink>
          </w:p>
        </w:tc>
        <w:tc>
          <w:tcPr>
            <w:tcW w:w="3096" w:type="dxa"/>
          </w:tcPr>
          <w:p w14:paraId="10CA35A2" w14:textId="77777777" w:rsidR="00AB17F5" w:rsidRDefault="00000000">
            <w:pPr>
              <w:spacing w:before="20" w:after="20" w:line="240" w:lineRule="auto"/>
            </w:pPr>
            <w:r>
              <w:rPr>
                <w:sz w:val="17"/>
                <w:szCs w:val="17"/>
              </w:rPr>
              <w:t>Finds little evidence base for Transition-to-Practice-stage curricula and proposes core curricular topics for the stage</w:t>
            </w:r>
          </w:p>
        </w:tc>
        <w:tc>
          <w:tcPr>
            <w:tcW w:w="872" w:type="dxa"/>
          </w:tcPr>
          <w:p w14:paraId="3878552E" w14:textId="77777777" w:rsidR="00AB17F5" w:rsidRDefault="00000000">
            <w:pPr>
              <w:spacing w:before="20" w:after="20" w:line="240" w:lineRule="auto"/>
            </w:pPr>
            <w:r>
              <w:rPr>
                <w:sz w:val="17"/>
                <w:szCs w:val="17"/>
              </w:rPr>
              <w:t>Evidence</w:t>
            </w:r>
          </w:p>
        </w:tc>
      </w:tr>
      <w:tr w:rsidR="00AB17F5" w14:paraId="6FA672A0" w14:textId="77777777" w:rsidTr="00B735E6">
        <w:tc>
          <w:tcPr>
            <w:tcW w:w="1930" w:type="dxa"/>
          </w:tcPr>
          <w:p w14:paraId="7498DA1A" w14:textId="77777777" w:rsidR="00AB17F5" w:rsidRDefault="00000000">
            <w:pPr>
              <w:spacing w:before="20" w:after="20" w:line="240" w:lineRule="auto"/>
            </w:pPr>
            <w:r>
              <w:rPr>
                <w:sz w:val="17"/>
                <w:szCs w:val="17"/>
              </w:rPr>
              <w:t xml:space="preserve">Westerman, Teunissen, van der Vleuten et al. Understanding the transition from resident to attending physician. </w:t>
            </w:r>
            <w:proofErr w:type="spellStart"/>
            <w:r>
              <w:rPr>
                <w:i/>
                <w:sz w:val="17"/>
                <w:szCs w:val="17"/>
              </w:rPr>
              <w:t>Acad</w:t>
            </w:r>
            <w:proofErr w:type="spellEnd"/>
            <w:r>
              <w:rPr>
                <w:i/>
                <w:sz w:val="17"/>
                <w:szCs w:val="17"/>
              </w:rPr>
              <w:t xml:space="preserve"> Med.</w:t>
            </w:r>
            <w:r>
              <w:rPr>
                <w:sz w:val="17"/>
                <w:szCs w:val="17"/>
              </w:rPr>
              <w:t xml:space="preserve"> 2010</w:t>
            </w:r>
          </w:p>
        </w:tc>
        <w:tc>
          <w:tcPr>
            <w:tcW w:w="3702" w:type="dxa"/>
          </w:tcPr>
          <w:p w14:paraId="26F41A32" w14:textId="77777777" w:rsidR="00AB17F5" w:rsidRDefault="00AB17F5">
            <w:pPr>
              <w:spacing w:before="20" w:after="20" w:line="240" w:lineRule="auto"/>
            </w:pPr>
            <w:hyperlink r:id="rId110">
              <w:r>
                <w:rPr>
                  <w:rStyle w:val="Hyperlink"/>
                  <w:sz w:val="17"/>
                  <w:szCs w:val="17"/>
                </w:rPr>
                <w:t>doi:10.1097/ACM.0b013e3181fa2913</w:t>
              </w:r>
            </w:hyperlink>
          </w:p>
        </w:tc>
        <w:tc>
          <w:tcPr>
            <w:tcW w:w="3096" w:type="dxa"/>
          </w:tcPr>
          <w:p w14:paraId="7D9DC8A7" w14:textId="77777777" w:rsidR="00AB17F5" w:rsidRDefault="00000000">
            <w:pPr>
              <w:spacing w:before="20" w:after="20" w:line="240" w:lineRule="auto"/>
            </w:pPr>
            <w:r>
              <w:rPr>
                <w:sz w:val="17"/>
                <w:szCs w:val="17"/>
              </w:rPr>
              <w:t>Qualitative study: new attendings feel clinically prepared but underprepared for non-clinical roles (supervision, assessment, management) — a real developmental gap after qualification</w:t>
            </w:r>
          </w:p>
        </w:tc>
        <w:tc>
          <w:tcPr>
            <w:tcW w:w="872" w:type="dxa"/>
          </w:tcPr>
          <w:p w14:paraId="29279C5D" w14:textId="77777777" w:rsidR="00AB17F5" w:rsidRDefault="00000000">
            <w:pPr>
              <w:spacing w:before="20" w:after="20" w:line="240" w:lineRule="auto"/>
            </w:pPr>
            <w:r>
              <w:rPr>
                <w:sz w:val="17"/>
                <w:szCs w:val="17"/>
              </w:rPr>
              <w:t>Evidence</w:t>
            </w:r>
          </w:p>
        </w:tc>
      </w:tr>
      <w:tr w:rsidR="00AB17F5" w14:paraId="3B9DE5F3" w14:textId="77777777" w:rsidTr="00B735E6">
        <w:tc>
          <w:tcPr>
            <w:tcW w:w="1930" w:type="dxa"/>
          </w:tcPr>
          <w:p w14:paraId="5F8851F8" w14:textId="77777777" w:rsidR="00AB17F5" w:rsidRDefault="00000000">
            <w:pPr>
              <w:spacing w:before="20" w:after="20" w:line="240" w:lineRule="auto"/>
            </w:pPr>
            <w:r>
              <w:rPr>
                <w:sz w:val="17"/>
                <w:szCs w:val="17"/>
              </w:rPr>
              <w:t xml:space="preserve">Teunissen &amp; Westerman. Opportunity or threat: the ambiguity of transitions in medical education. </w:t>
            </w:r>
            <w:r>
              <w:rPr>
                <w:i/>
                <w:sz w:val="17"/>
                <w:szCs w:val="17"/>
              </w:rPr>
              <w:t>Med Educ.</w:t>
            </w:r>
            <w:r>
              <w:rPr>
                <w:sz w:val="17"/>
                <w:szCs w:val="17"/>
              </w:rPr>
              <w:t xml:space="preserve"> 2011</w:t>
            </w:r>
          </w:p>
        </w:tc>
        <w:tc>
          <w:tcPr>
            <w:tcW w:w="3702" w:type="dxa"/>
          </w:tcPr>
          <w:p w14:paraId="0BBD7BE0" w14:textId="77777777" w:rsidR="00AB17F5" w:rsidRDefault="00AB17F5">
            <w:pPr>
              <w:spacing w:before="20" w:after="20" w:line="240" w:lineRule="auto"/>
            </w:pPr>
            <w:hyperlink r:id="rId111">
              <w:r>
                <w:rPr>
                  <w:rStyle w:val="Hyperlink"/>
                  <w:sz w:val="17"/>
                  <w:szCs w:val="17"/>
                </w:rPr>
                <w:t>doi:10.1111/j.1365-2923.</w:t>
              </w:r>
              <w:proofErr w:type="gramStart"/>
              <w:r>
                <w:rPr>
                  <w:rStyle w:val="Hyperlink"/>
                  <w:sz w:val="17"/>
                  <w:szCs w:val="17"/>
                </w:rPr>
                <w:t>2010.03755.x</w:t>
              </w:r>
              <w:proofErr w:type="gramEnd"/>
            </w:hyperlink>
          </w:p>
        </w:tc>
        <w:tc>
          <w:tcPr>
            <w:tcW w:w="3096" w:type="dxa"/>
          </w:tcPr>
          <w:p w14:paraId="7F45FF9C" w14:textId="77777777" w:rsidR="00AB17F5" w:rsidRDefault="00000000">
            <w:pPr>
              <w:spacing w:before="20" w:after="20" w:line="240" w:lineRule="auto"/>
            </w:pPr>
            <w:r>
              <w:rPr>
                <w:sz w:val="17"/>
                <w:szCs w:val="17"/>
              </w:rPr>
              <w:t>Transitions are double-edged — simultaneously developmental opportunities and sources of stress/risk; design to harness the opportunity and buffer the threat</w:t>
            </w:r>
          </w:p>
        </w:tc>
        <w:tc>
          <w:tcPr>
            <w:tcW w:w="872" w:type="dxa"/>
          </w:tcPr>
          <w:p w14:paraId="3B6C0F90" w14:textId="77777777" w:rsidR="00AB17F5" w:rsidRDefault="00000000">
            <w:pPr>
              <w:spacing w:before="20" w:after="20" w:line="240" w:lineRule="auto"/>
            </w:pPr>
            <w:r>
              <w:rPr>
                <w:sz w:val="17"/>
                <w:szCs w:val="17"/>
              </w:rPr>
              <w:t>Theory</w:t>
            </w:r>
          </w:p>
        </w:tc>
      </w:tr>
      <w:tr w:rsidR="00AB17F5" w14:paraId="08F0C420" w14:textId="77777777" w:rsidTr="00B735E6">
        <w:tc>
          <w:tcPr>
            <w:tcW w:w="1930" w:type="dxa"/>
          </w:tcPr>
          <w:p w14:paraId="338B5E90" w14:textId="77777777" w:rsidR="00AB17F5" w:rsidRDefault="00000000">
            <w:pPr>
              <w:spacing w:before="20" w:after="20" w:line="240" w:lineRule="auto"/>
            </w:pPr>
            <w:r>
              <w:rPr>
                <w:sz w:val="17"/>
                <w:szCs w:val="17"/>
              </w:rPr>
              <w:t xml:space="preserve">Westerman, Teunissen, </w:t>
            </w:r>
            <w:proofErr w:type="spellStart"/>
            <w:r>
              <w:rPr>
                <w:sz w:val="17"/>
                <w:szCs w:val="17"/>
              </w:rPr>
              <w:t>Fokkema</w:t>
            </w:r>
            <w:proofErr w:type="spellEnd"/>
            <w:r>
              <w:rPr>
                <w:sz w:val="17"/>
                <w:szCs w:val="17"/>
              </w:rPr>
              <w:t xml:space="preserve"> et al. The transition to hospital consultant… (SEM). </w:t>
            </w:r>
            <w:r>
              <w:rPr>
                <w:i/>
                <w:sz w:val="17"/>
                <w:szCs w:val="17"/>
              </w:rPr>
              <w:t>Med Teach.</w:t>
            </w:r>
            <w:r>
              <w:rPr>
                <w:sz w:val="17"/>
                <w:szCs w:val="17"/>
              </w:rPr>
              <w:t xml:space="preserve"> 2013</w:t>
            </w:r>
          </w:p>
        </w:tc>
        <w:tc>
          <w:tcPr>
            <w:tcW w:w="3702" w:type="dxa"/>
          </w:tcPr>
          <w:p w14:paraId="04B79880" w14:textId="77777777" w:rsidR="00AB17F5" w:rsidRDefault="00AB17F5">
            <w:pPr>
              <w:spacing w:before="20" w:after="20" w:line="240" w:lineRule="auto"/>
            </w:pPr>
            <w:hyperlink r:id="rId112">
              <w:r>
                <w:rPr>
                  <w:rStyle w:val="Hyperlink"/>
                  <w:sz w:val="17"/>
                  <w:szCs w:val="17"/>
                </w:rPr>
                <w:t>doi:10.3109/0142159X.2012.735381</w:t>
              </w:r>
            </w:hyperlink>
          </w:p>
        </w:tc>
        <w:tc>
          <w:tcPr>
            <w:tcW w:w="3096" w:type="dxa"/>
          </w:tcPr>
          <w:p w14:paraId="12622658" w14:textId="77777777" w:rsidR="00AB17F5" w:rsidRDefault="00000000">
            <w:pPr>
              <w:spacing w:before="20" w:after="20" w:line="240" w:lineRule="auto"/>
            </w:pPr>
            <w:r>
              <w:rPr>
                <w:sz w:val="17"/>
                <w:szCs w:val="17"/>
              </w:rPr>
              <w:t>Low preparedness and weak social support at the consultant transition predict burnout — argues for structured support across the boundary</w:t>
            </w:r>
          </w:p>
        </w:tc>
        <w:tc>
          <w:tcPr>
            <w:tcW w:w="872" w:type="dxa"/>
          </w:tcPr>
          <w:p w14:paraId="5A65A827" w14:textId="77777777" w:rsidR="00AB17F5" w:rsidRDefault="00000000">
            <w:pPr>
              <w:spacing w:before="20" w:after="20" w:line="240" w:lineRule="auto"/>
            </w:pPr>
            <w:r>
              <w:rPr>
                <w:sz w:val="17"/>
                <w:szCs w:val="17"/>
              </w:rPr>
              <w:t>Evidence</w:t>
            </w:r>
          </w:p>
        </w:tc>
      </w:tr>
      <w:tr w:rsidR="00AB17F5" w14:paraId="0A1AE93B" w14:textId="77777777" w:rsidTr="00B735E6">
        <w:tc>
          <w:tcPr>
            <w:tcW w:w="1930" w:type="dxa"/>
          </w:tcPr>
          <w:p w14:paraId="17A0BEF1" w14:textId="77777777" w:rsidR="00AB17F5" w:rsidRDefault="00000000">
            <w:pPr>
              <w:spacing w:before="20" w:after="20" w:line="240" w:lineRule="auto"/>
            </w:pPr>
            <w:r>
              <w:rPr>
                <w:sz w:val="17"/>
                <w:szCs w:val="17"/>
              </w:rPr>
              <w:t xml:space="preserve">Kilminster, Zukas, Quinton, Roberts. Preparedness is not enough: transitions as critically intensive learning periods. </w:t>
            </w:r>
            <w:r>
              <w:rPr>
                <w:i/>
                <w:sz w:val="17"/>
                <w:szCs w:val="17"/>
              </w:rPr>
              <w:t>Med Educ.</w:t>
            </w:r>
            <w:r>
              <w:rPr>
                <w:sz w:val="17"/>
                <w:szCs w:val="17"/>
              </w:rPr>
              <w:t xml:space="preserve"> 2011</w:t>
            </w:r>
          </w:p>
        </w:tc>
        <w:tc>
          <w:tcPr>
            <w:tcW w:w="3702" w:type="dxa"/>
          </w:tcPr>
          <w:p w14:paraId="0CC9E9B0" w14:textId="77777777" w:rsidR="00AB17F5" w:rsidRDefault="00AB17F5">
            <w:pPr>
              <w:spacing w:before="20" w:after="20" w:line="240" w:lineRule="auto"/>
            </w:pPr>
            <w:hyperlink r:id="rId113">
              <w:r>
                <w:rPr>
                  <w:rStyle w:val="Hyperlink"/>
                  <w:sz w:val="17"/>
                  <w:szCs w:val="17"/>
                </w:rPr>
                <w:t>doi:10.1111/j.1365-2923.</w:t>
              </w:r>
              <w:proofErr w:type="gramStart"/>
              <w:r>
                <w:rPr>
                  <w:rStyle w:val="Hyperlink"/>
                  <w:sz w:val="17"/>
                  <w:szCs w:val="17"/>
                </w:rPr>
                <w:t>2011.04048.x</w:t>
              </w:r>
              <w:proofErr w:type="gramEnd"/>
            </w:hyperlink>
          </w:p>
        </w:tc>
        <w:tc>
          <w:tcPr>
            <w:tcW w:w="3096" w:type="dxa"/>
          </w:tcPr>
          <w:p w14:paraId="3916B903" w14:textId="77777777" w:rsidR="00AB17F5" w:rsidRDefault="00000000">
            <w:pPr>
              <w:spacing w:before="20" w:after="20" w:line="240" w:lineRule="auto"/>
            </w:pPr>
            <w:r>
              <w:rPr>
                <w:sz w:val="17"/>
                <w:szCs w:val="17"/>
              </w:rPr>
              <w:t xml:space="preserve">Reframes transitions as "critically intensive learning periods" — pre-transition preparedness alone cannot ensure safe performance; support must sit </w:t>
            </w:r>
            <w:r>
              <w:rPr>
                <w:i/>
                <w:sz w:val="17"/>
                <w:szCs w:val="17"/>
              </w:rPr>
              <w:t>at</w:t>
            </w:r>
            <w:r>
              <w:rPr>
                <w:sz w:val="17"/>
                <w:szCs w:val="17"/>
              </w:rPr>
              <w:t xml:space="preserve"> the transition</w:t>
            </w:r>
          </w:p>
        </w:tc>
        <w:tc>
          <w:tcPr>
            <w:tcW w:w="872" w:type="dxa"/>
          </w:tcPr>
          <w:p w14:paraId="37C48B25" w14:textId="77777777" w:rsidR="00AB17F5" w:rsidRDefault="00000000">
            <w:pPr>
              <w:spacing w:before="20" w:after="20" w:line="240" w:lineRule="auto"/>
            </w:pPr>
            <w:r>
              <w:rPr>
                <w:sz w:val="17"/>
                <w:szCs w:val="17"/>
              </w:rPr>
              <w:t>Theory</w:t>
            </w:r>
          </w:p>
        </w:tc>
      </w:tr>
      <w:tr w:rsidR="00AB17F5" w14:paraId="6EBE79AD" w14:textId="77777777" w:rsidTr="00B735E6">
        <w:tc>
          <w:tcPr>
            <w:tcW w:w="1930" w:type="dxa"/>
          </w:tcPr>
          <w:p w14:paraId="36B23D58" w14:textId="77777777" w:rsidR="00AB17F5" w:rsidRDefault="00000000">
            <w:pPr>
              <w:spacing w:before="20" w:after="20" w:line="240" w:lineRule="auto"/>
            </w:pPr>
            <w:proofErr w:type="spellStart"/>
            <w:r>
              <w:rPr>
                <w:sz w:val="17"/>
                <w:szCs w:val="17"/>
              </w:rPr>
              <w:t>Winderbaum</w:t>
            </w:r>
            <w:proofErr w:type="spellEnd"/>
            <w:r>
              <w:rPr>
                <w:sz w:val="17"/>
                <w:szCs w:val="17"/>
              </w:rPr>
              <w:t xml:space="preserve"> et al. Mentoring programs for first-year doctors: a systematic review. </w:t>
            </w:r>
            <w:r>
              <w:rPr>
                <w:i/>
                <w:sz w:val="17"/>
                <w:szCs w:val="17"/>
              </w:rPr>
              <w:t>Med Educ.</w:t>
            </w:r>
            <w:r>
              <w:rPr>
                <w:sz w:val="17"/>
                <w:szCs w:val="17"/>
              </w:rPr>
              <w:t xml:space="preserve"> 2024</w:t>
            </w:r>
          </w:p>
        </w:tc>
        <w:tc>
          <w:tcPr>
            <w:tcW w:w="3702" w:type="dxa"/>
          </w:tcPr>
          <w:p w14:paraId="6EE81E20" w14:textId="77777777" w:rsidR="00AB17F5" w:rsidRDefault="00AB17F5">
            <w:pPr>
              <w:spacing w:before="20" w:after="20" w:line="240" w:lineRule="auto"/>
            </w:pPr>
            <w:hyperlink r:id="rId114">
              <w:r>
                <w:rPr>
                  <w:rStyle w:val="Hyperlink"/>
                  <w:sz w:val="17"/>
                  <w:szCs w:val="17"/>
                </w:rPr>
                <w:t>doi:10.1111/medu.15299</w:t>
              </w:r>
            </w:hyperlink>
          </w:p>
        </w:tc>
        <w:tc>
          <w:tcPr>
            <w:tcW w:w="3096" w:type="dxa"/>
          </w:tcPr>
          <w:p w14:paraId="59D8A490" w14:textId="77777777" w:rsidR="00AB17F5" w:rsidRDefault="00000000">
            <w:pPr>
              <w:spacing w:before="20" w:after="20" w:line="240" w:lineRule="auto"/>
            </w:pPr>
            <w:r>
              <w:rPr>
                <w:sz w:val="17"/>
                <w:szCs w:val="17"/>
              </w:rPr>
              <w:t>Systematic review: formal/near-peer mentoring eases the training-to-practice transition and supports wellbeing and retention</w:t>
            </w:r>
          </w:p>
        </w:tc>
        <w:tc>
          <w:tcPr>
            <w:tcW w:w="872" w:type="dxa"/>
          </w:tcPr>
          <w:p w14:paraId="672E1A93" w14:textId="77777777" w:rsidR="00AB17F5" w:rsidRDefault="00000000">
            <w:pPr>
              <w:spacing w:before="20" w:after="20" w:line="240" w:lineRule="auto"/>
            </w:pPr>
            <w:r>
              <w:rPr>
                <w:sz w:val="17"/>
                <w:szCs w:val="17"/>
              </w:rPr>
              <w:t>Evidence</w:t>
            </w:r>
          </w:p>
        </w:tc>
      </w:tr>
      <w:tr w:rsidR="00AB17F5" w14:paraId="130CF09D" w14:textId="77777777" w:rsidTr="00B735E6">
        <w:tc>
          <w:tcPr>
            <w:tcW w:w="1930" w:type="dxa"/>
          </w:tcPr>
          <w:p w14:paraId="1C4EE0DB" w14:textId="77777777" w:rsidR="00AB17F5" w:rsidRDefault="00000000">
            <w:pPr>
              <w:spacing w:before="20" w:after="20" w:line="240" w:lineRule="auto"/>
            </w:pPr>
            <w:r>
              <w:rPr>
                <w:sz w:val="17"/>
                <w:szCs w:val="17"/>
              </w:rPr>
              <w:t xml:space="preserve">Wilkie &amp; Raffaelli. In at the deep end: making the transition from SpR to consultant. </w:t>
            </w:r>
            <w:r>
              <w:rPr>
                <w:i/>
                <w:sz w:val="17"/>
                <w:szCs w:val="17"/>
              </w:rPr>
              <w:t xml:space="preserve">Adv </w:t>
            </w:r>
            <w:proofErr w:type="spellStart"/>
            <w:r>
              <w:rPr>
                <w:i/>
                <w:sz w:val="17"/>
                <w:szCs w:val="17"/>
              </w:rPr>
              <w:t>Psychiatr</w:t>
            </w:r>
            <w:proofErr w:type="spellEnd"/>
            <w:r>
              <w:rPr>
                <w:i/>
                <w:sz w:val="17"/>
                <w:szCs w:val="17"/>
              </w:rPr>
              <w:t xml:space="preserve"> Treat.</w:t>
            </w:r>
            <w:r>
              <w:rPr>
                <w:sz w:val="17"/>
                <w:szCs w:val="17"/>
              </w:rPr>
              <w:t xml:space="preserve"> 2005;11(2):107–114</w:t>
            </w:r>
          </w:p>
        </w:tc>
        <w:tc>
          <w:tcPr>
            <w:tcW w:w="3702" w:type="dxa"/>
          </w:tcPr>
          <w:p w14:paraId="1914E08B" w14:textId="77777777" w:rsidR="00AB17F5" w:rsidRDefault="00AB17F5">
            <w:pPr>
              <w:spacing w:before="20" w:after="20" w:line="240" w:lineRule="auto"/>
            </w:pPr>
            <w:hyperlink r:id="rId115">
              <w:r>
                <w:rPr>
                  <w:rStyle w:val="Hyperlink"/>
                  <w:sz w:val="17"/>
                  <w:szCs w:val="17"/>
                </w:rPr>
                <w:t>www.cambridge.org/core/journals/advances-in-psychiatric-treatment/article/in-at-the-deep-end-making-the-transition-from-spr-to-consultant/95F908BFC72747CF329A699388CE2DE8</w:t>
              </w:r>
            </w:hyperlink>
          </w:p>
        </w:tc>
        <w:tc>
          <w:tcPr>
            <w:tcW w:w="3096" w:type="dxa"/>
          </w:tcPr>
          <w:p w14:paraId="50F6E3B3" w14:textId="77777777" w:rsidR="00AB17F5" w:rsidRDefault="00000000">
            <w:pPr>
              <w:spacing w:before="20" w:after="20" w:line="240" w:lineRule="auto"/>
            </w:pPr>
            <w:r>
              <w:rPr>
                <w:sz w:val="17"/>
                <w:szCs w:val="17"/>
              </w:rPr>
              <w:t xml:space="preserve">Psychiatry-specific practical account of the </w:t>
            </w:r>
            <w:proofErr w:type="spellStart"/>
            <w:r>
              <w:rPr>
                <w:sz w:val="17"/>
                <w:szCs w:val="17"/>
              </w:rPr>
              <w:t>SpR→consultant</w:t>
            </w:r>
            <w:proofErr w:type="spellEnd"/>
            <w:r>
              <w:rPr>
                <w:sz w:val="17"/>
                <w:szCs w:val="17"/>
              </w:rPr>
              <w:t xml:space="preserve"> transition and the value of peer-support/transition groups</w:t>
            </w:r>
          </w:p>
        </w:tc>
        <w:tc>
          <w:tcPr>
            <w:tcW w:w="872" w:type="dxa"/>
          </w:tcPr>
          <w:p w14:paraId="2A8A3481" w14:textId="77777777" w:rsidR="00AB17F5" w:rsidRDefault="00000000">
            <w:pPr>
              <w:spacing w:before="20" w:after="20" w:line="240" w:lineRule="auto"/>
            </w:pPr>
            <w:r>
              <w:rPr>
                <w:sz w:val="17"/>
                <w:szCs w:val="17"/>
              </w:rPr>
              <w:t>Theory</w:t>
            </w:r>
          </w:p>
        </w:tc>
      </w:tr>
      <w:tr w:rsidR="00AB17F5" w14:paraId="56CC6B16" w14:textId="77777777" w:rsidTr="00B735E6">
        <w:tc>
          <w:tcPr>
            <w:tcW w:w="1930" w:type="dxa"/>
          </w:tcPr>
          <w:p w14:paraId="72776FE7" w14:textId="77777777" w:rsidR="00AB17F5" w:rsidRDefault="00000000">
            <w:pPr>
              <w:spacing w:before="20" w:after="20" w:line="240" w:lineRule="auto"/>
            </w:pPr>
            <w:r>
              <w:rPr>
                <w:sz w:val="17"/>
                <w:szCs w:val="17"/>
              </w:rPr>
              <w:lastRenderedPageBreak/>
              <w:t xml:space="preserve">Beezhold. The needs of new consultants. </w:t>
            </w:r>
            <w:r>
              <w:rPr>
                <w:i/>
                <w:sz w:val="17"/>
                <w:szCs w:val="17"/>
              </w:rPr>
              <w:t xml:space="preserve">Adv </w:t>
            </w:r>
            <w:proofErr w:type="spellStart"/>
            <w:r>
              <w:rPr>
                <w:i/>
                <w:sz w:val="17"/>
                <w:szCs w:val="17"/>
              </w:rPr>
              <w:t>Psychiatr</w:t>
            </w:r>
            <w:proofErr w:type="spellEnd"/>
            <w:r>
              <w:rPr>
                <w:i/>
                <w:sz w:val="17"/>
                <w:szCs w:val="17"/>
              </w:rPr>
              <w:t xml:space="preserve"> Treat.</w:t>
            </w:r>
            <w:r>
              <w:rPr>
                <w:sz w:val="17"/>
                <w:szCs w:val="17"/>
              </w:rPr>
              <w:t xml:space="preserve"> 2008;14(5):321–325</w:t>
            </w:r>
          </w:p>
        </w:tc>
        <w:tc>
          <w:tcPr>
            <w:tcW w:w="3702" w:type="dxa"/>
          </w:tcPr>
          <w:p w14:paraId="6B0CEBF3" w14:textId="77777777" w:rsidR="00AB17F5" w:rsidRDefault="00AB17F5">
            <w:pPr>
              <w:spacing w:before="20" w:after="20" w:line="240" w:lineRule="auto"/>
            </w:pPr>
            <w:hyperlink r:id="rId116">
              <w:r>
                <w:rPr>
                  <w:rStyle w:val="Hyperlink"/>
                  <w:sz w:val="17"/>
                  <w:szCs w:val="17"/>
                </w:rPr>
                <w:t>www.cambridge.org/core/journals/advances-in-psychiatric-treatment/article/needs-of-new-consultants/90B8EBCEB0533C5FCBD75D726457F0EA</w:t>
              </w:r>
            </w:hyperlink>
          </w:p>
        </w:tc>
        <w:tc>
          <w:tcPr>
            <w:tcW w:w="3096" w:type="dxa"/>
          </w:tcPr>
          <w:p w14:paraId="69C4ACDB" w14:textId="77777777" w:rsidR="00AB17F5" w:rsidRDefault="00000000">
            <w:pPr>
              <w:spacing w:before="20" w:after="20" w:line="240" w:lineRule="auto"/>
            </w:pPr>
            <w:r>
              <w:rPr>
                <w:sz w:val="17"/>
                <w:szCs w:val="17"/>
              </w:rPr>
              <w:t>Argues specialist training under-prepares trainees for consultant life; identifies new-consultant needs and the supports (incl. mentoring) that meet them</w:t>
            </w:r>
          </w:p>
        </w:tc>
        <w:tc>
          <w:tcPr>
            <w:tcW w:w="872" w:type="dxa"/>
          </w:tcPr>
          <w:p w14:paraId="392836D5" w14:textId="77777777" w:rsidR="00AB17F5" w:rsidRDefault="00000000">
            <w:pPr>
              <w:spacing w:before="20" w:after="20" w:line="240" w:lineRule="auto"/>
            </w:pPr>
            <w:r>
              <w:rPr>
                <w:sz w:val="17"/>
                <w:szCs w:val="17"/>
              </w:rPr>
              <w:t>Theory</w:t>
            </w:r>
          </w:p>
        </w:tc>
      </w:tr>
    </w:tbl>
    <w:p w14:paraId="5E0108EE" w14:textId="77777777" w:rsidR="00AB17F5" w:rsidRDefault="00AB17F5"/>
    <w:p w14:paraId="68C085EC" w14:textId="77777777" w:rsidR="00AB17F5" w:rsidRDefault="00AB17F5">
      <w:pPr>
        <w:pBdr>
          <w:bottom w:val="single" w:sz="4" w:space="1" w:color="CCCCCC"/>
        </w:pBdr>
      </w:pPr>
    </w:p>
    <w:p w14:paraId="3CDEAB6A" w14:textId="77777777" w:rsidR="00AB17F5" w:rsidRDefault="00000000">
      <w:pPr>
        <w:pStyle w:val="Heading1"/>
      </w:pPr>
      <w:r>
        <w:t>14. Assessment Review Panels</w:t>
      </w:r>
    </w:p>
    <w:p w14:paraId="4562E4F0" w14:textId="77777777" w:rsidR="00AB17F5" w:rsidRDefault="00000000">
      <w:r>
        <w:t xml:space="preserve">Assessment review panels — variously called clinical competency committees (CCCs) or progress committees, and in the RANZCP system the </w:t>
      </w:r>
      <w:r>
        <w:rPr>
          <w:b/>
        </w:rPr>
        <w:t>Portfolio Review Panel</w:t>
      </w:r>
      <w:r>
        <w:t xml:space="preserve"> and </w:t>
      </w:r>
      <w:r>
        <w:rPr>
          <w:b/>
        </w:rPr>
        <w:t>Portfolio Review Oversight Panel (PROP)</w:t>
      </w:r>
      <w:r>
        <w:t xml:space="preserve"> — are the bodies that synthesise the many workplace-based assessment and EPA data points into a single defensible, fair progression or entrustment decision. They are the human engine of programmatic assessment and the decision-making heart of the portfolio/competence review. The literature is clear that these panels are </w:t>
      </w:r>
      <w:r>
        <w:rPr>
          <w:i/>
        </w:rPr>
        <w:t>interpretive and judgement-based, not mechanical aggregators</w:t>
      </w:r>
      <w:r>
        <w:t xml:space="preserve">: they construct meaning from the evidence, so their quality depends on group-decision process, calibration, management of conflict and bias, explicit narrative reasoning, and demonstrable defensibility (Kane's validity argument applies directly — see §5). </w:t>
      </w:r>
      <w:r>
        <w:rPr>
          <w:i/>
        </w:rPr>
        <w:t>Design implication: invest in panel composition, training and calibration; require documented narrative reasoning; build in procedural fairness (transparency, audit trails, firewalling/conflict management, a "second-look" oversight tier); and treat well-supported panel judgement as legitimate signal — links to §5 (Assessment), §6 (Burden of Assessment) and §8 (Faculty Development).</w:t>
      </w:r>
    </w:p>
    <w:tbl>
      <w:tblPr>
        <w:tblW w:w="9600" w:type="dxa"/>
        <w:tblInd w:w="1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CellMar>
          <w:left w:w="10" w:type="dxa"/>
          <w:right w:w="10" w:type="dxa"/>
        </w:tblCellMar>
        <w:tblLook w:val="07E0" w:firstRow="1" w:lastRow="1" w:firstColumn="1" w:lastColumn="1" w:noHBand="1" w:noVBand="1"/>
      </w:tblPr>
      <w:tblGrid>
        <w:gridCol w:w="2412"/>
        <w:gridCol w:w="2665"/>
        <w:gridCol w:w="3496"/>
        <w:gridCol w:w="1027"/>
      </w:tblGrid>
      <w:tr w:rsidR="00AB17F5" w14:paraId="03DC4051" w14:textId="77777777">
        <w:trPr>
          <w:tblHeader/>
        </w:trPr>
        <w:tc>
          <w:tcPr>
            <w:tcW w:w="2880" w:type="dxa"/>
            <w:shd w:val="clear" w:color="auto" w:fill="EFE9F4"/>
          </w:tcPr>
          <w:p w14:paraId="7DF5A672" w14:textId="77777777" w:rsidR="00AB17F5" w:rsidRDefault="00000000">
            <w:pPr>
              <w:spacing w:before="20" w:after="20" w:line="240" w:lineRule="auto"/>
            </w:pPr>
            <w:r>
              <w:rPr>
                <w:b/>
                <w:sz w:val="17"/>
                <w:szCs w:val="17"/>
              </w:rPr>
              <w:t>Reference</w:t>
            </w:r>
          </w:p>
        </w:tc>
        <w:tc>
          <w:tcPr>
            <w:tcW w:w="1248" w:type="dxa"/>
            <w:shd w:val="clear" w:color="auto" w:fill="EFE9F4"/>
          </w:tcPr>
          <w:p w14:paraId="53FF6CC2" w14:textId="77777777" w:rsidR="00AB17F5" w:rsidRDefault="00000000">
            <w:pPr>
              <w:spacing w:before="20" w:after="20" w:line="240" w:lineRule="auto"/>
            </w:pPr>
            <w:r>
              <w:rPr>
                <w:b/>
                <w:sz w:val="17"/>
                <w:szCs w:val="17"/>
              </w:rPr>
              <w:t>Link</w:t>
            </w:r>
          </w:p>
        </w:tc>
        <w:tc>
          <w:tcPr>
            <w:tcW w:w="4320" w:type="dxa"/>
            <w:shd w:val="clear" w:color="auto" w:fill="EFE9F4"/>
          </w:tcPr>
          <w:p w14:paraId="08FC265F" w14:textId="77777777" w:rsidR="00AB17F5" w:rsidRDefault="00000000">
            <w:pPr>
              <w:spacing w:before="20" w:after="20" w:line="240" w:lineRule="auto"/>
            </w:pPr>
            <w:r>
              <w:rPr>
                <w:b/>
                <w:sz w:val="17"/>
                <w:szCs w:val="17"/>
              </w:rPr>
              <w:t>What it tells us</w:t>
            </w:r>
          </w:p>
        </w:tc>
        <w:tc>
          <w:tcPr>
            <w:tcW w:w="1152" w:type="dxa"/>
            <w:shd w:val="clear" w:color="auto" w:fill="EFE9F4"/>
          </w:tcPr>
          <w:p w14:paraId="4C58C076" w14:textId="77777777" w:rsidR="00AB17F5" w:rsidRDefault="00000000">
            <w:pPr>
              <w:spacing w:before="20" w:after="20" w:line="240" w:lineRule="auto"/>
            </w:pPr>
            <w:r>
              <w:rPr>
                <w:b/>
                <w:sz w:val="17"/>
                <w:szCs w:val="17"/>
              </w:rPr>
              <w:t>Category</w:t>
            </w:r>
          </w:p>
        </w:tc>
      </w:tr>
      <w:tr w:rsidR="00AB17F5" w14:paraId="68F8EB1F" w14:textId="77777777">
        <w:tc>
          <w:tcPr>
            <w:tcW w:w="2880" w:type="dxa"/>
          </w:tcPr>
          <w:p w14:paraId="339C27E9" w14:textId="77777777" w:rsidR="00AB17F5" w:rsidRDefault="00000000">
            <w:pPr>
              <w:spacing w:before="20" w:after="20" w:line="240" w:lineRule="auto"/>
            </w:pPr>
            <w:r>
              <w:rPr>
                <w:sz w:val="17"/>
                <w:szCs w:val="17"/>
              </w:rPr>
              <w:t xml:space="preserve">Hauer et al. Ensuring resident competence: a narrative review of group decision making to inform clinical competency committees. </w:t>
            </w:r>
            <w:r>
              <w:rPr>
                <w:i/>
                <w:sz w:val="17"/>
                <w:szCs w:val="17"/>
              </w:rPr>
              <w:t>J Grad Med Educ.</w:t>
            </w:r>
            <w:r>
              <w:rPr>
                <w:sz w:val="17"/>
                <w:szCs w:val="17"/>
              </w:rPr>
              <w:t xml:space="preserve"> 2016</w:t>
            </w:r>
          </w:p>
        </w:tc>
        <w:tc>
          <w:tcPr>
            <w:tcW w:w="1248" w:type="dxa"/>
          </w:tcPr>
          <w:p w14:paraId="08B3F03D" w14:textId="77777777" w:rsidR="00AB17F5" w:rsidRDefault="00AB17F5">
            <w:pPr>
              <w:spacing w:before="20" w:after="20" w:line="240" w:lineRule="auto"/>
            </w:pPr>
            <w:hyperlink r:id="rId117">
              <w:r>
                <w:rPr>
                  <w:rStyle w:val="Hyperlink"/>
                  <w:sz w:val="17"/>
                  <w:szCs w:val="17"/>
                </w:rPr>
                <w:t>doi:10.4300/JGME-D-15-00144.1</w:t>
              </w:r>
            </w:hyperlink>
          </w:p>
        </w:tc>
        <w:tc>
          <w:tcPr>
            <w:tcW w:w="4320" w:type="dxa"/>
          </w:tcPr>
          <w:p w14:paraId="7A13F86C" w14:textId="77777777" w:rsidR="00AB17F5" w:rsidRDefault="00000000">
            <w:pPr>
              <w:spacing w:before="20" w:after="20" w:line="240" w:lineRule="auto"/>
            </w:pPr>
            <w:r>
              <w:rPr>
                <w:sz w:val="17"/>
                <w:szCs w:val="17"/>
              </w:rPr>
              <w:t>The anchor narrative review: how review committees should make defensible group decisions from assessment data.</w:t>
            </w:r>
          </w:p>
        </w:tc>
        <w:tc>
          <w:tcPr>
            <w:tcW w:w="1152" w:type="dxa"/>
          </w:tcPr>
          <w:p w14:paraId="6B2E4423" w14:textId="77777777" w:rsidR="00AB17F5" w:rsidRDefault="00000000">
            <w:pPr>
              <w:spacing w:before="20" w:after="20" w:line="240" w:lineRule="auto"/>
            </w:pPr>
            <w:r>
              <w:rPr>
                <w:sz w:val="17"/>
                <w:szCs w:val="17"/>
              </w:rPr>
              <w:t>Theory</w:t>
            </w:r>
          </w:p>
        </w:tc>
      </w:tr>
      <w:tr w:rsidR="00AB17F5" w14:paraId="420915AA" w14:textId="77777777">
        <w:tc>
          <w:tcPr>
            <w:tcW w:w="2880" w:type="dxa"/>
          </w:tcPr>
          <w:p w14:paraId="30610092" w14:textId="77777777" w:rsidR="00AB17F5" w:rsidRDefault="00000000">
            <w:pPr>
              <w:spacing w:before="20" w:after="20" w:line="240" w:lineRule="auto"/>
            </w:pPr>
            <w:r>
              <w:rPr>
                <w:sz w:val="17"/>
                <w:szCs w:val="17"/>
              </w:rPr>
              <w:t xml:space="preserve">Hauer et al. Reviewing residents' competence: a qualitative study of the role of clinical competency committees. </w:t>
            </w:r>
            <w:proofErr w:type="spellStart"/>
            <w:r>
              <w:rPr>
                <w:i/>
                <w:sz w:val="17"/>
                <w:szCs w:val="17"/>
              </w:rPr>
              <w:t>Acad</w:t>
            </w:r>
            <w:proofErr w:type="spellEnd"/>
            <w:r>
              <w:rPr>
                <w:i/>
                <w:sz w:val="17"/>
                <w:szCs w:val="17"/>
              </w:rPr>
              <w:t xml:space="preserve"> Med.</w:t>
            </w:r>
            <w:r>
              <w:rPr>
                <w:sz w:val="17"/>
                <w:szCs w:val="17"/>
              </w:rPr>
              <w:t xml:space="preserve"> 2015</w:t>
            </w:r>
          </w:p>
        </w:tc>
        <w:tc>
          <w:tcPr>
            <w:tcW w:w="1248" w:type="dxa"/>
          </w:tcPr>
          <w:p w14:paraId="145FA1A1" w14:textId="77777777" w:rsidR="00AB17F5" w:rsidRDefault="00AB17F5">
            <w:pPr>
              <w:spacing w:before="20" w:after="20" w:line="240" w:lineRule="auto"/>
            </w:pPr>
            <w:hyperlink r:id="rId118">
              <w:r>
                <w:rPr>
                  <w:rStyle w:val="Hyperlink"/>
                  <w:sz w:val="17"/>
                  <w:szCs w:val="17"/>
                </w:rPr>
                <w:t>doi:10.1097/ACM.0000000000000736</w:t>
              </w:r>
            </w:hyperlink>
          </w:p>
        </w:tc>
        <w:tc>
          <w:tcPr>
            <w:tcW w:w="4320" w:type="dxa"/>
          </w:tcPr>
          <w:p w14:paraId="33C866FE" w14:textId="77777777" w:rsidR="00AB17F5" w:rsidRDefault="00000000">
            <w:pPr>
              <w:spacing w:before="20" w:after="20" w:line="240" w:lineRule="auto"/>
            </w:pPr>
            <w:r>
              <w:rPr>
                <w:sz w:val="17"/>
                <w:szCs w:val="17"/>
              </w:rPr>
              <w:t xml:space="preserve">How competency committees </w:t>
            </w:r>
            <w:proofErr w:type="gramStart"/>
            <w:r>
              <w:rPr>
                <w:sz w:val="17"/>
                <w:szCs w:val="17"/>
              </w:rPr>
              <w:t>actually work</w:t>
            </w:r>
            <w:proofErr w:type="gramEnd"/>
            <w:r>
              <w:rPr>
                <w:sz w:val="17"/>
                <w:szCs w:val="17"/>
              </w:rPr>
              <w:t xml:space="preserve"> — synthesising evidence and managing incomplete data and member disagreement.</w:t>
            </w:r>
          </w:p>
        </w:tc>
        <w:tc>
          <w:tcPr>
            <w:tcW w:w="1152" w:type="dxa"/>
          </w:tcPr>
          <w:p w14:paraId="2A23FF62" w14:textId="77777777" w:rsidR="00AB17F5" w:rsidRDefault="00000000">
            <w:pPr>
              <w:spacing w:before="20" w:after="20" w:line="240" w:lineRule="auto"/>
            </w:pPr>
            <w:r>
              <w:rPr>
                <w:sz w:val="17"/>
                <w:szCs w:val="17"/>
              </w:rPr>
              <w:t>Evidence</w:t>
            </w:r>
          </w:p>
        </w:tc>
      </w:tr>
      <w:tr w:rsidR="00AB17F5" w14:paraId="17220BF4" w14:textId="77777777">
        <w:tc>
          <w:tcPr>
            <w:tcW w:w="2880" w:type="dxa"/>
          </w:tcPr>
          <w:p w14:paraId="7190E409" w14:textId="77777777" w:rsidR="00AB17F5" w:rsidRDefault="00000000">
            <w:pPr>
              <w:spacing w:before="20" w:after="20" w:line="240" w:lineRule="auto"/>
            </w:pPr>
            <w:r>
              <w:rPr>
                <w:sz w:val="17"/>
                <w:szCs w:val="17"/>
              </w:rPr>
              <w:t xml:space="preserve">Pack et al. Some assembly required: tracing the interpretative work of clinical competency committees. </w:t>
            </w:r>
            <w:r>
              <w:rPr>
                <w:i/>
                <w:sz w:val="17"/>
                <w:szCs w:val="17"/>
              </w:rPr>
              <w:t>Med Educ.</w:t>
            </w:r>
            <w:r>
              <w:rPr>
                <w:sz w:val="17"/>
                <w:szCs w:val="17"/>
              </w:rPr>
              <w:t xml:space="preserve"> 2019</w:t>
            </w:r>
          </w:p>
        </w:tc>
        <w:tc>
          <w:tcPr>
            <w:tcW w:w="1248" w:type="dxa"/>
          </w:tcPr>
          <w:p w14:paraId="5E891FD5" w14:textId="77777777" w:rsidR="00AB17F5" w:rsidRDefault="00AB17F5">
            <w:pPr>
              <w:spacing w:before="20" w:after="20" w:line="240" w:lineRule="auto"/>
            </w:pPr>
            <w:hyperlink r:id="rId119">
              <w:r>
                <w:rPr>
                  <w:rStyle w:val="Hyperlink"/>
                  <w:sz w:val="17"/>
                  <w:szCs w:val="17"/>
                </w:rPr>
                <w:t>doi:10.1111/medu.13884</w:t>
              </w:r>
            </w:hyperlink>
          </w:p>
        </w:tc>
        <w:tc>
          <w:tcPr>
            <w:tcW w:w="4320" w:type="dxa"/>
          </w:tcPr>
          <w:p w14:paraId="4D97243E" w14:textId="77777777" w:rsidR="00AB17F5" w:rsidRDefault="00000000">
            <w:pPr>
              <w:spacing w:before="20" w:after="20" w:line="240" w:lineRule="auto"/>
            </w:pPr>
            <w:r>
              <w:rPr>
                <w:sz w:val="17"/>
                <w:szCs w:val="17"/>
              </w:rPr>
              <w:t xml:space="preserve">Panels </w:t>
            </w:r>
            <w:r>
              <w:rPr>
                <w:i/>
                <w:sz w:val="17"/>
                <w:szCs w:val="17"/>
              </w:rPr>
              <w:t>construct</w:t>
            </w:r>
            <w:r>
              <w:rPr>
                <w:sz w:val="17"/>
                <w:szCs w:val="17"/>
              </w:rPr>
              <w:t xml:space="preserve"> performance from the evidence rather than simply reading it — interpretation is unavoidable, so design for it.</w:t>
            </w:r>
          </w:p>
        </w:tc>
        <w:tc>
          <w:tcPr>
            <w:tcW w:w="1152" w:type="dxa"/>
          </w:tcPr>
          <w:p w14:paraId="3A562DA6" w14:textId="77777777" w:rsidR="00AB17F5" w:rsidRDefault="00000000">
            <w:pPr>
              <w:spacing w:before="20" w:after="20" w:line="240" w:lineRule="auto"/>
            </w:pPr>
            <w:r>
              <w:rPr>
                <w:sz w:val="17"/>
                <w:szCs w:val="17"/>
              </w:rPr>
              <w:t>Evidence</w:t>
            </w:r>
          </w:p>
        </w:tc>
      </w:tr>
      <w:tr w:rsidR="00AB17F5" w14:paraId="0FC3C33E" w14:textId="77777777">
        <w:tc>
          <w:tcPr>
            <w:tcW w:w="2880" w:type="dxa"/>
          </w:tcPr>
          <w:p w14:paraId="10315088" w14:textId="77777777" w:rsidR="00AB17F5" w:rsidRDefault="00000000">
            <w:pPr>
              <w:spacing w:before="20" w:after="20" w:line="240" w:lineRule="auto"/>
            </w:pPr>
            <w:r>
              <w:rPr>
                <w:sz w:val="17"/>
                <w:szCs w:val="17"/>
              </w:rPr>
              <w:t xml:space="preserve">Kinnear, Warm, Hauer. Twelve tips to maximize the value of a clinical competency committee in postgraduate medical education. </w:t>
            </w:r>
            <w:r>
              <w:rPr>
                <w:i/>
                <w:sz w:val="17"/>
                <w:szCs w:val="17"/>
              </w:rPr>
              <w:t>Med Teach.</w:t>
            </w:r>
            <w:r>
              <w:rPr>
                <w:sz w:val="17"/>
                <w:szCs w:val="17"/>
              </w:rPr>
              <w:t xml:space="preserve"> 2018</w:t>
            </w:r>
          </w:p>
        </w:tc>
        <w:tc>
          <w:tcPr>
            <w:tcW w:w="1248" w:type="dxa"/>
          </w:tcPr>
          <w:p w14:paraId="4EEB306C" w14:textId="77777777" w:rsidR="00AB17F5" w:rsidRDefault="00AB17F5">
            <w:pPr>
              <w:spacing w:before="20" w:after="20" w:line="240" w:lineRule="auto"/>
            </w:pPr>
            <w:hyperlink r:id="rId120">
              <w:r>
                <w:rPr>
                  <w:rStyle w:val="Hyperlink"/>
                  <w:sz w:val="17"/>
                  <w:szCs w:val="17"/>
                </w:rPr>
                <w:t>doi:10.1080/0142159X.2018.1474191</w:t>
              </w:r>
            </w:hyperlink>
          </w:p>
        </w:tc>
        <w:tc>
          <w:tcPr>
            <w:tcW w:w="4320" w:type="dxa"/>
          </w:tcPr>
          <w:p w14:paraId="2FAD6FDC" w14:textId="77777777" w:rsidR="00AB17F5" w:rsidRDefault="00000000">
            <w:pPr>
              <w:spacing w:before="20" w:after="20" w:line="240" w:lineRule="auto"/>
            </w:pPr>
            <w:r>
              <w:rPr>
                <w:sz w:val="17"/>
                <w:szCs w:val="17"/>
              </w:rPr>
              <w:t>Practical design guidance for running effective competency committees.</w:t>
            </w:r>
          </w:p>
        </w:tc>
        <w:tc>
          <w:tcPr>
            <w:tcW w:w="1152" w:type="dxa"/>
          </w:tcPr>
          <w:p w14:paraId="2BA90F7C" w14:textId="77777777" w:rsidR="00AB17F5" w:rsidRDefault="00000000">
            <w:pPr>
              <w:spacing w:before="20" w:after="20" w:line="240" w:lineRule="auto"/>
            </w:pPr>
            <w:r>
              <w:rPr>
                <w:sz w:val="17"/>
                <w:szCs w:val="17"/>
              </w:rPr>
              <w:t>Theory</w:t>
            </w:r>
          </w:p>
        </w:tc>
      </w:tr>
      <w:tr w:rsidR="00AB17F5" w14:paraId="4F7FE36C" w14:textId="77777777">
        <w:tc>
          <w:tcPr>
            <w:tcW w:w="2880" w:type="dxa"/>
          </w:tcPr>
          <w:p w14:paraId="6425E807" w14:textId="77777777" w:rsidR="00AB17F5" w:rsidRDefault="00000000">
            <w:pPr>
              <w:spacing w:before="20" w:after="20" w:line="240" w:lineRule="auto"/>
            </w:pPr>
            <w:r>
              <w:rPr>
                <w:sz w:val="17"/>
                <w:szCs w:val="17"/>
              </w:rPr>
              <w:t xml:space="preserve">ten Cate &amp; Regehr. The power of subjectivity in the assessment of medical trainees. </w:t>
            </w:r>
            <w:proofErr w:type="spellStart"/>
            <w:r>
              <w:rPr>
                <w:i/>
                <w:sz w:val="17"/>
                <w:szCs w:val="17"/>
              </w:rPr>
              <w:t>Acad</w:t>
            </w:r>
            <w:proofErr w:type="spellEnd"/>
            <w:r>
              <w:rPr>
                <w:i/>
                <w:sz w:val="17"/>
                <w:szCs w:val="17"/>
              </w:rPr>
              <w:t xml:space="preserve"> Med.</w:t>
            </w:r>
            <w:r>
              <w:rPr>
                <w:sz w:val="17"/>
                <w:szCs w:val="17"/>
              </w:rPr>
              <w:t xml:space="preserve"> 2019</w:t>
            </w:r>
          </w:p>
        </w:tc>
        <w:tc>
          <w:tcPr>
            <w:tcW w:w="1248" w:type="dxa"/>
          </w:tcPr>
          <w:p w14:paraId="1D4351D3" w14:textId="77777777" w:rsidR="00AB17F5" w:rsidRDefault="00AB17F5">
            <w:pPr>
              <w:spacing w:before="20" w:after="20" w:line="240" w:lineRule="auto"/>
            </w:pPr>
            <w:hyperlink r:id="rId121">
              <w:r>
                <w:rPr>
                  <w:rStyle w:val="Hyperlink"/>
                  <w:sz w:val="17"/>
                  <w:szCs w:val="17"/>
                </w:rPr>
                <w:t>doi:10.1097/ACM.0000000000002495</w:t>
              </w:r>
            </w:hyperlink>
          </w:p>
        </w:tc>
        <w:tc>
          <w:tcPr>
            <w:tcW w:w="4320" w:type="dxa"/>
          </w:tcPr>
          <w:p w14:paraId="3AA6DA1A" w14:textId="77777777" w:rsidR="00AB17F5" w:rsidRDefault="00000000">
            <w:pPr>
              <w:spacing w:before="20" w:after="20" w:line="240" w:lineRule="auto"/>
            </w:pPr>
            <w:r>
              <w:rPr>
                <w:sz w:val="17"/>
                <w:szCs w:val="17"/>
              </w:rPr>
              <w:t>Why legitimate, well-supported group judgement is a strength of panel assessment, not a threat to rigour.</w:t>
            </w:r>
          </w:p>
        </w:tc>
        <w:tc>
          <w:tcPr>
            <w:tcW w:w="1152" w:type="dxa"/>
          </w:tcPr>
          <w:p w14:paraId="2E09F81B" w14:textId="77777777" w:rsidR="00AB17F5" w:rsidRDefault="00000000">
            <w:pPr>
              <w:spacing w:before="20" w:after="20" w:line="240" w:lineRule="auto"/>
            </w:pPr>
            <w:r>
              <w:rPr>
                <w:sz w:val="17"/>
                <w:szCs w:val="17"/>
              </w:rPr>
              <w:t>Theory</w:t>
            </w:r>
          </w:p>
        </w:tc>
      </w:tr>
      <w:tr w:rsidR="00AB17F5" w14:paraId="746D8030" w14:textId="77777777">
        <w:tc>
          <w:tcPr>
            <w:tcW w:w="2880" w:type="dxa"/>
          </w:tcPr>
          <w:p w14:paraId="7844883D" w14:textId="77777777" w:rsidR="00AB17F5" w:rsidRDefault="00000000">
            <w:pPr>
              <w:spacing w:before="20" w:after="20" w:line="240" w:lineRule="auto"/>
            </w:pPr>
            <w:r>
              <w:rPr>
                <w:sz w:val="17"/>
                <w:szCs w:val="17"/>
              </w:rPr>
              <w:t xml:space="preserve">Valentine &amp; </w:t>
            </w:r>
            <w:proofErr w:type="spellStart"/>
            <w:r>
              <w:rPr>
                <w:sz w:val="17"/>
                <w:szCs w:val="17"/>
              </w:rPr>
              <w:t>Schuwirth</w:t>
            </w:r>
            <w:proofErr w:type="spellEnd"/>
            <w:r>
              <w:rPr>
                <w:sz w:val="17"/>
                <w:szCs w:val="17"/>
              </w:rPr>
              <w:t xml:space="preserve">. Identifying the narrative used by educators in articulating judgement of performance. </w:t>
            </w:r>
            <w:proofErr w:type="spellStart"/>
            <w:r>
              <w:rPr>
                <w:i/>
                <w:sz w:val="17"/>
                <w:szCs w:val="17"/>
              </w:rPr>
              <w:t>Perspect</w:t>
            </w:r>
            <w:proofErr w:type="spellEnd"/>
            <w:r>
              <w:rPr>
                <w:i/>
                <w:sz w:val="17"/>
                <w:szCs w:val="17"/>
              </w:rPr>
              <w:t xml:space="preserve"> Med Educ.</w:t>
            </w:r>
            <w:r>
              <w:rPr>
                <w:sz w:val="17"/>
                <w:szCs w:val="17"/>
              </w:rPr>
              <w:t xml:space="preserve"> 2019</w:t>
            </w:r>
          </w:p>
        </w:tc>
        <w:tc>
          <w:tcPr>
            <w:tcW w:w="1248" w:type="dxa"/>
          </w:tcPr>
          <w:p w14:paraId="782B7C79" w14:textId="77777777" w:rsidR="00AB17F5" w:rsidRDefault="00AB17F5">
            <w:pPr>
              <w:spacing w:before="20" w:after="20" w:line="240" w:lineRule="auto"/>
            </w:pPr>
            <w:hyperlink r:id="rId122">
              <w:r>
                <w:rPr>
                  <w:rStyle w:val="Hyperlink"/>
                  <w:sz w:val="17"/>
                  <w:szCs w:val="17"/>
                </w:rPr>
                <w:t>doi:10.1007/s40037-019-0500-y</w:t>
              </w:r>
            </w:hyperlink>
          </w:p>
        </w:tc>
        <w:tc>
          <w:tcPr>
            <w:tcW w:w="4320" w:type="dxa"/>
          </w:tcPr>
          <w:p w14:paraId="375338F3" w14:textId="77777777" w:rsidR="00AB17F5" w:rsidRDefault="00000000">
            <w:pPr>
              <w:spacing w:before="20" w:after="20" w:line="240" w:lineRule="auto"/>
            </w:pPr>
            <w:r>
              <w:rPr>
                <w:sz w:val="17"/>
                <w:szCs w:val="17"/>
              </w:rPr>
              <w:t>The narrative basis of panel judgements — and how to make that reasoning explicit and defensible.</w:t>
            </w:r>
          </w:p>
        </w:tc>
        <w:tc>
          <w:tcPr>
            <w:tcW w:w="1152" w:type="dxa"/>
          </w:tcPr>
          <w:p w14:paraId="0EBC9A06" w14:textId="77777777" w:rsidR="00AB17F5" w:rsidRDefault="00000000">
            <w:pPr>
              <w:spacing w:before="20" w:after="20" w:line="240" w:lineRule="auto"/>
            </w:pPr>
            <w:r>
              <w:rPr>
                <w:sz w:val="17"/>
                <w:szCs w:val="17"/>
              </w:rPr>
              <w:t>Evidence</w:t>
            </w:r>
          </w:p>
        </w:tc>
      </w:tr>
      <w:tr w:rsidR="00AB17F5" w14:paraId="6BB3F30D" w14:textId="77777777">
        <w:tc>
          <w:tcPr>
            <w:tcW w:w="2880" w:type="dxa"/>
          </w:tcPr>
          <w:p w14:paraId="27DBB17E" w14:textId="77777777" w:rsidR="00AB17F5" w:rsidRDefault="00000000">
            <w:pPr>
              <w:spacing w:before="20" w:after="20" w:line="240" w:lineRule="auto"/>
            </w:pPr>
            <w:r>
              <w:rPr>
                <w:sz w:val="17"/>
                <w:szCs w:val="17"/>
              </w:rPr>
              <w:t xml:space="preserve">Driessen et al. The use of qualitative research criteria for portfolio assessment as an alternative to reliability evaluation. </w:t>
            </w:r>
            <w:r>
              <w:rPr>
                <w:i/>
                <w:sz w:val="17"/>
                <w:szCs w:val="17"/>
              </w:rPr>
              <w:t>Med Educ.</w:t>
            </w:r>
            <w:r>
              <w:rPr>
                <w:sz w:val="17"/>
                <w:szCs w:val="17"/>
              </w:rPr>
              <w:t xml:space="preserve"> 2005</w:t>
            </w:r>
          </w:p>
        </w:tc>
        <w:tc>
          <w:tcPr>
            <w:tcW w:w="1248" w:type="dxa"/>
          </w:tcPr>
          <w:p w14:paraId="3234F296" w14:textId="77777777" w:rsidR="00AB17F5" w:rsidRDefault="00AB17F5">
            <w:pPr>
              <w:spacing w:before="20" w:after="20" w:line="240" w:lineRule="auto"/>
            </w:pPr>
            <w:hyperlink r:id="rId123">
              <w:r>
                <w:rPr>
                  <w:rStyle w:val="Hyperlink"/>
                  <w:sz w:val="17"/>
                  <w:szCs w:val="17"/>
                </w:rPr>
                <w:t>doi:10.1111/j.1365-2929.</w:t>
              </w:r>
              <w:proofErr w:type="gramStart"/>
              <w:r>
                <w:rPr>
                  <w:rStyle w:val="Hyperlink"/>
                  <w:sz w:val="17"/>
                  <w:szCs w:val="17"/>
                </w:rPr>
                <w:t>2004.02059.x</w:t>
              </w:r>
              <w:proofErr w:type="gramEnd"/>
            </w:hyperlink>
          </w:p>
        </w:tc>
        <w:tc>
          <w:tcPr>
            <w:tcW w:w="4320" w:type="dxa"/>
          </w:tcPr>
          <w:p w14:paraId="344B26BB" w14:textId="77777777" w:rsidR="00AB17F5" w:rsidRDefault="00000000">
            <w:pPr>
              <w:spacing w:before="20" w:after="20" w:line="240" w:lineRule="auto"/>
            </w:pPr>
            <w:r>
              <w:rPr>
                <w:sz w:val="17"/>
                <w:szCs w:val="17"/>
              </w:rPr>
              <w:t>How to make portfolio-panel decisions trustworthy without psychometric reliability — credibility, dependability and audit trails.</w:t>
            </w:r>
          </w:p>
        </w:tc>
        <w:tc>
          <w:tcPr>
            <w:tcW w:w="1152" w:type="dxa"/>
          </w:tcPr>
          <w:p w14:paraId="42199D4A" w14:textId="77777777" w:rsidR="00AB17F5" w:rsidRDefault="00000000">
            <w:pPr>
              <w:spacing w:before="20" w:after="20" w:line="240" w:lineRule="auto"/>
            </w:pPr>
            <w:r>
              <w:rPr>
                <w:sz w:val="17"/>
                <w:szCs w:val="17"/>
              </w:rPr>
              <w:t>Theory</w:t>
            </w:r>
          </w:p>
        </w:tc>
      </w:tr>
      <w:tr w:rsidR="00AB17F5" w14:paraId="392178B2" w14:textId="77777777">
        <w:tc>
          <w:tcPr>
            <w:tcW w:w="2880" w:type="dxa"/>
          </w:tcPr>
          <w:p w14:paraId="71802B63" w14:textId="77777777" w:rsidR="00AB17F5" w:rsidRDefault="00000000">
            <w:pPr>
              <w:spacing w:before="20" w:after="20" w:line="240" w:lineRule="auto"/>
            </w:pPr>
            <w:proofErr w:type="spellStart"/>
            <w:r>
              <w:rPr>
                <w:sz w:val="17"/>
                <w:szCs w:val="17"/>
              </w:rPr>
              <w:t>Zoanetti</w:t>
            </w:r>
            <w:proofErr w:type="spellEnd"/>
            <w:r>
              <w:rPr>
                <w:sz w:val="17"/>
                <w:szCs w:val="17"/>
              </w:rPr>
              <w:t xml:space="preserve"> &amp; Pearce. The potential use of Bayesian Networks to support committee decisions in programmatic assessment. </w:t>
            </w:r>
            <w:r>
              <w:rPr>
                <w:i/>
                <w:sz w:val="17"/>
                <w:szCs w:val="17"/>
              </w:rPr>
              <w:t>Med Educ.</w:t>
            </w:r>
            <w:r>
              <w:rPr>
                <w:sz w:val="17"/>
                <w:szCs w:val="17"/>
              </w:rPr>
              <w:t xml:space="preserve"> 2021</w:t>
            </w:r>
          </w:p>
        </w:tc>
        <w:tc>
          <w:tcPr>
            <w:tcW w:w="1248" w:type="dxa"/>
          </w:tcPr>
          <w:p w14:paraId="5D0D63EF" w14:textId="77777777" w:rsidR="00AB17F5" w:rsidRDefault="00AB17F5">
            <w:pPr>
              <w:spacing w:before="20" w:after="20" w:line="240" w:lineRule="auto"/>
            </w:pPr>
            <w:hyperlink r:id="rId124">
              <w:r>
                <w:rPr>
                  <w:rStyle w:val="Hyperlink"/>
                  <w:sz w:val="17"/>
                  <w:szCs w:val="17"/>
                </w:rPr>
                <w:t>doi:10.1111/medu.14407</w:t>
              </w:r>
            </w:hyperlink>
          </w:p>
        </w:tc>
        <w:tc>
          <w:tcPr>
            <w:tcW w:w="4320" w:type="dxa"/>
          </w:tcPr>
          <w:p w14:paraId="65BFA21C" w14:textId="77777777" w:rsidR="00AB17F5" w:rsidRDefault="00000000">
            <w:pPr>
              <w:spacing w:before="20" w:after="20" w:line="240" w:lineRule="auto"/>
            </w:pPr>
            <w:r>
              <w:rPr>
                <w:sz w:val="17"/>
                <w:szCs w:val="17"/>
              </w:rPr>
              <w:t>ACER authors: Bayesian methods can add consistency and a layer of defensibility to progression-committee decisions — directly RANZCP-relevant.</w:t>
            </w:r>
          </w:p>
        </w:tc>
        <w:tc>
          <w:tcPr>
            <w:tcW w:w="1152" w:type="dxa"/>
          </w:tcPr>
          <w:p w14:paraId="03BB07A8" w14:textId="77777777" w:rsidR="00AB17F5" w:rsidRDefault="00000000">
            <w:pPr>
              <w:spacing w:before="20" w:after="20" w:line="240" w:lineRule="auto"/>
            </w:pPr>
            <w:r>
              <w:rPr>
                <w:sz w:val="17"/>
                <w:szCs w:val="17"/>
              </w:rPr>
              <w:t>Theory</w:t>
            </w:r>
          </w:p>
        </w:tc>
      </w:tr>
      <w:tr w:rsidR="00AB17F5" w14:paraId="26E9F3E4" w14:textId="77777777">
        <w:tc>
          <w:tcPr>
            <w:tcW w:w="2880" w:type="dxa"/>
          </w:tcPr>
          <w:p w14:paraId="54201523" w14:textId="77777777" w:rsidR="00AB17F5" w:rsidRDefault="00000000">
            <w:pPr>
              <w:spacing w:before="20" w:after="20" w:line="240" w:lineRule="auto"/>
            </w:pPr>
            <w:r>
              <w:rPr>
                <w:sz w:val="17"/>
                <w:szCs w:val="17"/>
              </w:rPr>
              <w:t xml:space="preserve">RANZCP Portfolio Review Panel &amp; Portfolio Review Oversight Panel (PROP) — the competence-review </w:t>
            </w:r>
            <w:r>
              <w:rPr>
                <w:sz w:val="17"/>
                <w:szCs w:val="17"/>
              </w:rPr>
              <w:lastRenderedPageBreak/>
              <w:t>decision tier</w:t>
            </w:r>
          </w:p>
        </w:tc>
        <w:tc>
          <w:tcPr>
            <w:tcW w:w="1248" w:type="dxa"/>
          </w:tcPr>
          <w:p w14:paraId="6DD7BCB3" w14:textId="77777777" w:rsidR="00AB17F5" w:rsidRDefault="00000000">
            <w:pPr>
              <w:spacing w:before="20" w:after="20" w:line="240" w:lineRule="auto"/>
            </w:pPr>
            <w:r>
              <w:rPr>
                <w:sz w:val="17"/>
                <w:szCs w:val="17"/>
              </w:rPr>
              <w:lastRenderedPageBreak/>
              <w:t>internal-reports/aap-evaluation-external-review.pdf</w:t>
            </w:r>
          </w:p>
        </w:tc>
        <w:tc>
          <w:tcPr>
            <w:tcW w:w="4320" w:type="dxa"/>
          </w:tcPr>
          <w:p w14:paraId="086F08D4" w14:textId="77777777" w:rsidR="00AB17F5" w:rsidRDefault="00000000">
            <w:pPr>
              <w:spacing w:before="20" w:after="20" w:line="240" w:lineRule="auto"/>
            </w:pPr>
            <w:r>
              <w:rPr>
                <w:sz w:val="17"/>
                <w:szCs w:val="17"/>
              </w:rPr>
              <w:t xml:space="preserve">The College's existing firewalled review-panel mechanism (de-identified portfolios; two-person review plus a four-person oversight panel), </w:t>
            </w:r>
            <w:r>
              <w:rPr>
                <w:sz w:val="17"/>
                <w:szCs w:val="17"/>
              </w:rPr>
              <w:lastRenderedPageBreak/>
              <w:t xml:space="preserve">described in the </w:t>
            </w:r>
            <w:proofErr w:type="spellStart"/>
            <w:r>
              <w:rPr>
                <w:sz w:val="17"/>
                <w:szCs w:val="17"/>
              </w:rPr>
              <w:t>Schuwirth</w:t>
            </w:r>
            <w:proofErr w:type="spellEnd"/>
            <w:r>
              <w:rPr>
                <w:sz w:val="17"/>
                <w:szCs w:val="17"/>
              </w:rPr>
              <w:t xml:space="preserve"> AAP review.</w:t>
            </w:r>
          </w:p>
        </w:tc>
        <w:tc>
          <w:tcPr>
            <w:tcW w:w="1152" w:type="dxa"/>
          </w:tcPr>
          <w:p w14:paraId="26B272C7" w14:textId="77777777" w:rsidR="00AB17F5" w:rsidRDefault="00000000">
            <w:pPr>
              <w:spacing w:before="20" w:after="20" w:line="240" w:lineRule="auto"/>
            </w:pPr>
            <w:r>
              <w:rPr>
                <w:sz w:val="17"/>
                <w:szCs w:val="17"/>
              </w:rPr>
              <w:lastRenderedPageBreak/>
              <w:t>RANZCP internal</w:t>
            </w:r>
          </w:p>
        </w:tc>
      </w:tr>
    </w:tbl>
    <w:p w14:paraId="783E431F" w14:textId="77777777" w:rsidR="00AB17F5" w:rsidRDefault="00AB17F5"/>
    <w:p w14:paraId="07A1FF8A" w14:textId="77777777" w:rsidR="00AB17F5" w:rsidRDefault="00AB17F5">
      <w:pPr>
        <w:pBdr>
          <w:bottom w:val="single" w:sz="4" w:space="1" w:color="CCCCCC"/>
        </w:pBdr>
      </w:pPr>
    </w:p>
    <w:p w14:paraId="6CD50D99" w14:textId="1F64FC0C" w:rsidR="00AB17F5" w:rsidRDefault="00000000">
      <w:pPr>
        <w:pStyle w:val="Heading1"/>
      </w:pPr>
      <w:r>
        <w:t>15. Workforce</w:t>
      </w:r>
      <w:r w:rsidR="00B735E6">
        <w:t>, Wellbeing</w:t>
      </w:r>
      <w:r>
        <w:t xml:space="preserve"> &amp; System Needs</w:t>
      </w:r>
    </w:p>
    <w:p w14:paraId="447796D3" w14:textId="77777777" w:rsidR="00AB17F5" w:rsidRDefault="00000000">
      <w:r>
        <w:t xml:space="preserve">The redesign does not sit in a vacuum: workforce shortages, training bottlenecks, subspecialty gaps, rural and remote access, trainee wellbeing and the safety of the learning environment all shape what a sustainable program must deliver. The references below — largely Australasian and RANZCP-specific — map that system context, plus two international training-model comparators. </w:t>
      </w:r>
      <w:r>
        <w:rPr>
          <w:i/>
        </w:rPr>
        <w:t>(These are papers from the NFPT review that concern the training system rather than education methodology per se; ★ marks them as newly added.)</w:t>
      </w:r>
    </w:p>
    <w:tbl>
      <w:tblPr>
        <w:tblW w:w="9600" w:type="dxa"/>
        <w:tblInd w:w="1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CellMar>
          <w:left w:w="10" w:type="dxa"/>
          <w:right w:w="10" w:type="dxa"/>
        </w:tblCellMar>
        <w:tblLook w:val="07E0" w:firstRow="1" w:lastRow="1" w:firstColumn="1" w:lastColumn="1" w:noHBand="1" w:noVBand="1"/>
      </w:tblPr>
      <w:tblGrid>
        <w:gridCol w:w="2539"/>
        <w:gridCol w:w="2374"/>
        <w:gridCol w:w="3645"/>
        <w:gridCol w:w="1042"/>
      </w:tblGrid>
      <w:tr w:rsidR="00AB17F5" w14:paraId="47254E04" w14:textId="77777777" w:rsidTr="00B735E6">
        <w:trPr>
          <w:tblHeader/>
        </w:trPr>
        <w:tc>
          <w:tcPr>
            <w:tcW w:w="2539" w:type="dxa"/>
            <w:shd w:val="clear" w:color="auto" w:fill="EFE9F4"/>
          </w:tcPr>
          <w:p w14:paraId="3AE1FA3D" w14:textId="77777777" w:rsidR="00AB17F5" w:rsidRDefault="00000000">
            <w:pPr>
              <w:spacing w:before="20" w:after="20" w:line="240" w:lineRule="auto"/>
            </w:pPr>
            <w:r>
              <w:rPr>
                <w:b/>
                <w:sz w:val="17"/>
                <w:szCs w:val="17"/>
              </w:rPr>
              <w:t>Reference</w:t>
            </w:r>
          </w:p>
        </w:tc>
        <w:tc>
          <w:tcPr>
            <w:tcW w:w="2374" w:type="dxa"/>
            <w:shd w:val="clear" w:color="auto" w:fill="EFE9F4"/>
          </w:tcPr>
          <w:p w14:paraId="0A49CAFC" w14:textId="77777777" w:rsidR="00AB17F5" w:rsidRDefault="00000000">
            <w:pPr>
              <w:spacing w:before="20" w:after="20" w:line="240" w:lineRule="auto"/>
            </w:pPr>
            <w:r>
              <w:rPr>
                <w:b/>
                <w:sz w:val="17"/>
                <w:szCs w:val="17"/>
              </w:rPr>
              <w:t>Link</w:t>
            </w:r>
          </w:p>
        </w:tc>
        <w:tc>
          <w:tcPr>
            <w:tcW w:w="3645" w:type="dxa"/>
            <w:shd w:val="clear" w:color="auto" w:fill="EFE9F4"/>
          </w:tcPr>
          <w:p w14:paraId="4BFCCA56" w14:textId="77777777" w:rsidR="00AB17F5" w:rsidRDefault="00000000">
            <w:pPr>
              <w:spacing w:before="20" w:after="20" w:line="240" w:lineRule="auto"/>
            </w:pPr>
            <w:r>
              <w:rPr>
                <w:b/>
                <w:sz w:val="17"/>
                <w:szCs w:val="17"/>
              </w:rPr>
              <w:t>What it tells us</w:t>
            </w:r>
          </w:p>
        </w:tc>
        <w:tc>
          <w:tcPr>
            <w:tcW w:w="1042" w:type="dxa"/>
            <w:shd w:val="clear" w:color="auto" w:fill="EFE9F4"/>
          </w:tcPr>
          <w:p w14:paraId="3BEB2633" w14:textId="77777777" w:rsidR="00AB17F5" w:rsidRDefault="00000000">
            <w:pPr>
              <w:spacing w:before="20" w:after="20" w:line="240" w:lineRule="auto"/>
            </w:pPr>
            <w:r>
              <w:rPr>
                <w:b/>
                <w:sz w:val="17"/>
                <w:szCs w:val="17"/>
              </w:rPr>
              <w:t>Category</w:t>
            </w:r>
          </w:p>
        </w:tc>
      </w:tr>
      <w:tr w:rsidR="00AB17F5" w14:paraId="0BECD9DD" w14:textId="77777777" w:rsidTr="00B735E6">
        <w:tc>
          <w:tcPr>
            <w:tcW w:w="2539" w:type="dxa"/>
          </w:tcPr>
          <w:p w14:paraId="7D2EC0F9" w14:textId="102339F3" w:rsidR="00AB17F5" w:rsidRDefault="00000000">
            <w:pPr>
              <w:spacing w:before="20" w:after="20" w:line="240" w:lineRule="auto"/>
            </w:pPr>
            <w:r>
              <w:rPr>
                <w:sz w:val="17"/>
                <w:szCs w:val="17"/>
              </w:rPr>
              <w:t xml:space="preserve">Looi, </w:t>
            </w:r>
            <w:proofErr w:type="spellStart"/>
            <w:r>
              <w:rPr>
                <w:sz w:val="17"/>
                <w:szCs w:val="17"/>
              </w:rPr>
              <w:t>Bastiampillai</w:t>
            </w:r>
            <w:proofErr w:type="spellEnd"/>
            <w:r>
              <w:rPr>
                <w:sz w:val="17"/>
                <w:szCs w:val="17"/>
              </w:rPr>
              <w:t xml:space="preserve">, Allison. Psychiatrist workforce planning: contexts, considerations and recommendations. </w:t>
            </w:r>
            <w:proofErr w:type="spellStart"/>
            <w:r>
              <w:rPr>
                <w:i/>
                <w:sz w:val="17"/>
                <w:szCs w:val="17"/>
              </w:rPr>
              <w:t>Australas</w:t>
            </w:r>
            <w:proofErr w:type="spellEnd"/>
            <w:r>
              <w:rPr>
                <w:i/>
                <w:sz w:val="17"/>
                <w:szCs w:val="17"/>
              </w:rPr>
              <w:t xml:space="preserve"> Psychiatry.</w:t>
            </w:r>
            <w:r>
              <w:rPr>
                <w:sz w:val="17"/>
                <w:szCs w:val="17"/>
              </w:rPr>
              <w:t xml:space="preserve"> 2022</w:t>
            </w:r>
          </w:p>
        </w:tc>
        <w:tc>
          <w:tcPr>
            <w:tcW w:w="2374" w:type="dxa"/>
          </w:tcPr>
          <w:p w14:paraId="05AE0247" w14:textId="77777777" w:rsidR="00AB17F5" w:rsidRDefault="00AB17F5">
            <w:pPr>
              <w:spacing w:before="20" w:after="20" w:line="240" w:lineRule="auto"/>
            </w:pPr>
            <w:hyperlink r:id="rId125">
              <w:r>
                <w:rPr>
                  <w:rStyle w:val="Hyperlink"/>
                  <w:sz w:val="17"/>
                  <w:szCs w:val="17"/>
                </w:rPr>
                <w:t>doi:10.1177/10398562211042367</w:t>
              </w:r>
            </w:hyperlink>
          </w:p>
        </w:tc>
        <w:tc>
          <w:tcPr>
            <w:tcW w:w="3645" w:type="dxa"/>
          </w:tcPr>
          <w:p w14:paraId="7F9A0DF8" w14:textId="77777777" w:rsidR="00AB17F5" w:rsidRDefault="00000000">
            <w:pPr>
              <w:spacing w:before="20" w:after="20" w:line="240" w:lineRule="auto"/>
            </w:pPr>
            <w:r>
              <w:rPr>
                <w:sz w:val="17"/>
                <w:szCs w:val="17"/>
              </w:rPr>
              <w:t>RANZCP-relevant framing of psychiatrist workforce planning.</w:t>
            </w:r>
          </w:p>
        </w:tc>
        <w:tc>
          <w:tcPr>
            <w:tcW w:w="1042" w:type="dxa"/>
          </w:tcPr>
          <w:p w14:paraId="5416DB6D" w14:textId="77777777" w:rsidR="00AB17F5" w:rsidRDefault="00000000">
            <w:pPr>
              <w:spacing w:before="20" w:after="20" w:line="240" w:lineRule="auto"/>
            </w:pPr>
            <w:r>
              <w:rPr>
                <w:sz w:val="17"/>
                <w:szCs w:val="17"/>
              </w:rPr>
              <w:t>Theory</w:t>
            </w:r>
          </w:p>
        </w:tc>
      </w:tr>
      <w:tr w:rsidR="00AB17F5" w14:paraId="25B62A87" w14:textId="77777777" w:rsidTr="00B735E6">
        <w:tc>
          <w:tcPr>
            <w:tcW w:w="2539" w:type="dxa"/>
          </w:tcPr>
          <w:p w14:paraId="186EB107" w14:textId="7A5C8429" w:rsidR="00AB17F5" w:rsidRDefault="00000000">
            <w:pPr>
              <w:spacing w:before="20" w:after="20" w:line="240" w:lineRule="auto"/>
            </w:pPr>
            <w:r>
              <w:rPr>
                <w:sz w:val="17"/>
                <w:szCs w:val="17"/>
              </w:rPr>
              <w:t xml:space="preserve">Northwood et al. Understanding the drivers of bottlenecks in RANZCP training: modelling and a calculator to determine sustainable trainee intake. </w:t>
            </w:r>
            <w:proofErr w:type="spellStart"/>
            <w:r>
              <w:rPr>
                <w:i/>
                <w:sz w:val="17"/>
                <w:szCs w:val="17"/>
              </w:rPr>
              <w:t>Australas</w:t>
            </w:r>
            <w:proofErr w:type="spellEnd"/>
            <w:r>
              <w:rPr>
                <w:i/>
                <w:sz w:val="17"/>
                <w:szCs w:val="17"/>
              </w:rPr>
              <w:t xml:space="preserve"> Psychiatry.</w:t>
            </w:r>
            <w:r>
              <w:rPr>
                <w:sz w:val="17"/>
                <w:szCs w:val="17"/>
              </w:rPr>
              <w:t xml:space="preserve"> 2021</w:t>
            </w:r>
          </w:p>
        </w:tc>
        <w:tc>
          <w:tcPr>
            <w:tcW w:w="2374" w:type="dxa"/>
          </w:tcPr>
          <w:p w14:paraId="698A26CB" w14:textId="77777777" w:rsidR="00AB17F5" w:rsidRDefault="00AB17F5">
            <w:pPr>
              <w:spacing w:before="20" w:after="20" w:line="240" w:lineRule="auto"/>
            </w:pPr>
            <w:hyperlink r:id="rId126">
              <w:r>
                <w:rPr>
                  <w:rStyle w:val="Hyperlink"/>
                  <w:sz w:val="17"/>
                  <w:szCs w:val="17"/>
                </w:rPr>
                <w:t>doi:10.117</w:t>
              </w:r>
              <w:r>
                <w:rPr>
                  <w:rStyle w:val="Hyperlink"/>
                  <w:sz w:val="17"/>
                  <w:szCs w:val="17"/>
                </w:rPr>
                <w:t>7</w:t>
              </w:r>
              <w:r>
                <w:rPr>
                  <w:rStyle w:val="Hyperlink"/>
                  <w:sz w:val="17"/>
                  <w:szCs w:val="17"/>
                </w:rPr>
                <w:t>/1039856220975281</w:t>
              </w:r>
            </w:hyperlink>
          </w:p>
        </w:tc>
        <w:tc>
          <w:tcPr>
            <w:tcW w:w="3645" w:type="dxa"/>
          </w:tcPr>
          <w:p w14:paraId="73FF1DFF" w14:textId="067FCC0E" w:rsidR="00AB17F5" w:rsidRDefault="00000000">
            <w:pPr>
              <w:spacing w:before="20" w:after="20" w:line="240" w:lineRule="auto"/>
            </w:pPr>
            <w:r>
              <w:rPr>
                <w:sz w:val="17"/>
                <w:szCs w:val="17"/>
              </w:rPr>
              <w:t>RANZCP-specific: models training bottlenecks and sustainable trainee intake.</w:t>
            </w:r>
            <w:r w:rsidR="00B735E6">
              <w:rPr>
                <w:sz w:val="17"/>
                <w:szCs w:val="17"/>
              </w:rPr>
              <w:t xml:space="preserve"> Demonstrates problems with C&amp;A and CL mandatory rotations.</w:t>
            </w:r>
          </w:p>
        </w:tc>
        <w:tc>
          <w:tcPr>
            <w:tcW w:w="1042" w:type="dxa"/>
          </w:tcPr>
          <w:p w14:paraId="1D2EC131" w14:textId="77777777" w:rsidR="00AB17F5" w:rsidRDefault="00000000">
            <w:pPr>
              <w:spacing w:before="20" w:after="20" w:line="240" w:lineRule="auto"/>
            </w:pPr>
            <w:r>
              <w:rPr>
                <w:sz w:val="17"/>
                <w:szCs w:val="17"/>
              </w:rPr>
              <w:t>Evidence</w:t>
            </w:r>
          </w:p>
        </w:tc>
      </w:tr>
      <w:tr w:rsidR="00AB17F5" w14:paraId="6FD139ED" w14:textId="77777777" w:rsidTr="00B735E6">
        <w:tc>
          <w:tcPr>
            <w:tcW w:w="2539" w:type="dxa"/>
          </w:tcPr>
          <w:p w14:paraId="588A3995" w14:textId="4A1F6996" w:rsidR="00AB17F5" w:rsidRDefault="00000000">
            <w:pPr>
              <w:spacing w:before="20" w:after="20" w:line="240" w:lineRule="auto"/>
            </w:pPr>
            <w:r>
              <w:rPr>
                <w:sz w:val="17"/>
                <w:szCs w:val="17"/>
              </w:rPr>
              <w:t xml:space="preserve">Lundin et al. Addiction experts: the discrepancy between expectations and reality of generalist psychiatry training. </w:t>
            </w:r>
            <w:proofErr w:type="spellStart"/>
            <w:r>
              <w:rPr>
                <w:i/>
                <w:sz w:val="17"/>
                <w:szCs w:val="17"/>
              </w:rPr>
              <w:t>Australas</w:t>
            </w:r>
            <w:proofErr w:type="spellEnd"/>
            <w:r>
              <w:rPr>
                <w:i/>
                <w:sz w:val="17"/>
                <w:szCs w:val="17"/>
              </w:rPr>
              <w:t xml:space="preserve"> Psychiatry.</w:t>
            </w:r>
            <w:r>
              <w:rPr>
                <w:sz w:val="17"/>
                <w:szCs w:val="17"/>
              </w:rPr>
              <w:t xml:space="preserve"> 2023;31(2):224–227</w:t>
            </w:r>
          </w:p>
        </w:tc>
        <w:tc>
          <w:tcPr>
            <w:tcW w:w="2374" w:type="dxa"/>
          </w:tcPr>
          <w:p w14:paraId="49D00057" w14:textId="77777777" w:rsidR="00AB17F5" w:rsidRDefault="00AB17F5">
            <w:pPr>
              <w:spacing w:before="20" w:after="20" w:line="240" w:lineRule="auto"/>
            </w:pPr>
            <w:hyperlink r:id="rId127">
              <w:r>
                <w:rPr>
                  <w:rStyle w:val="Hyperlink"/>
                  <w:sz w:val="17"/>
                  <w:szCs w:val="17"/>
                </w:rPr>
                <w:t>doi:10.1177/10398562231153015</w:t>
              </w:r>
            </w:hyperlink>
          </w:p>
        </w:tc>
        <w:tc>
          <w:tcPr>
            <w:tcW w:w="3645" w:type="dxa"/>
          </w:tcPr>
          <w:p w14:paraId="4BA9E312" w14:textId="77777777" w:rsidR="00AB17F5" w:rsidRDefault="00000000">
            <w:pPr>
              <w:spacing w:before="20" w:after="20" w:line="240" w:lineRule="auto"/>
            </w:pPr>
            <w:r>
              <w:rPr>
                <w:sz w:val="17"/>
                <w:szCs w:val="17"/>
              </w:rPr>
              <w:t>A subspecialty (addiction) training gap between expectation and reality.</w:t>
            </w:r>
          </w:p>
        </w:tc>
        <w:tc>
          <w:tcPr>
            <w:tcW w:w="1042" w:type="dxa"/>
          </w:tcPr>
          <w:p w14:paraId="4F78FEBB" w14:textId="77777777" w:rsidR="00AB17F5" w:rsidRDefault="00000000">
            <w:pPr>
              <w:spacing w:before="20" w:after="20" w:line="240" w:lineRule="auto"/>
            </w:pPr>
            <w:r>
              <w:rPr>
                <w:sz w:val="17"/>
                <w:szCs w:val="17"/>
              </w:rPr>
              <w:t>Evidence</w:t>
            </w:r>
          </w:p>
        </w:tc>
      </w:tr>
      <w:tr w:rsidR="00AB17F5" w14:paraId="3F9923EE" w14:textId="77777777" w:rsidTr="00B735E6">
        <w:tc>
          <w:tcPr>
            <w:tcW w:w="2539" w:type="dxa"/>
          </w:tcPr>
          <w:p w14:paraId="493D5980" w14:textId="7183ED4E" w:rsidR="00AB17F5" w:rsidRDefault="00000000">
            <w:pPr>
              <w:spacing w:before="20" w:after="20" w:line="240" w:lineRule="auto"/>
            </w:pPr>
            <w:r>
              <w:rPr>
                <w:sz w:val="17"/>
                <w:szCs w:val="17"/>
              </w:rPr>
              <w:t xml:space="preserve">Coleman et al. Remote supervision in psychiatry training: unlocking capacity and technology. </w:t>
            </w:r>
            <w:proofErr w:type="spellStart"/>
            <w:r>
              <w:rPr>
                <w:i/>
                <w:sz w:val="17"/>
                <w:szCs w:val="17"/>
              </w:rPr>
              <w:t>Australas</w:t>
            </w:r>
            <w:proofErr w:type="spellEnd"/>
            <w:r>
              <w:rPr>
                <w:i/>
                <w:sz w:val="17"/>
                <w:szCs w:val="17"/>
              </w:rPr>
              <w:t xml:space="preserve"> Psychiatry.</w:t>
            </w:r>
            <w:r>
              <w:rPr>
                <w:sz w:val="17"/>
                <w:szCs w:val="17"/>
              </w:rPr>
              <w:t xml:space="preserve"> 2022;30(6):768–770</w:t>
            </w:r>
          </w:p>
        </w:tc>
        <w:tc>
          <w:tcPr>
            <w:tcW w:w="2374" w:type="dxa"/>
          </w:tcPr>
          <w:p w14:paraId="519F57DF" w14:textId="77777777" w:rsidR="00AB17F5" w:rsidRDefault="00AB17F5">
            <w:pPr>
              <w:spacing w:before="20" w:after="20" w:line="240" w:lineRule="auto"/>
            </w:pPr>
            <w:hyperlink r:id="rId128">
              <w:r>
                <w:rPr>
                  <w:rStyle w:val="Hyperlink"/>
                  <w:sz w:val="17"/>
                  <w:szCs w:val="17"/>
                </w:rPr>
                <w:t>doi:10.1177/10398562221127825</w:t>
              </w:r>
            </w:hyperlink>
          </w:p>
        </w:tc>
        <w:tc>
          <w:tcPr>
            <w:tcW w:w="3645" w:type="dxa"/>
          </w:tcPr>
          <w:p w14:paraId="68FAE4B8" w14:textId="77777777" w:rsidR="00AB17F5" w:rsidRDefault="00000000">
            <w:pPr>
              <w:spacing w:before="20" w:after="20" w:line="240" w:lineRule="auto"/>
            </w:pPr>
            <w:r>
              <w:rPr>
                <w:sz w:val="17"/>
                <w:szCs w:val="17"/>
              </w:rPr>
              <w:t>Remote supervision to expand rural/remote training capacity.</w:t>
            </w:r>
          </w:p>
        </w:tc>
        <w:tc>
          <w:tcPr>
            <w:tcW w:w="1042" w:type="dxa"/>
          </w:tcPr>
          <w:p w14:paraId="7C255775" w14:textId="77777777" w:rsidR="00AB17F5" w:rsidRDefault="00000000">
            <w:pPr>
              <w:spacing w:before="20" w:after="20" w:line="240" w:lineRule="auto"/>
            </w:pPr>
            <w:r>
              <w:rPr>
                <w:sz w:val="17"/>
                <w:szCs w:val="17"/>
              </w:rPr>
              <w:t>Evidence</w:t>
            </w:r>
          </w:p>
        </w:tc>
      </w:tr>
      <w:tr w:rsidR="00AB17F5" w14:paraId="4793B84A" w14:textId="77777777" w:rsidTr="00B735E6">
        <w:tc>
          <w:tcPr>
            <w:tcW w:w="2539" w:type="dxa"/>
          </w:tcPr>
          <w:p w14:paraId="71044809" w14:textId="73F8E535" w:rsidR="00AB17F5" w:rsidRDefault="00000000">
            <w:pPr>
              <w:spacing w:before="20" w:after="20" w:line="240" w:lineRule="auto"/>
            </w:pPr>
            <w:r>
              <w:rPr>
                <w:sz w:val="17"/>
                <w:szCs w:val="17"/>
              </w:rPr>
              <w:t xml:space="preserve">Coleman. </w:t>
            </w:r>
            <w:proofErr w:type="gramStart"/>
            <w:r>
              <w:rPr>
                <w:sz w:val="17"/>
                <w:szCs w:val="17"/>
              </w:rPr>
              <w:t>Whose</w:t>
            </w:r>
            <w:proofErr w:type="gramEnd"/>
            <w:r>
              <w:rPr>
                <w:sz w:val="17"/>
                <w:szCs w:val="17"/>
              </w:rPr>
              <w:t xml:space="preserve"> rural? Shaping rural psychiatry training in Aotearoa New Zealand. </w:t>
            </w:r>
            <w:proofErr w:type="spellStart"/>
            <w:r>
              <w:rPr>
                <w:i/>
                <w:sz w:val="17"/>
                <w:szCs w:val="17"/>
              </w:rPr>
              <w:t>Australas</w:t>
            </w:r>
            <w:proofErr w:type="spellEnd"/>
            <w:r>
              <w:rPr>
                <w:i/>
                <w:sz w:val="17"/>
                <w:szCs w:val="17"/>
              </w:rPr>
              <w:t xml:space="preserve"> Psychiatry.</w:t>
            </w:r>
            <w:r>
              <w:rPr>
                <w:sz w:val="17"/>
                <w:szCs w:val="17"/>
              </w:rPr>
              <w:t xml:space="preserve"> 2025;33(6)</w:t>
            </w:r>
          </w:p>
        </w:tc>
        <w:tc>
          <w:tcPr>
            <w:tcW w:w="2374" w:type="dxa"/>
          </w:tcPr>
          <w:p w14:paraId="4C4C74A9" w14:textId="77777777" w:rsidR="00AB17F5" w:rsidRDefault="00AB17F5">
            <w:pPr>
              <w:spacing w:before="20" w:after="20" w:line="240" w:lineRule="auto"/>
            </w:pPr>
            <w:hyperlink r:id="rId129">
              <w:r>
                <w:rPr>
                  <w:rStyle w:val="Hyperlink"/>
                  <w:sz w:val="17"/>
                  <w:szCs w:val="17"/>
                </w:rPr>
                <w:t>doi:10.1177/10398562251377324</w:t>
              </w:r>
            </w:hyperlink>
            <w:r w:rsidR="00000000">
              <w:rPr>
                <w:sz w:val="17"/>
                <w:szCs w:val="17"/>
              </w:rPr>
              <w:t xml:space="preserve"> </w:t>
            </w:r>
            <w:r w:rsidR="00000000">
              <w:rPr>
                <w:i/>
                <w:sz w:val="17"/>
                <w:szCs w:val="17"/>
              </w:rPr>
              <w:t>(confirm)</w:t>
            </w:r>
          </w:p>
        </w:tc>
        <w:tc>
          <w:tcPr>
            <w:tcW w:w="3645" w:type="dxa"/>
          </w:tcPr>
          <w:p w14:paraId="2C2446BF" w14:textId="77777777" w:rsidR="00AB17F5" w:rsidRDefault="00000000">
            <w:pPr>
              <w:spacing w:before="20" w:after="20" w:line="240" w:lineRule="auto"/>
            </w:pPr>
            <w:r>
              <w:rPr>
                <w:sz w:val="17"/>
                <w:szCs w:val="17"/>
              </w:rPr>
              <w:t>Rural psychiatry training in Aotearoa New Zealand.</w:t>
            </w:r>
          </w:p>
        </w:tc>
        <w:tc>
          <w:tcPr>
            <w:tcW w:w="1042" w:type="dxa"/>
          </w:tcPr>
          <w:p w14:paraId="06BACE94" w14:textId="77777777" w:rsidR="00AB17F5" w:rsidRDefault="00000000">
            <w:pPr>
              <w:spacing w:before="20" w:after="20" w:line="240" w:lineRule="auto"/>
            </w:pPr>
            <w:r>
              <w:rPr>
                <w:sz w:val="17"/>
                <w:szCs w:val="17"/>
              </w:rPr>
              <w:t>Theory</w:t>
            </w:r>
          </w:p>
        </w:tc>
      </w:tr>
      <w:tr w:rsidR="00AB17F5" w14:paraId="5B69CA18" w14:textId="77777777" w:rsidTr="00B735E6">
        <w:tc>
          <w:tcPr>
            <w:tcW w:w="2539" w:type="dxa"/>
          </w:tcPr>
          <w:p w14:paraId="0911D563" w14:textId="3824F271" w:rsidR="00AB17F5" w:rsidRDefault="00000000">
            <w:pPr>
              <w:spacing w:before="20" w:after="20" w:line="240" w:lineRule="auto"/>
            </w:pPr>
            <w:r>
              <w:rPr>
                <w:sz w:val="17"/>
                <w:szCs w:val="17"/>
              </w:rPr>
              <w:t xml:space="preserve">Orlik et al. Transforming the journey together: …psychiatry trainee experiences of training and wellbeing. </w:t>
            </w:r>
            <w:proofErr w:type="spellStart"/>
            <w:r>
              <w:rPr>
                <w:i/>
                <w:sz w:val="17"/>
                <w:szCs w:val="17"/>
              </w:rPr>
              <w:t>Australas</w:t>
            </w:r>
            <w:proofErr w:type="spellEnd"/>
            <w:r>
              <w:rPr>
                <w:i/>
                <w:sz w:val="17"/>
                <w:szCs w:val="17"/>
              </w:rPr>
              <w:t xml:space="preserve"> Psychiatry.</w:t>
            </w:r>
            <w:r>
              <w:rPr>
                <w:sz w:val="17"/>
                <w:szCs w:val="17"/>
              </w:rPr>
              <w:t xml:space="preserve"> 2022;30(3):391–397</w:t>
            </w:r>
          </w:p>
        </w:tc>
        <w:tc>
          <w:tcPr>
            <w:tcW w:w="2374" w:type="dxa"/>
          </w:tcPr>
          <w:p w14:paraId="0C33FD07" w14:textId="77777777" w:rsidR="00AB17F5" w:rsidRDefault="00000000">
            <w:pPr>
              <w:spacing w:before="20" w:after="20" w:line="240" w:lineRule="auto"/>
            </w:pPr>
            <w:r>
              <w:rPr>
                <w:sz w:val="17"/>
                <w:szCs w:val="17"/>
              </w:rPr>
              <w:t xml:space="preserve">journals.sagepub.com </w:t>
            </w:r>
            <w:r>
              <w:rPr>
                <w:i/>
                <w:sz w:val="17"/>
                <w:szCs w:val="17"/>
              </w:rPr>
              <w:t>(DOI to confirm)</w:t>
            </w:r>
          </w:p>
        </w:tc>
        <w:tc>
          <w:tcPr>
            <w:tcW w:w="3645" w:type="dxa"/>
          </w:tcPr>
          <w:p w14:paraId="417EA2A6" w14:textId="77777777" w:rsidR="00AB17F5" w:rsidRDefault="00000000">
            <w:pPr>
              <w:spacing w:before="20" w:after="20" w:line="240" w:lineRule="auto"/>
            </w:pPr>
            <w:r>
              <w:rPr>
                <w:sz w:val="17"/>
                <w:szCs w:val="17"/>
              </w:rPr>
              <w:t>A co-designed study of trainee wellbeing.</w:t>
            </w:r>
          </w:p>
        </w:tc>
        <w:tc>
          <w:tcPr>
            <w:tcW w:w="1042" w:type="dxa"/>
          </w:tcPr>
          <w:p w14:paraId="3232A17B" w14:textId="77777777" w:rsidR="00AB17F5" w:rsidRDefault="00000000">
            <w:pPr>
              <w:spacing w:before="20" w:after="20" w:line="240" w:lineRule="auto"/>
            </w:pPr>
            <w:r>
              <w:rPr>
                <w:sz w:val="17"/>
                <w:szCs w:val="17"/>
              </w:rPr>
              <w:t>Evidence</w:t>
            </w:r>
          </w:p>
        </w:tc>
      </w:tr>
      <w:tr w:rsidR="00AB17F5" w14:paraId="32CB0B39" w14:textId="77777777" w:rsidTr="00B735E6">
        <w:tc>
          <w:tcPr>
            <w:tcW w:w="2539" w:type="dxa"/>
          </w:tcPr>
          <w:p w14:paraId="047ACF77" w14:textId="48711C9D" w:rsidR="00AB17F5" w:rsidRDefault="00000000">
            <w:pPr>
              <w:spacing w:before="20" w:after="20" w:line="240" w:lineRule="auto"/>
            </w:pPr>
            <w:r>
              <w:rPr>
                <w:sz w:val="17"/>
                <w:szCs w:val="17"/>
              </w:rPr>
              <w:t xml:space="preserve">Wilkes et al. Bullying within specialist medical training in Australia: analysis of the medical training survey, 2020–2023. </w:t>
            </w:r>
            <w:proofErr w:type="spellStart"/>
            <w:r>
              <w:rPr>
                <w:i/>
                <w:sz w:val="17"/>
                <w:szCs w:val="17"/>
              </w:rPr>
              <w:t>Australas</w:t>
            </w:r>
            <w:proofErr w:type="spellEnd"/>
            <w:r>
              <w:rPr>
                <w:i/>
                <w:sz w:val="17"/>
                <w:szCs w:val="17"/>
              </w:rPr>
              <w:t xml:space="preserve"> Psychiatry.</w:t>
            </w:r>
            <w:r>
              <w:rPr>
                <w:sz w:val="17"/>
                <w:szCs w:val="17"/>
              </w:rPr>
              <w:t xml:space="preserve"> 2024;32(5):459–466</w:t>
            </w:r>
          </w:p>
        </w:tc>
        <w:tc>
          <w:tcPr>
            <w:tcW w:w="2374" w:type="dxa"/>
          </w:tcPr>
          <w:p w14:paraId="7675CC6A" w14:textId="77777777" w:rsidR="00AB17F5" w:rsidRDefault="00AB17F5">
            <w:pPr>
              <w:spacing w:before="20" w:after="20" w:line="240" w:lineRule="auto"/>
            </w:pPr>
            <w:hyperlink r:id="rId130">
              <w:r>
                <w:rPr>
                  <w:rStyle w:val="Hyperlink"/>
                  <w:sz w:val="17"/>
                  <w:szCs w:val="17"/>
                </w:rPr>
                <w:t>doi:10.1177/10398562241269123</w:t>
              </w:r>
            </w:hyperlink>
          </w:p>
        </w:tc>
        <w:tc>
          <w:tcPr>
            <w:tcW w:w="3645" w:type="dxa"/>
          </w:tcPr>
          <w:p w14:paraId="202FE397" w14:textId="77777777" w:rsidR="00AB17F5" w:rsidRDefault="00000000">
            <w:pPr>
              <w:spacing w:before="20" w:after="20" w:line="240" w:lineRule="auto"/>
            </w:pPr>
            <w:r>
              <w:rPr>
                <w:sz w:val="17"/>
                <w:szCs w:val="17"/>
              </w:rPr>
              <w:t>Evidence on bullying — the safety of the learning environment.</w:t>
            </w:r>
          </w:p>
        </w:tc>
        <w:tc>
          <w:tcPr>
            <w:tcW w:w="1042" w:type="dxa"/>
          </w:tcPr>
          <w:p w14:paraId="683ACCAE" w14:textId="77777777" w:rsidR="00AB17F5" w:rsidRDefault="00000000">
            <w:pPr>
              <w:spacing w:before="20" w:after="20" w:line="240" w:lineRule="auto"/>
            </w:pPr>
            <w:r>
              <w:rPr>
                <w:sz w:val="17"/>
                <w:szCs w:val="17"/>
              </w:rPr>
              <w:t>Evidence</w:t>
            </w:r>
          </w:p>
        </w:tc>
      </w:tr>
      <w:tr w:rsidR="00AB17F5" w14:paraId="25647654" w14:textId="77777777" w:rsidTr="00B735E6">
        <w:tc>
          <w:tcPr>
            <w:tcW w:w="2539" w:type="dxa"/>
          </w:tcPr>
          <w:p w14:paraId="327A65A5" w14:textId="50AC0AE0" w:rsidR="00AB17F5" w:rsidRDefault="00000000">
            <w:pPr>
              <w:spacing w:before="20" w:after="20" w:line="240" w:lineRule="auto"/>
            </w:pPr>
            <w:r>
              <w:rPr>
                <w:sz w:val="17"/>
                <w:szCs w:val="17"/>
              </w:rPr>
              <w:t xml:space="preserve">Tian et al. Increasing demand and persistent gaps in perceived need for mental health care: national findings 2007–2021. </w:t>
            </w:r>
            <w:r>
              <w:rPr>
                <w:i/>
                <w:sz w:val="17"/>
                <w:szCs w:val="17"/>
              </w:rPr>
              <w:t>ANZJP.</w:t>
            </w:r>
            <w:r>
              <w:rPr>
                <w:sz w:val="17"/>
                <w:szCs w:val="17"/>
              </w:rPr>
              <w:t xml:space="preserve"> 2026</w:t>
            </w:r>
          </w:p>
        </w:tc>
        <w:tc>
          <w:tcPr>
            <w:tcW w:w="2374" w:type="dxa"/>
          </w:tcPr>
          <w:p w14:paraId="1C9A3FEA" w14:textId="77777777" w:rsidR="00AB17F5" w:rsidRDefault="00AB17F5">
            <w:pPr>
              <w:spacing w:before="20" w:after="20" w:line="240" w:lineRule="auto"/>
            </w:pPr>
            <w:hyperlink r:id="rId131">
              <w:r>
                <w:rPr>
                  <w:rStyle w:val="Hyperlink"/>
                  <w:sz w:val="17"/>
                  <w:szCs w:val="17"/>
                </w:rPr>
                <w:t>doi:10.1177/00048674251393164</w:t>
              </w:r>
            </w:hyperlink>
            <w:r w:rsidR="00000000">
              <w:rPr>
                <w:sz w:val="17"/>
                <w:szCs w:val="17"/>
              </w:rPr>
              <w:t xml:space="preserve"> </w:t>
            </w:r>
            <w:r w:rsidR="00000000">
              <w:rPr>
                <w:i/>
                <w:sz w:val="17"/>
                <w:szCs w:val="17"/>
              </w:rPr>
              <w:t>(confirm)</w:t>
            </w:r>
          </w:p>
        </w:tc>
        <w:tc>
          <w:tcPr>
            <w:tcW w:w="3645" w:type="dxa"/>
          </w:tcPr>
          <w:p w14:paraId="6492A6BB" w14:textId="77777777" w:rsidR="00AB17F5" w:rsidRDefault="00000000">
            <w:pPr>
              <w:spacing w:before="20" w:after="20" w:line="240" w:lineRule="auto"/>
            </w:pPr>
            <w:r>
              <w:rPr>
                <w:sz w:val="17"/>
                <w:szCs w:val="17"/>
              </w:rPr>
              <w:t>System demand/need context underpinning workforce planning.</w:t>
            </w:r>
          </w:p>
        </w:tc>
        <w:tc>
          <w:tcPr>
            <w:tcW w:w="1042" w:type="dxa"/>
          </w:tcPr>
          <w:p w14:paraId="69135303" w14:textId="77777777" w:rsidR="00AB17F5" w:rsidRDefault="00000000">
            <w:pPr>
              <w:spacing w:before="20" w:after="20" w:line="240" w:lineRule="auto"/>
            </w:pPr>
            <w:r>
              <w:rPr>
                <w:sz w:val="17"/>
                <w:szCs w:val="17"/>
              </w:rPr>
              <w:t>Evidence</w:t>
            </w:r>
          </w:p>
        </w:tc>
      </w:tr>
    </w:tbl>
    <w:p w14:paraId="1F8988FB" w14:textId="77777777" w:rsidR="00AB17F5" w:rsidRDefault="00AB17F5"/>
    <w:p w14:paraId="7A58B955" w14:textId="77777777" w:rsidR="00AB17F5" w:rsidRDefault="00AB17F5">
      <w:pPr>
        <w:pBdr>
          <w:bottom w:val="single" w:sz="4" w:space="1" w:color="CCCCCC"/>
        </w:pBdr>
      </w:pPr>
    </w:p>
    <w:p w14:paraId="38CADBE7" w14:textId="77777777" w:rsidR="00AB17F5" w:rsidRDefault="00000000">
      <w:pPr>
        <w:pStyle w:val="Heading1"/>
      </w:pPr>
      <w:r>
        <w:t>AI use statement</w:t>
      </w:r>
    </w:p>
    <w:p w14:paraId="596307A8" w14:textId="77777777" w:rsidR="00AB17F5" w:rsidRDefault="00000000">
      <w:r>
        <w:t>This document was prepared with the assistance of generative artificial intelligence (</w:t>
      </w:r>
      <w:proofErr w:type="spellStart"/>
      <w:r>
        <w:t>Anthropic's</w:t>
      </w:r>
      <w:proofErr w:type="spellEnd"/>
      <w:r>
        <w:t xml:space="preserve"> Claude). AI was used to identify, summarise and organise the medical-education and educational literature, to draft the section narratives and reference tables, and to format the document.</w:t>
      </w:r>
    </w:p>
    <w:p w14:paraId="47299099" w14:textId="77777777" w:rsidR="00AB17F5" w:rsidRDefault="00000000">
      <w:r>
        <w:lastRenderedPageBreak/>
        <w:t>Citations were checked against PubMed and publisher records through structured, multi-source web searches. Where the AI's initial recollection of a reference was inaccurate it was corrected during this process, and residual uncertainties are flagged inline (e.g. "(confirm)"). Nonetheless, AI can make errors or omissions: the AI did not independently appraise the clinical or educational claims of the underlying sources, and the selection and framing of references involve editorial judgements that should be reviewed by the responsible authors/committee before the document is relied upon. This is a working evidence compilation, not a peer-reviewed publication.</w:t>
      </w:r>
    </w:p>
    <w:p w14:paraId="209D0BE2" w14:textId="77777777" w:rsidR="00AB17F5" w:rsidRDefault="00000000">
      <w:r>
        <w:t>The First Nations mental-health material (§11) must additionally be reviewed and led by Aboriginal and Torres Strait Islander and by Māori mental-health colleagues and knowledge-holders before use, as set out in the note within that section.</w:t>
      </w:r>
    </w:p>
    <w:p w14:paraId="43DDAFD3" w14:textId="77777777" w:rsidR="00AB17F5" w:rsidRDefault="00000000">
      <w:r>
        <w:rPr>
          <w:i/>
        </w:rPr>
        <w:t>Version 7.0 — prepared 17 June 2026. Responsible author/owner: Dr Anthony Llewellyn, Medical Education Specialist and Fellow. AI tool: Anthropic Claude (via Claude Code).</w:t>
      </w:r>
    </w:p>
    <w:sectPr w:rsidR="00AB17F5">
      <w:pgSz w:w="11906" w:h="16838"/>
      <w:pgMar w:top="1134" w:right="1134" w:bottom="1134" w:left="1134" w:header="709" w:footer="709"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7F5"/>
    <w:rsid w:val="00173066"/>
    <w:rsid w:val="00732749"/>
    <w:rsid w:val="009D2F18"/>
    <w:rsid w:val="00AB17F5"/>
    <w:rsid w:val="00B735E6"/>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35E1B466"/>
  <w15:docId w15:val="{6E1E5AE9-5D58-AF47-882F-ABE5E6B0D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lang w:val="en-AU" w:eastAsia="zh-CN" w:bidi="ar-SA"/>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80"/>
      <w:outlineLvl w:val="0"/>
    </w:pPr>
    <w:rPr>
      <w:b/>
      <w:color w:val="5B2A86"/>
      <w:sz w:val="28"/>
      <w:szCs w:val="28"/>
    </w:rPr>
  </w:style>
  <w:style w:type="paragraph" w:styleId="Heading2">
    <w:name w:val="heading 2"/>
    <w:basedOn w:val="Normal"/>
    <w:next w:val="Normal"/>
    <w:uiPriority w:val="9"/>
    <w:unhideWhenUsed/>
    <w:qFormat/>
    <w:pPr>
      <w:keepNext/>
      <w:spacing w:before="200" w:after="60"/>
      <w:outlineLvl w:val="1"/>
    </w:pPr>
    <w:rPr>
      <w:b/>
      <w:color w:val="5B2A86"/>
      <w:sz w:val="24"/>
      <w:szCs w:val="24"/>
    </w:rPr>
  </w:style>
  <w:style w:type="paragraph" w:styleId="Heading3">
    <w:name w:val="heading 3"/>
    <w:basedOn w:val="Normal"/>
    <w:next w:val="Normal"/>
    <w:uiPriority w:val="9"/>
    <w:semiHidden/>
    <w:unhideWhenUsed/>
    <w:qFormat/>
    <w:pPr>
      <w:keepNext/>
      <w:spacing w:before="160" w:after="40"/>
      <w:outlineLvl w:val="2"/>
    </w:pPr>
    <w:rPr>
      <w:b/>
      <w:color w:val="404040"/>
      <w:sz w:val="22"/>
      <w:szCs w:val="22"/>
    </w:rPr>
  </w:style>
  <w:style w:type="paragraph" w:styleId="Heading4">
    <w:name w:val="heading 4"/>
    <w:basedOn w:val="Normal"/>
    <w:next w:val="Normal"/>
    <w:uiPriority w:val="9"/>
    <w:semiHidden/>
    <w:unhideWhenUsed/>
    <w:qFormat/>
    <w:pPr>
      <w:keepNext/>
      <w:spacing w:before="120" w:after="40"/>
      <w:outlineLvl w:val="3"/>
    </w:pPr>
    <w:rPr>
      <w:b/>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00"/>
    </w:pPr>
    <w:rPr>
      <w:b/>
      <w:color w:val="5B2A86"/>
      <w:sz w:val="40"/>
      <w:szCs w:val="40"/>
    </w:rPr>
  </w:style>
  <w:style w:type="paragraph" w:styleId="Quote">
    <w:name w:val="Quote"/>
    <w:basedOn w:val="Normal"/>
    <w:qFormat/>
    <w:pPr>
      <w:spacing w:before="60" w:after="60"/>
      <w:ind w:left="288"/>
    </w:pPr>
    <w:rPr>
      <w:i/>
      <w:color w:val="595959"/>
    </w:rPr>
  </w:style>
  <w:style w:type="character" w:styleId="Hyperlink">
    <w:name w:val="Hyperlink"/>
    <w:rPr>
      <w:color w:val="0563C1"/>
      <w:u w:val="single"/>
    </w:rPr>
  </w:style>
  <w:style w:type="character" w:styleId="FollowedHyperlink">
    <w:name w:val="FollowedHyperlink"/>
    <w:basedOn w:val="DefaultParagraphFont"/>
    <w:uiPriority w:val="99"/>
    <w:semiHidden/>
    <w:unhideWhenUsed/>
    <w:rsid w:val="009D2F18"/>
    <w:rPr>
      <w:color w:val="96607D" w:themeColor="followedHyperlink"/>
      <w:u w:val="single"/>
    </w:rPr>
  </w:style>
  <w:style w:type="character" w:styleId="UnresolvedMention">
    <w:name w:val="Unresolved Mention"/>
    <w:basedOn w:val="DefaultParagraphFont"/>
    <w:uiPriority w:val="99"/>
    <w:semiHidden/>
    <w:unhideWhenUsed/>
    <w:rsid w:val="00B735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doi.org/10.4300/JGME-D-15-00144.1" TargetMode="External"/><Relationship Id="rId21" Type="http://schemas.openxmlformats.org/officeDocument/2006/relationships/hyperlink" Target="https://doi.org/10.1080/0142159X.2020.1838465" TargetMode="External"/><Relationship Id="rId42" Type="http://schemas.openxmlformats.org/officeDocument/2006/relationships/hyperlink" Target="https://doi.org/10.5334/pme.1110" TargetMode="External"/><Relationship Id="rId63" Type="http://schemas.openxmlformats.org/officeDocument/2006/relationships/hyperlink" Target="https://doi.org/10.1097/ACM.0000000000005305" TargetMode="External"/><Relationship Id="rId84" Type="http://schemas.openxmlformats.org/officeDocument/2006/relationships/hyperlink" Target="https://doi.org/10.1097/ACM.0000000000000913" TargetMode="External"/><Relationship Id="rId16" Type="http://schemas.openxmlformats.org/officeDocument/2006/relationships/hyperlink" Target="https://www.ranzcp.org/getmedia/397638ad-1fdb-43f5-8ff6-870a22b1dbdd/2023-RANZCP-Report-secured.pdf" TargetMode="External"/><Relationship Id="rId107" Type="http://schemas.openxmlformats.org/officeDocument/2006/relationships/hyperlink" Target="https://doi.org/10.5334/pme.1096" TargetMode="External"/><Relationship Id="rId11" Type="http://schemas.openxmlformats.org/officeDocument/2006/relationships/hyperlink" Target="https://doi.org/10.4300/JGME-D-13-00445.1" TargetMode="External"/><Relationship Id="rId32" Type="http://schemas.openxmlformats.org/officeDocument/2006/relationships/hyperlink" Target="https://doi.org/10.3109/0142159X.2011.595435" TargetMode="External"/><Relationship Id="rId37" Type="http://schemas.openxmlformats.org/officeDocument/2006/relationships/hyperlink" Target="https://doi.org/10.1097/ACM.0b013e318217e119" TargetMode="External"/><Relationship Id="rId53" Type="http://schemas.openxmlformats.org/officeDocument/2006/relationships/hyperlink" Target="https://doi.org/10.1177/10398562231202120" TargetMode="External"/><Relationship Id="rId58" Type="http://schemas.openxmlformats.org/officeDocument/2006/relationships/hyperlink" Target="https://pubmed.ncbi.nlm.nih.gov/40680201/" TargetMode="External"/><Relationship Id="rId74" Type="http://schemas.openxmlformats.org/officeDocument/2006/relationships/hyperlink" Target="https://doi.org/10.1001/jama.1983.03340060055026" TargetMode="External"/><Relationship Id="rId79" Type="http://schemas.openxmlformats.org/officeDocument/2006/relationships/hyperlink" Target="https://doi.org/10.1080/014215900409429" TargetMode="External"/><Relationship Id="rId102" Type="http://schemas.openxmlformats.org/officeDocument/2006/relationships/hyperlink" Target="https://mentalhealth.inquiry.govt.nz" TargetMode="External"/><Relationship Id="rId123" Type="http://schemas.openxmlformats.org/officeDocument/2006/relationships/hyperlink" Target="https://doi.org/10.1111/j.1365-2929.2004.02059.x" TargetMode="External"/><Relationship Id="rId128" Type="http://schemas.openxmlformats.org/officeDocument/2006/relationships/hyperlink" Target="https://doi.org/10.1177/10398562221127825" TargetMode="External"/><Relationship Id="rId5" Type="http://schemas.openxmlformats.org/officeDocument/2006/relationships/hyperlink" Target="https://doi.org/10.3109/0142159X.2010.501190" TargetMode="External"/><Relationship Id="rId90" Type="http://schemas.openxmlformats.org/officeDocument/2006/relationships/hyperlink" Target="https://doi.org/10.1111/medu.13605" TargetMode="External"/><Relationship Id="rId95" Type="http://schemas.openxmlformats.org/officeDocument/2006/relationships/hyperlink" Target="https://www.thekids.org.au/globalassets/media/documents/aboriginal-health/working-together-second-edition/working-together-aboriginal-and-wellbeing-2014.pdf" TargetMode="External"/><Relationship Id="rId22" Type="http://schemas.openxmlformats.org/officeDocument/2006/relationships/hyperlink" Target="https://doi.org/10.1097/ACM.0b013e3182677805" TargetMode="External"/><Relationship Id="rId27" Type="http://schemas.openxmlformats.org/officeDocument/2006/relationships/hyperlink" Target="https://doi.org/10.1111/medu.15681" TargetMode="External"/><Relationship Id="rId43" Type="http://schemas.openxmlformats.org/officeDocument/2006/relationships/hyperlink" Target="https://doi.org/10.1097/00001888-199009000-00045" TargetMode="External"/><Relationship Id="rId48" Type="http://schemas.openxmlformats.org/officeDocument/2006/relationships/hyperlink" Target="https://doi.org/10.3109/0142159X.2013.789134" TargetMode="External"/><Relationship Id="rId64" Type="http://schemas.openxmlformats.org/officeDocument/2006/relationships/hyperlink" Target="https://doi.org/10.1111/medu.14075" TargetMode="External"/><Relationship Id="rId69" Type="http://schemas.openxmlformats.org/officeDocument/2006/relationships/hyperlink" Target="https://doi.org/10.36834/cmej.72765" TargetMode="External"/><Relationship Id="rId113" Type="http://schemas.openxmlformats.org/officeDocument/2006/relationships/hyperlink" Target="https://doi.org/10.1111/j.1365-2923.2011.04048.x" TargetMode="External"/><Relationship Id="rId118" Type="http://schemas.openxmlformats.org/officeDocument/2006/relationships/hyperlink" Target="https://doi.org/10.1097/ACM.0000000000000736" TargetMode="External"/><Relationship Id="rId80" Type="http://schemas.openxmlformats.org/officeDocument/2006/relationships/hyperlink" Target="https://doi.org/10.1080/01421590600902976" TargetMode="External"/><Relationship Id="rId85" Type="http://schemas.openxmlformats.org/officeDocument/2006/relationships/hyperlink" Target="https://doi.org/10.1007/s10459-007-9090-2" TargetMode="External"/><Relationship Id="rId12" Type="http://schemas.openxmlformats.org/officeDocument/2006/relationships/hyperlink" Target="https://www.ranzcp.org/pre-fellowship/about-the-training-program" TargetMode="External"/><Relationship Id="rId17" Type="http://schemas.openxmlformats.org/officeDocument/2006/relationships/hyperlink" Target="https://doi.org/10.1177/1039856215600898" TargetMode="External"/><Relationship Id="rId33" Type="http://schemas.openxmlformats.org/officeDocument/2006/relationships/hyperlink" Target="https://doi.org/10.1207/s15516709cog1202_4" TargetMode="External"/><Relationship Id="rId38" Type="http://schemas.openxmlformats.org/officeDocument/2006/relationships/hyperlink" Target="https://doi.org/10.1192/bjb.2022.40" TargetMode="External"/><Relationship Id="rId59" Type="http://schemas.openxmlformats.org/officeDocument/2006/relationships/hyperlink" Target="https://doi.org/10.5334/pme.965" TargetMode="External"/><Relationship Id="rId103" Type="http://schemas.openxmlformats.org/officeDocument/2006/relationships/hyperlink" Target="https://nzmj.org.nz/media/pages/journal/vol-131-no-1471/mahi-a-atua-a-pathway-forward-for-maori-mental-health/2f88ad3102-1696474232/mahi-a-atua-a-pathway-forward-for-maori-mental-health.pdf" TargetMode="External"/><Relationship Id="rId108" Type="http://schemas.openxmlformats.org/officeDocument/2006/relationships/hyperlink" Target="https://doi.org/10.1097/ACM.0000000000001048" TargetMode="External"/><Relationship Id="rId124" Type="http://schemas.openxmlformats.org/officeDocument/2006/relationships/hyperlink" Target="https://doi.org/10.1111/medu.14407" TargetMode="External"/><Relationship Id="rId129" Type="http://schemas.openxmlformats.org/officeDocument/2006/relationships/hyperlink" Target="https://doi.org/10.1177/10398562251377324" TargetMode="External"/><Relationship Id="rId54" Type="http://schemas.openxmlformats.org/officeDocument/2006/relationships/hyperlink" Target="https://doi.org/10.1177/10398562241233995" TargetMode="External"/><Relationship Id="rId70" Type="http://schemas.openxmlformats.org/officeDocument/2006/relationships/hyperlink" Target="https://doi.org/10.36834/cmej.67958" TargetMode="External"/><Relationship Id="rId75" Type="http://schemas.openxmlformats.org/officeDocument/2006/relationships/hyperlink" Target="https://doi.org/10.3102/003465430298487" TargetMode="External"/><Relationship Id="rId91" Type="http://schemas.openxmlformats.org/officeDocument/2006/relationships/hyperlink" Target="https://www.amc.org.au/wp-content/uploads/2023/08/Standards-for-Assessment-and-Accreditation-of-Specialist-Medical-Programs-by-the-Australian-Medical-Council-2023-secured.pdf" TargetMode="External"/><Relationship Id="rId96" Type="http://schemas.openxmlformats.org/officeDocument/2006/relationships/hyperlink" Target="https://www.thekids.org.au/globalassets/media/documents/aboriginal-health/working-together-second-edition/wt-part-1-chapt-4-final.pdf" TargetMode="External"/><Relationship Id="rId1" Type="http://schemas.openxmlformats.org/officeDocument/2006/relationships/styles" Target="styles.xml"/><Relationship Id="rId6" Type="http://schemas.openxmlformats.org/officeDocument/2006/relationships/hyperlink" Target="https://www.acgme.org/specialties/psychiatry/milestones/" TargetMode="External"/><Relationship Id="rId23" Type="http://schemas.openxmlformats.org/officeDocument/2006/relationships/hyperlink" Target="https://doi.org/10.1007/s40596-020-01341-7" TargetMode="External"/><Relationship Id="rId28" Type="http://schemas.openxmlformats.org/officeDocument/2006/relationships/hyperlink" Target="https://doi.org/10.1177/10398562211029949" TargetMode="External"/><Relationship Id="rId49" Type="http://schemas.openxmlformats.org/officeDocument/2006/relationships/hyperlink" Target="https://doi.org/10.1080/0142159X.2024.2339413" TargetMode="External"/><Relationship Id="rId114" Type="http://schemas.openxmlformats.org/officeDocument/2006/relationships/hyperlink" Target="https://doi.org/10.1111/medu.15299" TargetMode="External"/><Relationship Id="rId119" Type="http://schemas.openxmlformats.org/officeDocument/2006/relationships/hyperlink" Target="https://doi.org/10.1111/medu.13884" TargetMode="External"/><Relationship Id="rId44" Type="http://schemas.openxmlformats.org/officeDocument/2006/relationships/hyperlink" Target="https://doi.org/10.1111/jedm.12000" TargetMode="External"/><Relationship Id="rId60" Type="http://schemas.openxmlformats.org/officeDocument/2006/relationships/hyperlink" Target="https://doi.org/10.1111/medu.15708" TargetMode="External"/><Relationship Id="rId65" Type="http://schemas.openxmlformats.org/officeDocument/2006/relationships/hyperlink" Target="https://doi.org/10.1111/medu.14807" TargetMode="External"/><Relationship Id="rId81" Type="http://schemas.openxmlformats.org/officeDocument/2006/relationships/hyperlink" Target="https://doi.org/10.1080/0142159X.2016.1181851" TargetMode="External"/><Relationship Id="rId86" Type="http://schemas.openxmlformats.org/officeDocument/2006/relationships/hyperlink" Target="https://doi.org/10.1176/appi.ap.33.3.198" TargetMode="External"/><Relationship Id="rId130" Type="http://schemas.openxmlformats.org/officeDocument/2006/relationships/hyperlink" Target="https://doi.org/10.1177/10398562241269123" TargetMode="External"/><Relationship Id="rId13" Type="http://schemas.openxmlformats.org/officeDocument/2006/relationships/hyperlink" Target="https://www.ranzcp.org/college-committees/current-projects/revised-program-graduate-outcomes" TargetMode="External"/><Relationship Id="rId18" Type="http://schemas.openxmlformats.org/officeDocument/2006/relationships/hyperlink" Target="https://doi.org/10.1186/s12909-024-05609-6" TargetMode="External"/><Relationship Id="rId39" Type="http://schemas.openxmlformats.org/officeDocument/2006/relationships/hyperlink" Target="https://doi.org/10.1177/10398562251344470" TargetMode="External"/><Relationship Id="rId109" Type="http://schemas.openxmlformats.org/officeDocument/2006/relationships/hyperlink" Target="https://doi.org/10.1186/s12909-022-03673-4" TargetMode="External"/><Relationship Id="rId34" Type="http://schemas.openxmlformats.org/officeDocument/2006/relationships/hyperlink" Target="https://doi.org/10.1177/1529100612453266" TargetMode="External"/><Relationship Id="rId50" Type="http://schemas.openxmlformats.org/officeDocument/2006/relationships/hyperlink" Target="https://doi.org/10.1186/s12909-021-03077-w" TargetMode="External"/><Relationship Id="rId55" Type="http://schemas.openxmlformats.org/officeDocument/2006/relationships/hyperlink" Target="https://doi.org/10.3109/0142159X.2011.565828" TargetMode="External"/><Relationship Id="rId76" Type="http://schemas.openxmlformats.org/officeDocument/2006/relationships/hyperlink" Target="https://doi.org/10.1111/j.1365-2923.2007.02973.x" TargetMode="External"/><Relationship Id="rId97" Type="http://schemas.openxmlformats.org/officeDocument/2006/relationships/hyperlink" Target="https://www.niaa.gov.au" TargetMode="External"/><Relationship Id="rId104" Type="http://schemas.openxmlformats.org/officeDocument/2006/relationships/hyperlink" Target="https://doi.org/10.1080/01421590701682576" TargetMode="External"/><Relationship Id="rId120" Type="http://schemas.openxmlformats.org/officeDocument/2006/relationships/hyperlink" Target="https://doi.org/10.1080/0142159X.2018.1474191" TargetMode="External"/><Relationship Id="rId125" Type="http://schemas.openxmlformats.org/officeDocument/2006/relationships/hyperlink" Target="https://doi.org/10.1177/10398562211042367" TargetMode="External"/><Relationship Id="rId7" Type="http://schemas.openxmlformats.org/officeDocument/2006/relationships/hyperlink" Target="https://doi.org/10.1111/medu.12839" TargetMode="External"/><Relationship Id="rId71" Type="http://schemas.openxmlformats.org/officeDocument/2006/relationships/hyperlink" Target="https://doi.org/10.1111/medu.13232" TargetMode="External"/><Relationship Id="rId92" Type="http://schemas.openxmlformats.org/officeDocument/2006/relationships/hyperlink" Target="https://doi.org/10.1177/0004867420987886" TargetMode="External"/><Relationship Id="rId2" Type="http://schemas.openxmlformats.org/officeDocument/2006/relationships/settings" Target="settings.xml"/><Relationship Id="rId29" Type="http://schemas.openxmlformats.org/officeDocument/2006/relationships/hyperlink" Target="https://doi.org/10.1192/bjb.2021.32" TargetMode="External"/><Relationship Id="rId24" Type="http://schemas.openxmlformats.org/officeDocument/2006/relationships/hyperlink" Target="https://doi.org/10.1007/BF00138871" TargetMode="External"/><Relationship Id="rId40" Type="http://schemas.openxmlformats.org/officeDocument/2006/relationships/hyperlink" Target="https://doi.org/10.1192/bjp.2025.10464" TargetMode="External"/><Relationship Id="rId45" Type="http://schemas.openxmlformats.org/officeDocument/2006/relationships/hyperlink" Target="https://doi.org/10.1111/medu.12678" TargetMode="External"/><Relationship Id="rId66" Type="http://schemas.openxmlformats.org/officeDocument/2006/relationships/hyperlink" Target="https://doi.org/10.1080/0142159X.2017.1315082" TargetMode="External"/><Relationship Id="rId87" Type="http://schemas.openxmlformats.org/officeDocument/2006/relationships/hyperlink" Target="https://doi.org/10.1111/medu.70106" TargetMode="External"/><Relationship Id="rId110" Type="http://schemas.openxmlformats.org/officeDocument/2006/relationships/hyperlink" Target="https://doi.org/10.1097/ACM.0b013e3181fa2913" TargetMode="External"/><Relationship Id="rId115" Type="http://schemas.openxmlformats.org/officeDocument/2006/relationships/hyperlink" Target="https://www.cambridge.org/core/journals/advances-in-psychiatric-treatment/article/in-at-the-deep-end-making-the-transition-from-spr-to-consultant/95F908BFC72747CF329A699388CE2DE8" TargetMode="External"/><Relationship Id="rId131" Type="http://schemas.openxmlformats.org/officeDocument/2006/relationships/hyperlink" Target="https://doi.org/10.1177/00048674251393164" TargetMode="External"/><Relationship Id="rId61" Type="http://schemas.openxmlformats.org/officeDocument/2006/relationships/hyperlink" Target="https://doi.org/10.4300/JGME-D-22-00050.1" TargetMode="External"/><Relationship Id="rId82" Type="http://schemas.openxmlformats.org/officeDocument/2006/relationships/hyperlink" Target="https://doi.org/10.1177/0270467604264992" TargetMode="External"/><Relationship Id="rId19" Type="http://schemas.openxmlformats.org/officeDocument/2006/relationships/hyperlink" Target="https://doi.org/10.1111/j.1365-2929.2005.02341.x" TargetMode="External"/><Relationship Id="rId14" Type="http://schemas.openxmlformats.org/officeDocument/2006/relationships/hyperlink" Target="https://www.ranzcp.org/college-committees/current-projects/revised-program-graduate-outcomes" TargetMode="External"/><Relationship Id="rId30" Type="http://schemas.openxmlformats.org/officeDocument/2006/relationships/hyperlink" Target="https://doi.org/10.1097/00001888-199908000-00011" TargetMode="External"/><Relationship Id="rId35" Type="http://schemas.openxmlformats.org/officeDocument/2006/relationships/hyperlink" Target="https://doi.org/10.1073/pnas.1319030111" TargetMode="External"/><Relationship Id="rId56" Type="http://schemas.openxmlformats.org/officeDocument/2006/relationships/hyperlink" Target="https://doi.org/10.1080/0142159X.2023.2260081" TargetMode="External"/><Relationship Id="rId77" Type="http://schemas.openxmlformats.org/officeDocument/2006/relationships/hyperlink" Target="https://doi.org/10.1097/ACM.0000000000000809" TargetMode="External"/><Relationship Id="rId100" Type="http://schemas.openxmlformats.org/officeDocument/2006/relationships/hyperlink" Target="https://www.wgtn.ac.nz" TargetMode="External"/><Relationship Id="rId105" Type="http://schemas.openxmlformats.org/officeDocument/2006/relationships/hyperlink" Target="https://doi.org/10.1016/j.amjmed.2005.10.036" TargetMode="External"/><Relationship Id="rId126" Type="http://schemas.openxmlformats.org/officeDocument/2006/relationships/hyperlink" Target="https://doi.org/10.1177/1039856220975281" TargetMode="External"/><Relationship Id="rId8" Type="http://schemas.openxmlformats.org/officeDocument/2006/relationships/hyperlink" Target="https://doi.org/10.1097/ACM.0000000000002743" TargetMode="External"/><Relationship Id="rId51" Type="http://schemas.openxmlformats.org/officeDocument/2006/relationships/hyperlink" Target="https://doi.org/10.1080/0142159X.2020.1830052" TargetMode="External"/><Relationship Id="rId72" Type="http://schemas.openxmlformats.org/officeDocument/2006/relationships/hyperlink" Target="https://doi.org/10.3109/0142159X.2011.558140" TargetMode="External"/><Relationship Id="rId93" Type="http://schemas.openxmlformats.org/officeDocument/2006/relationships/hyperlink" Target="https://doi.org/10.1177/00048674241274278" TargetMode="External"/><Relationship Id="rId98" Type="http://schemas.openxmlformats.org/officeDocument/2006/relationships/hyperlink" Target="https://doi.org/10.5964/jspp.v3i1.126" TargetMode="External"/><Relationship Id="rId121" Type="http://schemas.openxmlformats.org/officeDocument/2006/relationships/hyperlink" Target="https://doi.org/10.1097/ACM.0000000000002495" TargetMode="External"/><Relationship Id="rId3" Type="http://schemas.openxmlformats.org/officeDocument/2006/relationships/webSettings" Target="webSettings.xml"/><Relationship Id="rId25" Type="http://schemas.openxmlformats.org/officeDocument/2006/relationships/hyperlink" Target="https://doi.org/10.1111/j.1365-2923.1984.tb01024.x" TargetMode="External"/><Relationship Id="rId46" Type="http://schemas.openxmlformats.org/officeDocument/2006/relationships/hyperlink" Target="https://pubmed.ncbi.nlm.nih.gov/10536636/" TargetMode="External"/><Relationship Id="rId67" Type="http://schemas.openxmlformats.org/officeDocument/2006/relationships/hyperlink" Target="https://doi.org/10.1111/medu.14047" TargetMode="External"/><Relationship Id="rId116" Type="http://schemas.openxmlformats.org/officeDocument/2006/relationships/hyperlink" Target="https://www.cambridge.org/core/journals/advances-in-psychiatric-treatment/article/needs-of-new-consultants/90B8EBCEB0533C5FCBD75D726457F0EA" TargetMode="External"/><Relationship Id="rId20" Type="http://schemas.openxmlformats.org/officeDocument/2006/relationships/hyperlink" Target="https://doi.org/10.3109/0142159X.2015.1060308" TargetMode="External"/><Relationship Id="rId41" Type="http://schemas.openxmlformats.org/officeDocument/2006/relationships/hyperlink" Target="https://doi.org/10.1111/j.1365-2929.2005.02094.x" TargetMode="External"/><Relationship Id="rId62" Type="http://schemas.openxmlformats.org/officeDocument/2006/relationships/hyperlink" Target="https://doi.org/10.1177/08465371211038963" TargetMode="External"/><Relationship Id="rId83" Type="http://schemas.openxmlformats.org/officeDocument/2006/relationships/hyperlink" Target="https://doi.org/10.1097/ACM.0000000000000427" TargetMode="External"/><Relationship Id="rId88" Type="http://schemas.openxmlformats.org/officeDocument/2006/relationships/hyperlink" Target="https://doi.org/10.1136/bmj.d901" TargetMode="External"/><Relationship Id="rId111" Type="http://schemas.openxmlformats.org/officeDocument/2006/relationships/hyperlink" Target="https://doi.org/10.1111/j.1365-2923.2010.03755.x" TargetMode="External"/><Relationship Id="rId132" Type="http://schemas.openxmlformats.org/officeDocument/2006/relationships/fontTable" Target="fontTable.xml"/><Relationship Id="rId15" Type="http://schemas.openxmlformats.org/officeDocument/2006/relationships/hyperlink" Target="https://www.amc.org.au/wp-content/uploads/2023/08/Standards-for-Assessment-and-Accreditation-of-Specialist-Medical-Programs-by-the-Australian-Medical-Council-2023-secured.pdf" TargetMode="External"/><Relationship Id="rId36" Type="http://schemas.openxmlformats.org/officeDocument/2006/relationships/hyperlink" Target="https://onlinelibrary.wiley.com/doi/abs/10.1111/j.1553-2712.2008.00227.x" TargetMode="External"/><Relationship Id="rId57" Type="http://schemas.openxmlformats.org/officeDocument/2006/relationships/hyperlink" Target="https://doi.org/10.1111/medu.15291" TargetMode="External"/><Relationship Id="rId106" Type="http://schemas.openxmlformats.org/officeDocument/2006/relationships/hyperlink" Target="https://doi.org/10.1097/ACM.0000000000002743" TargetMode="External"/><Relationship Id="rId127" Type="http://schemas.openxmlformats.org/officeDocument/2006/relationships/hyperlink" Target="https://doi.org/10.1177/10398562231153015" TargetMode="External"/><Relationship Id="rId10" Type="http://schemas.openxmlformats.org/officeDocument/2006/relationships/hyperlink" Target="https://doi.org/10.1097/ACM.0b013e3181971f08" TargetMode="External"/><Relationship Id="rId31" Type="http://schemas.openxmlformats.org/officeDocument/2006/relationships/hyperlink" Target="https://doi.org/10.1037/0003-066X.55.1.68" TargetMode="External"/><Relationship Id="rId52" Type="http://schemas.openxmlformats.org/officeDocument/2006/relationships/hyperlink" Target="https://doi.org/10.1080/0142159X.2010.507716" TargetMode="External"/><Relationship Id="rId73" Type="http://schemas.openxmlformats.org/officeDocument/2006/relationships/hyperlink" Target="https://doi.org/10.1097/ACM.0000000000004774" TargetMode="External"/><Relationship Id="rId78" Type="http://schemas.openxmlformats.org/officeDocument/2006/relationships/hyperlink" Target="https://doi.org/10.1080/01421590701210907" TargetMode="External"/><Relationship Id="rId94" Type="http://schemas.openxmlformats.org/officeDocument/2006/relationships/hyperlink" Target="https://doi.org/10.1177/0004867420982069" TargetMode="External"/><Relationship Id="rId99" Type="http://schemas.openxmlformats.org/officeDocument/2006/relationships/hyperlink" Target="https://doi.org/10.1046/j.1038-5282.2003.02009.x" TargetMode="External"/><Relationship Id="rId101" Type="http://schemas.openxmlformats.org/officeDocument/2006/relationships/hyperlink" Target="https://doi.org/10.1093/intqhc/8.5.491" TargetMode="External"/><Relationship Id="rId122" Type="http://schemas.openxmlformats.org/officeDocument/2006/relationships/hyperlink" Target="https://doi.org/10.1007/s40037-019-0500-y" TargetMode="External"/><Relationship Id="rId4" Type="http://schemas.openxmlformats.org/officeDocument/2006/relationships/hyperlink" Target="https://www.royalcollege.ca/en/standards-and-accreditation/canmeds/development-and-updates.html" TargetMode="External"/><Relationship Id="rId9" Type="http://schemas.openxmlformats.org/officeDocument/2006/relationships/hyperlink" Target="https://doi.org/10.1046/j.1365-2923.2004.01794.x" TargetMode="External"/><Relationship Id="rId26" Type="http://schemas.openxmlformats.org/officeDocument/2006/relationships/hyperlink" Target="https://doi.org/10.1097/ACM.0000000000003270" TargetMode="External"/><Relationship Id="rId47" Type="http://schemas.openxmlformats.org/officeDocument/2006/relationships/hyperlink" Target="https://doi.org/10.1080/01421590310001002836" TargetMode="External"/><Relationship Id="rId68" Type="http://schemas.openxmlformats.org/officeDocument/2006/relationships/hyperlink" Target="https://doi.org/10.4300/JGME-D-23-00204.1" TargetMode="External"/><Relationship Id="rId89" Type="http://schemas.openxmlformats.org/officeDocument/2006/relationships/hyperlink" Target="https://doi.org/10.1136/bmj.f5662" TargetMode="External"/><Relationship Id="rId112" Type="http://schemas.openxmlformats.org/officeDocument/2006/relationships/hyperlink" Target="https://doi.org/10.3109/0142159X.2012.735381" TargetMode="External"/><Relationship Id="rId13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8119</Words>
  <Characters>56840</Characters>
  <Application>Microsoft Office Word</Application>
  <DocSecurity>0</DocSecurity>
  <Lines>2105</Lines>
  <Paragraphs>941</Paragraphs>
  <ScaleCrop>false</ScaleCrop>
  <Company/>
  <LinksUpToDate>false</LinksUpToDate>
  <CharactersWithSpaces>64018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Llewellyn, Anthony</cp:lastModifiedBy>
  <cp:revision>2</cp:revision>
  <dcterms:created xsi:type="dcterms:W3CDTF">2026-07-15T00:01:00Z</dcterms:created>
  <dcterms:modified xsi:type="dcterms:W3CDTF">2026-07-15T00:01:00Z</dcterms:modified>
</cp:coreProperties>
</file>