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pPr>
        <w:pStyle w:val="Heading1"/>
        <w:keepNext w:val="0"/>
        <w:keepLines w:val="0"/>
        <w:spacing w:before="0" w:after="322"/>
        <w:rPr>
          <w:b/>
          <w:bCs/>
          <w:sz w:val="48"/>
          <w:szCs w:val="48"/>
        </w:rPr>
      </w:pPr>
      <w:r>
        <w:rPr>
          <w:rFonts w:ascii="Times New Roman" w:eastAsia="Times New Roman" w:hAnsi="Times New Roman" w:cs="Times New Roman"/>
          <w:i w:val="0"/>
          <w:color w:val="auto"/>
        </w:rPr>
        <w:t>Changes Report</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2020-RR-Vol1.pdf → 2024-RR-Vol1.pdf</w:t>
      </w:r>
    </w:p>
    <w:tbl>
      <w:tblPr>
        <w:tblW w:w="5000" w:type="pct"/>
        <w:tblCellMar>
          <w:top w:w="15" w:type="dxa"/>
          <w:left w:w="15" w:type="dxa"/>
          <w:bottom w:w="15" w:type="dxa"/>
          <w:right w:w="15" w:type="dxa"/>
        </w:tblCellMar>
      </w:tblPr>
      <w:tblGrid>
        <w:gridCol w:w="548"/>
        <w:gridCol w:w="561"/>
        <w:gridCol w:w="956"/>
        <w:gridCol w:w="891"/>
        <w:gridCol w:w="469"/>
        <w:gridCol w:w="640"/>
        <w:gridCol w:w="4757"/>
      </w:tblGrid>
      <w:tr>
        <w:tblPrEx>
          <w:tblW w:w="5000" w:type="pct"/>
        </w:tblPrEx>
        <w:trPr>
          <w:tblHeader/>
        </w:trPr>
        <w:tc>
          <w:tcPr>
            <w:tcW w:w="417" w:type="pct"/>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jc w:val="center"/>
              <w:rPr>
                <w:b/>
                <w:bCs/>
                <w:i w:val="0"/>
                <w:iCs w:val="0"/>
                <w:smallCaps w:val="0"/>
                <w:color w:val="000000"/>
              </w:rPr>
            </w:pPr>
            <w:r>
              <w:rPr>
                <w:b/>
                <w:bCs/>
                <w:i w:val="0"/>
                <w:iCs w:val="0"/>
                <w:smallCaps w:val="0"/>
                <w:color w:val="000000"/>
              </w:rPr>
              <w:t>No.</w:t>
            </w:r>
          </w:p>
        </w:tc>
        <w:tc>
          <w:tcPr>
            <w:tcW w:w="417" w:type="pct"/>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jc w:val="center"/>
              <w:rPr>
                <w:b/>
                <w:bCs/>
                <w:i w:val="0"/>
                <w:iCs w:val="0"/>
                <w:smallCaps w:val="0"/>
                <w:color w:val="000000"/>
              </w:rPr>
            </w:pPr>
            <w:r>
              <w:rPr>
                <w:b/>
                <w:bCs/>
                <w:i w:val="0"/>
                <w:iCs w:val="0"/>
                <w:smallCaps w:val="0"/>
                <w:color w:val="000000"/>
              </w:rPr>
              <w:t>Page</w:t>
            </w:r>
          </w:p>
        </w:tc>
        <w:tc>
          <w:tcPr>
            <w:tcW w:w="417" w:type="pct"/>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jc w:val="center"/>
              <w:rPr>
                <w:b/>
                <w:bCs/>
                <w:i w:val="0"/>
                <w:iCs w:val="0"/>
                <w:smallCaps w:val="0"/>
                <w:color w:val="000000"/>
              </w:rPr>
            </w:pPr>
            <w:r>
              <w:rPr>
                <w:b/>
                <w:bCs/>
                <w:i w:val="0"/>
                <w:iCs w:val="0"/>
                <w:smallCaps w:val="0"/>
                <w:color w:val="000000"/>
              </w:rPr>
              <w:t>Change Type</w:t>
            </w:r>
          </w:p>
        </w:tc>
        <w:tc>
          <w:tcPr>
            <w:tcW w:w="417" w:type="pct"/>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jc w:val="center"/>
              <w:rPr>
                <w:b/>
                <w:bCs/>
                <w:i w:val="0"/>
                <w:iCs w:val="0"/>
                <w:smallCaps w:val="0"/>
                <w:color w:val="000000"/>
              </w:rPr>
            </w:pPr>
            <w:r>
              <w:rPr>
                <w:b/>
                <w:bCs/>
                <w:i w:val="0"/>
                <w:iCs w:val="0"/>
                <w:smallCaps w:val="0"/>
                <w:color w:val="000000"/>
              </w:rPr>
              <w:t>Content Type</w:t>
            </w:r>
          </w:p>
        </w:tc>
        <w:tc>
          <w:tcPr>
            <w:tcW w:w="833" w:type="pct"/>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jc w:val="center"/>
              <w:rPr>
                <w:b/>
                <w:bCs/>
                <w:i w:val="0"/>
                <w:iCs w:val="0"/>
                <w:smallCaps w:val="0"/>
                <w:color w:val="000000"/>
              </w:rPr>
            </w:pPr>
            <w:r>
              <w:rPr>
                <w:b/>
                <w:bCs/>
                <w:i w:val="0"/>
                <w:iCs w:val="0"/>
                <w:smallCaps w:val="0"/>
                <w:color w:val="000000"/>
              </w:rPr>
              <w:t>Tag</w:t>
            </w:r>
          </w:p>
        </w:tc>
        <w:tc>
          <w:tcPr>
            <w:tcW w:w="833" w:type="pct"/>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jc w:val="center"/>
              <w:rPr>
                <w:b/>
                <w:bCs/>
                <w:i w:val="0"/>
                <w:iCs w:val="0"/>
                <w:smallCaps w:val="0"/>
                <w:color w:val="000000"/>
              </w:rPr>
            </w:pPr>
            <w:r>
              <w:rPr>
                <w:b/>
                <w:bCs/>
                <w:i w:val="0"/>
                <w:iCs w:val="0"/>
                <w:smallCaps w:val="0"/>
                <w:color w:val="000000"/>
              </w:rPr>
              <w:t>Notes</w:t>
            </w:r>
          </w:p>
        </w:tc>
        <w:tc>
          <w:tcPr>
            <w:tcW w:w="1667" w:type="pct"/>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jc w:val="center"/>
              <w:rPr>
                <w:b/>
                <w:bCs/>
                <w:i w:val="0"/>
                <w:iCs w:val="0"/>
                <w:smallCaps w:val="0"/>
                <w:color w:val="000000"/>
              </w:rPr>
            </w:pPr>
            <w:r>
              <w:rPr>
                <w:b/>
                <w:bCs/>
                <w:i w:val="0"/>
                <w:iCs w:val="0"/>
                <w:smallCaps w:val="0"/>
                <w:color w:val="000000"/>
              </w:rPr>
              <w:t>Text</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ARTÍCULO 29B Servicio de radiocomunicaciones relacionado con las observaciones de meteorología espacial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ARTÍCULO 54A Sistema de conexión automática</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(WRC-23)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(WRC-23)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5.82D Cuando se establecen estaciones costeras en el sistema NAVDAT en las frecuencias 500 kHz y 4 226 kHz, las condiciones de utilización de las frecuencias 500 kHz y 4 226 kHz se especifican en los Artículos 31 y 52. Se recomienda encarecidamente a las administraciones que coordinen las características de funcionamiento del sistema NAVDAT de conformidad con los procedimientos de la Organización Marítima Internacional (OMI) (véase la Resolución 364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`son frecuencias internacionales de socorro para telegrafía de impresión directa de banda estrecha. Las condiciones de utilización de estas frecuencias están descritas en el Artículo 31.`</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`se utilizan para el sistema de conexión automática (SCA), como se describe en la versión más reciente de la Recomendación UIT-R M.541.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5.137A Las frecuencias 6 337,5 kHz, 8 443 kHz, 12 663,5 kHz, 16 909,5 kHz y 22 450,5 kHz son las frecuencias regionales para la transmisión de información relativa a la seguridad (MSI) por el sistema NAVDAT (véanse los Apéndices 15 y 17).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5.159A La utilización de la banda de frecuencias 40-50 MHz por el servicio de exploración de la Tierra por satélite (activo) será conforme con las restricciones de zona geográfica y las condiciones técnicas y operativas definidas en la Resolución 677 (CMR-23). Lo dispuesto en este número en modo alguno exime al servicio de exploración de la Tierra por satélite (activo) de la obligación de funcionar como un servicio secundario de conformidad con los números 5.29 y 5.30.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309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En Mongolia, la banda de frecuencias 76-87,5 MHz está atribuida al servicio de radiodifusión a título primario; las estaciones del servicio de radiodifusión no causarán interferencia perjudicial a las estaciones de los servicios fijo y móvil existentes o previstas en los países vecinos, ni reclamarán protección contra las mismas.</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5.198A La utilización de la banda de frecuencias 117,975-137 MHz por el servicio móvil aeronáutico (R) por satélite está sujeta a coordinación en virtud del número 9.11A. El número 9.16 no es aplicable. Dicha utilización estará limitada a los sistemas de satélites no geoestacionarios cuyo funcionamiento se rige por las normas aeronáuticas internacionales. Se aplica la Resolución 406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5.198B La utilización de la banda de frecuencias 117,975-137 MHz por el servicio móvil aeronáutico (R) tendrá prioridad sobre su utilización por el servicio móvil aeronáutico (R) por satélite.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363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Nota de la Secretaría Esta Resolución ha sido revisada por la CMR-12.</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368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430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`Atribución sustitutiva: en Marruecos, la banda 162-174 MHz está atribuida, a título primario, al servicio de radiodifusión. Esta utilización estará sujeta al acuerdo con las administraciones cuyos servicios explotados o que se explotarán de conformidad con el presente Cuadro puedan resultar afectados. Las estaciones existentes el 1 de enero de 1981 con sus características técnicas en esa fecha no serán afectadas por este acuerdo.`</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484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521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5.295A Atribución adicional: En Albania, Alemania, Andorra, Austria, Bélgica, Bosnia y Herzegovina, Bulgaria, Chipre, Estado de la Ciudad del Vaticano, Croacia, Dinamarca, Estonia, Finlandia, Francia, Georgia, Grecia, Hungría, Irlanda, Islandia, Letonia, Liechtenstein, Lituania, Luxemburgo, Macedonia del Norte, Malta, Moldova, Mónaco, Montenegro, Noruega, Uzbekistán, Reino de los Países Bajos, Polonia, Portugal, Türkiye, Eslovaquia, República Checa, Rumania, Reino Unido, San Marino, Serbia, Eslovenia, Suecia, Suiza, Ucrania, la banda de frecuencias 470-694 MHz está atribuida a título secundario al servicio móvil, salvo móvil aeronáutico, sujeto a acuerdo en virtud del número 9.21. A fin de proteger el servicio de radiodifusión, las estaciones del servicio móvil no crearán una intensidad de campo durante más del 1% del tiempo, en el punto más elevado de los obstáculos del terreno o a 10 m por encima del nivel del suelo en la frontera del territorio de otra administración, que rebase el valor de la intensidad de campo calculada aplicando el § 4.1.3.2 del Anexo 2 del Acuerdo GE06 en relación con la tolerancia a la interferencia múltiple, el Cuadro A.1.10 y la metodología establecida en el Acuerdo GE06. Estos límites pueden rebasarse en el territorio de cualquier país cuya administración así lo haya acordado. Esta atribución no menoscabará el desarrollo de la radiodifusión ni perjudicará las nuevas entradas del servicio de radiodifusión en el Plan del Acuerdo GE06.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524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555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559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Arabia Saudita, Bahrein, Egipto, Emiratos Árabes Unidos, Iraq, Jordania, Kuwait, Omán, Palestina*, Qatar, República Árabe Siria, la banda de frecuencias 614-694 MHz está atribuida a título primario al servicio móvil, salvo móvil aeronáutico, y se ha identificado para las telecomunicaciones móviles internacionales (IMT) (véase la Resolución 224 (Rev.CMR-23)), sujeto al acuerdo en virtud del número 9.21. Las estaciones del servicio móvil no crearán una intensidad de campo durante más del 1% del tiempo en el punto más elevado de los obstáculos o a 10 m sobre el nivel del suelo en la frontera del territorio de cualquier otra administración que rebase el valor de intensidad de campo calculada aplicando el § 4.1.3.2 del Anexo 2 al Acuerdo GE06 en relación con la tolerancia a interferencias múltiples, el Cuadro A.1.10 y la metodología establecida en el Acuerdo GE06. Las estaciones del servicio móvil de los países enumerados en esta nota no causarán interferencia perjudicial a las estaciones de radiodifusión existentes y futuras de los países vecinos que funcionen de conformidad con el Plan GE06. Esta identificación no impide la utilización de estas bandas de frecuencias por cualquier aplicación de los servicios a los que están atribuidas ni establece prioridad alguna en el Reglamento de Radiocomunicaciones y no afectará en modo alguno al desarrollo del servicio de radiodifusión existente y futuro de conformidad con el Acuerdo GE06. En los países signatarios del Acuerdo GE06, la utilización de las estaciones del servicio móvil también está sujeta a la aplicación satisfactoria de los procedimientos de dicho Acuerdo. Esta atribución no establece prioridad alguna en el Reglamento de Radiocomunicaciones y permitirá la implementación y el desarrollo del servicio de radiodifusión de conformidad con el Acuerdo GE06. Los países enumerados en este número y situados en la Zona Africana de Radiodifusión deben garantizar la protección del servicio de radioastronomía en la banda de frecuencias 606-614 MHz atribuido en virtud del número 5.304, de conformidad con la versión más reciente de la Recomendación UIT-R RA.769. Los países enumerados en este número que sean vecinos de los países enumerados en el número 5.312 deben garantizar la protección del servicio de radionavegación aeronáutica en la banda de frecuencias 645-862 MHz.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560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5.307B Atribución adicional: En Gambia, Mauritania, Namibia, Nigeria, Senegal, Somalia, Chad, Tanzanía, la banda de frecuencias 614-694 MHz está atribuida al servicio móvil a título secundario. Las estaciones del servicio móvil no crearán una intensidad de campo durante más del 1% del tiempo, en el punto más elevado de los obstáculos del terreno y a 10 m por encima del nivel del suelo en la frontera del territorio de cualquier otra administración que rebase el valor de intensidad de campo calculada aplicando el § 4.1.3.2 del Anexo 2 del Acuerdo GE06 en relación con la tolerancia a interferencia múltiple, el Cuadro A.1.10 y la metodología que figura en el Acuerdo GE06. Esta atribución no menoscabará el desarrollo de la radiodifusión ni perjudicará las nuevas entradas del servicio de radiodifusión en el Plan GE06. Las administraciones que implementen estaciones en los servicios móviles utilizarán medidas adicionales para proteger las estaciones de radiodifusión de las administraciones vecinas, tales como una limitación de la distancia desde la frontera de un país vecino.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571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646-686 MHz,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575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`19). (CMR-19`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`5.312B La banda de frecuencias 698-960 MHz, o partes de la misma, en la Región 2, y la banda de frecuencias 694-960 MHz, o partes de la misma, en la Región 1, se han identificado para su utilización por estaciones en plataformas a gran altitud como estaciones base de las Telecomunicaciones Móviles Internacionales (IMT) (HIBS). Esta identificación no impide el uso de estas bandas de frecuencias por cualquier aplicación de los servicios a los que está atribuida ni establece prioridad alguna en el Reglamento de Radiocomunicaciones. Se aplicará la Resolución 213 (CMR-23). Las HIBS no reclamarán protección contra los servicios primarios existentes. No se aplica el número 5.43A, véase el resuelve 2 de la Resolución 213 (CMR-23). Dicha utilización de las HIBS en las bandas de frecuencias 694-728 MHz, 830-835 MHz y 805,3-806,9 MHz se limita a la recepción por las HIBS.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578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5.314A La banda de frecuencias 698-960 MHz, o partes de la misma, en Australia, Corea, Maldivas, Micronesia, Papua Nueva Guinea, Tonga y Vanuatu, la banda de frecuencias 703-733 MHz, 758-788 MHz, 890-915 MHz y 935-960 MHz, o partes de la misma, en China, , India, Indonesia, Japón, Corea (Rep. de), Malasia, Filipinas y Tailandia se ha identificado para su utilización por estaciones en plataforma a gran altitud como estaciones base de las Telecomunicaciones Móviles Internacionales (IMT) (HIBS). Esta identificación no impide el uso de estas bandas de frecuencias por cualquier aplicación de los servicios a los que están atribuidas ni establece prioridad alguna en el Reglamento de Radiocomunicaciones. Se aplicará la Resolución 213 (CMR-23). Las HIBS no reclamarán protección contra los servicios primarios existentes. No se aplica el número 5.43A, véase el resuelve 2 de la Resolución 213 (CMR-23). Dicha utilización de las bandas de frecuencias 698-728 MHz y 830-835 MHz por las HIBS se limita a la recepción.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619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CMR-19.</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Nota de la Secretaría Esta Resolución ha sido revisada por la CMR-19.</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5.332A Las administraciones que autoricen el funcionamiento de los servicios de aficionados y de aficionados por satélite en la banda de frecuencias 1 240-1 300 MHz, o en partes de la misma, velarán por que los servicios de aficionados y de aficionados por satélite no causen interferencia perjudicial a los receptores del servicio de radionavegación por satélite (espacio-Tierra) conforme a lo dispuesto en el número 5.29 del RR (véase la versión más reciente de la Recomendación UIT-R M.2164). Al recibir un informe de interferencia perjudicial causada por una estación del servicio de aficionados o de aficionados por satélite, la administración que haya autorizado su funcionamiento tomará todas las medidas necesarias para eliminar rápidamente la interferencia en cuestión.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636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657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674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Nota de la Secretaría Esta Resolución ha sido revisada por la CMR-15 y por la CMR-19.</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675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Nota de la Secretaría Esta Resolución ha sido revisada por la CMR-12.</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696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Nota de la Secretaría: Esta Resolución ha sido revisada por la CMR-07 y por la CMR-12.</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724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614,4225-1 618,725 MHz o 1 616,3-1 620,38 MHz (Tierra-espacio) (véase el resuelve 5 de la Resolución 365 (CMR-23) y 1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(CMR-19`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Al aplicar el procedimiento de la Sección II del Artículo 9, las disposiciones del número 4.10 no se aplicarán a las bandas de frecuencias 1 614,4225-1 618,725 MHz o 1 616,3-1 620,38 MHz (Tierraespacio) (véase el resuelve 5 de la Resolución 365 (CMR-23)) y 2 483,59-2 499,91 MHz (espacio-Tierra) para el servicio móvil marítimo por satélite cuando se utilicen para el SMSSM con redes o sistemas de satélites cuya información de coordinación completa haya recibido la Oficina de Radiocomunicaciones antes del 20 de noviembre de 2023. Será de aplicación la Resolución 365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727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5.372A El servicio móvil marítimo por satélite en las bandas de frecuencias 1 614,4225-1 618,725 MHz o 1 616,3-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728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1 620,38 MHz (Tierra-espacio) (véase el resuelve 5 de la Resolución 365 (CMR-23)) y 2 483,59-2 499,91 MHz (espacioTierra), cuando se utiliza para el Sistema Mundial de Socorro y Seguridad Marítimos (SMSSM), se limita a las redes de satélites geoestacionarios identificadas en la Resolución 365 (CMR-23) y sus estaciones terrenas asociadas situadas en una zona de servicio comprendida entre 75° E y 135° E de longitud y 10° N y 55° N de latitud. Es de aplicación la Resolución 365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746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En la banda 1 668-1 668,4 MHz, se aplicará la Resolución 904 (CMR-07). (CMR-07`</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750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y en la Rep. Pop. Dem. de Corea, la atribución de la banda de frecuencias 1 690-1 700 MHz al servicio fijo es a título primario (véase el número 5.33) y al servicio móvil, salvo móvil aeronáutico, a título secundario</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752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y en la Rep. Dem. de Corea, la atribución de la banda de frecuencias 1 690-1 700 MHz al servicio fijo es a título primario (véase el número 5.33) y al servicio móvil, salvo móvil aeronáutico, a título secundario</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821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`de acuerdo con la Resolución 221 (Rev.CMR-07). Su utilización por las aplicaciones IMT que empleen estaciones en plataformas a gran altitud como estaciones de base `</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`(HIBS). Esta identificación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824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(CMR-12)`</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Se aplicará la Resolución 221 (Rev.CMR-23). Las HIBS no reclamarán protección contra los servicios primarios existentes. No se aplica el número 5.43A. Esa utilización de las HIBS`</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1 710-1 785 MHz en las Regiones 1 y 2, y 1 710-1 815 MHz en la Región 3 está limitada a la recepción por las HIBS, y en la banda de frecuencias 2 110-2 170 MHz está limitada a la transmisión de las HIBS.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827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`a las que se refiere el número 5.388A, no rebasará la densidad de flujo de potencia en el mismo canal de –127 dB(W/(m2 · MHz)) en la superficie de la Tierra más allá de las fronteras del país salvo que la administración afectada otorgue su acuerdo explícito en el momento de la notificación de la estación en plataforma a gran altitud. (CMR-19`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`5.388B (SUP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835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Nota de la Secretaría: Esta Resolución ha sido revisada por la</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5.409A La banda de frecuencias 2 500-2 690 MHz en las Regiones 1 y 2 y la banda de frecuencias 2 500-</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873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2 655 MHz en la Región 3 se han identificado para su utilización por estaciones en plataformas a gran altitud como estaciones base de las Telecomunicaciones Móviles Internacionales (IMT) (HIBS). Esta identificación no impide la utilización de esta banda de frecuencias por cualquier aplicación de los servicios a los que está atribuida ni establece prioridad alguna en el Reglamento de Radiocomunicaciones. Se aplicará la Resolución 218 (CMR-23). Las HIBS no reclamarán protección contra los servicios primarios existentes. No se aplicará el número 5.43A. Dicho uso de las bandas de frecuencias 2 500-2 510 MHz en las Regiones 1 y 2, y 2 500-2 535 MHz en la Región 3 está limitado a la recepción por las HIBS.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948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`Chile, Colombia, Costa Rica`</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`Cuba`</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950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también atribuida a título primario al servicio móvil, salvo móvil aeronáutico. En Argentina, Brasil, Dominicana (Rep.), Guatemala, México Paraguay y Uruguay, la banda de frecuencias 3 300-3 400 MHz está también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`Argentina, Belice, Brasil, Chile, Colombia, Costa Rica, Dominicana (Rep.), El Salvador, Ecuador, Guatemala, México, Paraguay y Uruguay`</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`la utilización del servicio móvil, salvo el móvil aeronáutico, en`</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964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973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`5.429G Las estaciones del servicio móvil, salvo móvil aeronáutico, en la banda de frecuencias 3 300-3 400 MHz en la Región 2 no causarán interferencia perjudicial a los sistemas del servicio de radiolocalización, ni reclamarán protección contra los mismos.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997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5.433B En Angola, Botswana, Guinea, Lesotho, Malawi y Sudán del Sur, la banda de frecuencias 3 600-3 700 MHz está identificada para las Telecomunicaciones Móviles Internacionales (IMT). Esta identificación no impide la utilización de esta banda de frecuencias por cualquier aplicación de los servicios a los que está atribuida, ni establece prioridad alguna en el Reglamento de Radiocomunicaciones. Serán de aplicación las condiciones del número 5.434A.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998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`5.434 En Canadá, Chile, Colombia, Costa Rica El Salvador, Estados Unidos y Paraguay`</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`5.434 En la Región 2`</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1002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`En la etapa`</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`5.434A La utilización de la banda de frecuencias 3 600-3 800 MHz por el servicio móvil, salvo móvil aeronáutico, a título primario en la Región 1 está sujeta a la obtención del acuerdo en virtud del número 9.21 si se rebasa el límite de densidad de flujo de potencia (dfp) que se indica a continuación. Serán de aplicación asimismo en la fase`</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1005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`base o móvil de un sistema IMT, buscará el acuerdo en virtud del número 9.21 con otras administraciones y `</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`del servicio móvil en la banda de frecuencias 3 600-3 800 MHz, a fin de proteger las estaciones de los servicios fijo y fijo por satélite,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1017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(Edición de 2004)`</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`3 800 MHz está identificada para las Telecomunicaciones Móviles Internacionales (IMT). Esta identificación no impide la utilización de esta banda de frecuencias por cualquier aplicación de los servicios a los que está atribuida, ni establece prioridad alguna en el Reglamento de Radiocomunicaciones. Serán de aplicación las condiciones del número 5.434A`</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1019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5.435A Categoría de servicio diferente:En Angola, Botswana, Guinea, Lesotho, Malawi y Sudán del Sur, la banda de frecuencias 3 700-3 800 MHz está atribuida al servicio móvil a título secundario.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1020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5.435B En las Bahamas, Belice, Brasil, Canadá, Colombia, Costa Rica, Estados Unidos, Guatemala, los Departamentos y colectividades franceses de Ultramar de la Región 2, Groenlandia, los países y territorios de ultramar del Reino de los Países Bajos situados en la Región 2, Paraguay, Perú, Trinidad y Tabago y Uruguay, la banda de frecuencias 3 700-3 800 MHz está identificada para su utilización por cualquiera de estas Administraciones que desee implementar las Telecomunicaciones Móviles Internacionales (IMT). Esta identificación no impide la utilización de esta banda de frecuencias por cualquier aplicación de los servicios a los que está atribuida, y no establece prioridad alguna en el Reglamento de Radiocomunicaciones. Las administraciones que deseen implementar las IMT deberán obtener el acuerdo de los países vecinos para garantizar la protección del servicio fijo por satélite (espacio-Tierra).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1027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1037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1043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Colombia, Congo (Rep. del),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1102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5.457D En Camboya, R.D.P. Lao y Maldivas, la banda de frecuencias 6 425-7 025 MHz está identificada para la componente terrenal de las Telecomunicaciones Móviles Internacionales (IMT). Esta identificación no impide la utilización de esta banda de frecuencias por cualquier aplicación de los servicios a los que está atribuida ni establece prioridad alguna en el Reglamento de Radiocomunicaciones. Es de aplicación la Resolución 220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1105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5.457E Las bandas de frecuencias 6 425-7 125 MHz en la Región 1 y 7 025-7 125 MHz en la Región 3 están identificadas para su utilización por las administraciones que quieran implementar la componente terrenal de las Telecomunicaciones Móviles Internacionales (IMT). Esta identificación no impide la utilización de estas bandas de frecuencias por cualquier aplicación de los servicios a los que están atribuidas ni establece prioridad alguna en el Reglamento de Radiocomunicaciones. Es de aplicación la Resolución 220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5.457F En Brasil y México, la banda de frecuencias 6 425-7 125 MHz está identificada para la componente terrenal de las Telecomunicaciones Móviles Internacionales (IMT). La utilización de esta banda de frecuencias para la implementación de las IMT está sujeta a la obtención del acuerdo previsto en el número 9.21 de los países vecinos. Esta identificación no impide la utilización de esta banda de frecuencias por cualquier aplicación de los servicios a los que está atribuida ni establece prioridad alguna en el Reglamento de Radiocomunicaciones. Es de aplicación la Resolución 220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1137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5.461AC En la banda de frecuencias 7 375-7 750 MHz, los sistemas de satélites no geoestacionarios del servicio fijo por satélite para los que la Oficina haya recibido la información de coordinación o notificación completa, según el caso, a partir del 1 de enero de 2025 no causarán interferencia inaceptable a las redes de satélites geoestacionarios del servicio móvil marítimo por satélite que funcionen de conformidad con el presente Reglamento, ni reclamarán protección contra las mismas. No es de aplicación el número 5.43A.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1176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`Cuba, `</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`Colombia, Costa Rica, Cuba, República Dominicana,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Colombia, Costa Rica, México y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1182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`5.480A En los siguientes países de la Región 2: Brasil, Colombia, Costa Rica, Cuba, República Dominicana, Ecuador, Guatemala, Jamaica, México, Paraguay, Perú y Uruguay, la banda de frecuencias 10-10,5 GHz está identificada para la implementación de la componente terrenal de las Telecomunicaciones Móviles Internacionales (IMT). En México, la puesta en práctica de esta identificación está sujeta a la obtención de un acuerdo con los Estados Unidos en virtud del número 9.21. La utilización de la banda de frecuencias 10-10,5 GHz por las estaciones IMT del servicio móvil no reclamará protección contra los sistemas del servicio de radiolocalización. Esta identificación no impide la utilización de la banda de frecuencias por cualquier aplicación de los servicios a los que está atribuida ni establece prioridad alguna en el Reglamento de Radiocomunicaciones. Será de aplicación la Resolución 219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1183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Colombia, Costa Rica,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1189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En Costa Rica, la banda de frecuencias 10,45-10,5 GHz está también atribuida al servicio fijo a título primario.</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1192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1198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17,3-17,7 GHz (espacio-Tierra) en la Región 2,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1199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En la Región 2, el número 22.2 seguirá aplicándose a la banda de frecuencias 17,3-17,7 GHz.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1214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5.496A La banda de frecuencias 12,75-13,25 GHz (Tierra-espacio) puede ser utilizada por las estaciones terrenas en movimiento, siempre que se trate de estaciones terrenas a bordo de aeronaves y barcos, que comunican con estaciones espaciales geoestacionarias del servicio fijo por satélite. Será de aplicación la Resolución 121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1216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1272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5.510A La atribución a título primario de la banda de frecuencias 14,8-15,35 GHz al servicio de investigación espacial se limita a los sistemas de satélites que funcionan en los sentidos espacio-espacio, espacio-Tierra y Tierra-espacio a distancias desde la Tierra inferiores a 2 × 106 km, con arreglo a la Resolución 678 (CMR-23). Cualquier otro uso de la banda de frecuencias por el servicio de investigación espacial es a título secundario. La utilización de la banda de frecuencias 14,8-15,35 GHz por el servicio de investigación espacial (espacio-Tierra, Tierra-espacio) es a título secundario con respecto a los servicios terrenales en Argelia, Arabia Saudita, Bahrein, Corea (Rep. de), Egipto, Emiratos Árabes Unidos, Estados Unidos de América, India, Iraq, Japón, Kuwait, Libia, Marruecos, Mauritania, Omán, Qatar, República Árabe Siria, Túnez y Yemen.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1368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5.511G Las estaciones del servicio móvil aeronáutico (OR) que funcionan en la banda de frecuencias 15,41-15,7 GHz no causarán interferencia perjudicial al servicio de radioastronomía que funciona en la banda de frecuencias 15,35-15,4 GHz. La densidad de flujo de potencia (dfp) combinada recibida de las estaciones del servicio móvil aeronáutico (OR) que funcionan en la banda de frecuencias 15,41-15,7 GHz en cualquier estación de radioastronomía que funcione en la banda de frecuencias 15,35-15,4 GHz se ajustará a los criterios de protección previstos en las Recomendaciones UIT-R RA.769-2 y UIT-R RA.1513-2, salvo que las administraciones afectadas acuerden expresamente lo contrario.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1369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5.511H Atribución adicional: en Indonesia, la banda de frecuencias 15,41-15,7 GHz también está atribuida al servicio móvil aeronáutico (OR) a título secundario. Las estaciones del servicio móvil aeronáutico (OR) que funcionan en la banda de frecuencias 15,41-15,7 GHz no causarán interferencia perjudicial al servicio de radioastronomía que funciona en la banda de frecuencias 15,35-15,4 GHz. La densidad de flujo de potencia (dfp) combinada recibida de las estaciones del servicio móvil aeronáutico (OR) que funcionan en la banda de frecuencias 15,41-15,7 GHz en cualquier estación de radioastronomía que funcione en la banda de frecuencias 15,35-15,4 GHz se ajustará a los criterios de protección previstos en las Recomendaciones UIT-R RA.769-2 y UIT-R RA.1513-2, salvo que las administraciones afectadas acuerden expresamente lo contrario.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1372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17,3-18,4 GHz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1420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5.515A Además de la necesidad de respetar los criterios de coordinación recogidos en el Anexo 4 al Artículo 7 del Apéndice 30A, en condiciones supuestas de propagación en el espacio libre, la densidad de flujo de potencia de una asignación al servicio fijo por satélite (espacio-Tierra) de una red de satélites geoestacionarios en la banda de frecuencias 17,3-17,7 GHz en la Región 2 no rebasará el valor de −98 dB(W/(m2 · 27 MHz)) en los puntos de la órbita de los satélites geoestacionarios con ángulos de separación orbital geocéntrica comprendidos entre 152,6° y 162,6°.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5.515B En la banda de frecuencias 17,3-17,7 GHz, la utilización del servicio fijo por satélite (espacio-Tierra) por estaciones espaciales no geoestacionarias en la Región 2 no causará interferencia perjudicial a los receptores de las estaciones espaciales ni reclamará protección contra las estaciones terrenas de enlace de conexión del servicio de radiodifusión por satélite que funcionan con arreglo al Apéndice 30A en las tres Regiones, ni impondrá limitación y/o restricción alguna a la ubicación de las estaciones terrenas de enlace de conexión del servicio de radiodifusión por satélite dentro de la zona de servicio del enlace de conexión. La administración notificante del servicio fijo por satélite (espacioTierra), al presentar la información prevista en el Apéndice 4, enviará un compromiso firme, objetivo, factible, cuantificable y de carácter obligatorio de que, en caso de recibir un informe de interferencia perjudicial causada a los receptores de estaciones espaciales en virtud del Apéndice 30A, procederá de inmediato a eliminar esa interferencia o a reducirla a un nivel aceptable.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`5.517B El funcionamiento de las estaciones terrenas en movimiento aeronáuticas y marítimas que se comunican con estaciones espaciales no geoestacionarias del servicio fijo por satélite en las bandas de frecuencias 17,7-18,6 GHz, 18,8-19,3 GHz y 19,7-20,2 GHz (espacio-Tierra) y 27,5-29,1 GHz y 29,5-30 GHz (Tierra-espacio) estará sujeto a la aplicación de la Resolución 123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1437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5.521A Para la utilización de las bandas de frecuencias 18,1-18,6 GHz, 18,8-20,2 y 27,5-30 GHz, o partes de las mismas, por las estaciones espaciales del servicio entre satélites se aplicará la Resolución 679 (CMR-23). Dicha utilización se limita a las aplicaciones de investigación espacial, de operaciones espaciales y/o de exploración de la Tierra por satélite, así como a las transmisiones de datos procedentes de actividades industriales y médicas en el espacio. Al utilizar estas frecuencias, las administraciones garantizarán que este servicio entre satélites sólo se emplea para los fines antes mencionados y no está sujeto a coordinación en virtud del número 9.11A. Para la utilización de las bandas de frecuencias 18,1-18,6 GHz, 18,8-20,2 GHz, 27,5-29,1 y 29,5-30 GHz por estaciones espaciales, la atribución se limita a los enlaces entre satélites entre satélites no geoestacionarios o entre satélites no geoestacionarios y satélites geoestacionarios. Para la utilización de la banda de frecuencias 29,1-29,5 GHz por estaciones espaciales, la atribución se limita a los enlaces entre satélites entre satélites no geoestacionarios y satélites geoestacionarios. No se aplica el número 4.10.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5.523DA A fin de proteger los enlaces de conexión de las redes no geoestacionarias del servicio móvil por satélite en la banda de frecuencias 19,3-19,7 GHz, los valores de densidad de flujo de potencia producida en la superficie de la Tierra para todos los ángulos de incidencia por una estación espacial del servicio entre satélites que funciona en esta banda de conformidad con la Resolución 679 (CMR-23) no rebasarán los −140 dB(W/m2) en cualquier 1 MHz dentro de un radio de 150 km entorno a cualquiera de las estaciones terrenas de enlace de conexión mencionadas anteriormente inscritas en el Registro Internacional de Frecuencias.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1470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5.529A En las bandas de frecuencias 20,2-21,2 GHz and 30-31 GHz, los sistemas de satélites no geoestacionarios para los que la Oficina haya recibido la información de coordinación o notificación completa, según el caso, a partir del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1473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1497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`5.338A 5.532AB`</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`(OR) en la banda de frecuencias 22-22,2 GHz se limita a aplicaciones no relacionadas con la seguridad.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1502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`5.338A 5.532AB RADIONAVEGACIÓN`</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`(OR) que funcionan en la banda de frecuencias 22-22,2 GHz están sujetas a la obtención del acuerdo en virtud del número 9.21 con respecto al servicio fijo y no causarán interferencia perjudicial al servicio fijo ni reclamarán protección contra el mismo. Se utilizarán los siguientes valores de densidad de flujo de potencia (dfp) como umbral para la coordinación con arreglo al número 9.21:`</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−110 dB(W/(m2 · MHz)) para 0° ≤ θ ≤ 12,6°</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2,86 θ − 146 dB(W/(m2 · MHz)) para 12.6° &lt; θ ≤ 15°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0,87 θ − 116 dB(W/(m2 · MHz)) para 15° &lt; θ ≤ 30°</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1519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0,067 θ − 92 dB(W/(m2 · MHz)) para 30° &lt; θ ≤ 90°</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5.531C Las estaciones del servicio móvil aeronáutico (OR) que funcionan en la banda de frecuencias 22-22,2 GHz no causarán interferencia perjudicial al servicio de radioastronomía que funciona en la banda de frecuencias 22,21-22,5 GHz. La densidad de flujo de potencia (dfp) combinada recibida de estas estaciones en cualquier estación de radioastronomía que funcione en la banda de frecuencias 22,21-22,5 GHz se ajustará a los criterios de protección previstos en las Recomendaciones UIT-R RA.769-2 y UIT-R RA.1513-2, salvo que las administraciones afectadas acuerden expresamente lo contrario.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5.531D La utilización del servicio móvil aeronáutico (OR) en la banda de frecuencias 22-22,2 GHz fuera de las fronteras nacionales no causará interferencia perjudicial a los servicios de otros países que funcionen de conformidad con el Cuadro de atribución de bandas de frecuencias, ni reclamará protección contra los mismos.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5.531E Atribución sustitutiva: en Brunei Darussalam, Irán (República Islámica de), Malasia, Singapur y Tailandia, la banda de frecuencias 22-22,2 GHz está atribuida a título primario al servicio móvil, salvo móvil aeronáutico (R). La utilización del servicio se limita a aplicaciones no relacionadas con la seguridad dentro de las fronteras nacionales. La utilización del servicio móvil aeronáutico (OR) en la banda de frecuencias 22-22,2 GHz no causará interferencia perjudicial a los servicios de otros países que funcionen de conformidad con el Cuadro de atribución de bandas de frecuencias, ni reclamará protección contra los mismos. Además, las estaciones del servicio móvil aeronáutico (OR) que funcionan en la banda de frecuencias 22-22,2 GHz no causarán interferencia perjudicial al servicio de radioastronomía que utiliza la banda de frecuencias 22,21-22,5 GHz en otros países de conformidad con el Cuadro de atribución de bandas de frecuencias. La densidad de flujo de potencia (dfp) combinada recibida de estas estaciones en cualquier estación de radioastronomía que funcione en la banda de frecuencias 22,21-22,5 GHz se ajustará a los criterios de protección previstos en las Recomendaciones UIT-R RA.769-2 y UIT-R RA.1513-2, salvo que las administraciones afectadas acuerden expresamente lo contrario. Para proteger las estaciones del servicio de exploración de la Tierra por satélite (pasivo) que funcionan en la banda de frecuencias 22,21-22,5 GHz, la potencia isotrópica radiada equivalente (p.i.r.e.) no deseada de las estaciones del servicio móvil aeronáutico (OR) no deberá rebasar los −23 dBW en ninguna banda de 100 MHz en la banda de frecuencias 22,21-22,5 GHz.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Las estaciones de aeronave del servicio móvil aeronáutico (OR) que funcionan en la banda de frecuencias 22-22,2 GHz están sujetas a la obtención del acuerdo en virtud del número 9.21 con respecto al servicio fijo y no causarán interferencia perjudicial al servicio fijo ni reclamarán protección contra el mismo. Se utilizarán los siguientes valores de dfp como umbral para la coordinación con arreglo al número 9.21:</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 10 dB(W/(m2 · MHz)) para 0° ≤ θ ≤ 12,6°</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2,86 θ − 146 dB(W/(m2 · MHz)) para 12,6° &lt; θ ≤ 15°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0,87 θ − 1 16 dB(W/(m2 · MHz)) para 15° &lt; θ ≤ 30°</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1529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0,067 θ − 92 dB(W/(m2 · MHz)) para 30° &lt; θ ≤ 90°</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1532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5.531F Para proteger las estaciones del servicio de exploración de la Tierra por satélite (pasivo) que funciona en la banda de frecuencias 22,21-22,5 GHz, la potencia isotrópica radiada equivalente (p.i.r.e.) no deseada de las estaciones del servicio móvil aeronáutico (OR) no deberá rebasar los −23 dBW en ninguna banda de 100 MHz en la banda de frecuencias 22,21-22,5 GHz.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1544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24,45-24,75 GHz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De conformidad con la Resolución 99 (Rev. Dubái, 2018) de la Conferencia de Plenipotenciarios y habida cuenta del Acuerdo provisional entre Israel y Palestina de 28 de septiembre de 1995.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1630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(véase la Resolución 75 (CMR-2000)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1639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Nota de la Secretaría: Esta Resolución ha sido revisada por la CMR-12.</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1653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5.550CA La densidad de p.i.r.e. de las emisiones no deseadas de los sistemas de satélites no geoestacionarios del servicio fijo por satélite que funcionen con una altitud de apogeo superior a 407 km e inferior a 2 000 km en la banda de frecuencias 37,5-38 GHz no rebasará los −21 dB(W/100 MHz) por estación espacial en ángulos superiores a 65,0° desde el nadir con respecto a la estación espacial del servicio fijo por satélite en la banda de frecuencias 36-37 GHz a fin de proteger el servicio de exploración de la Tierra por satélite (pasivo) que utiliza esta última banda de frecuencias.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1658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1740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193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5.563A Las bandas 200-209 GHz, 235-238 GHz, 250-252 GHz y 265-275 GHz son utilizadas por sensores pasivos en tierra para efectuar mediciones atmosféricas destinadas al monitoreo de los constituyentes atmosféricos. (CMR-2000)</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1753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5.563A Las bandas 200-209 GHz, 235-238 GHz, 250-252 GHz y 265-275 GHz son utilizadas por sensores pasivos en tierra para efectuar mediciones atmosféricas destinadas al monitoreo de los constituyentes atmosféricos. (CMR-2000)</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1754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5.563AA En la banda de frecuencias 235-238 GHz, las estaciones del servicio de exploración de la Tierra por satélite (pasivo) no reclamarán protección contra las estaciones de los servicios fijo y móvil. (CMR -23)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1791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`Una vez recibida toda la información enviada de conformidad con el número 9.30, la Oficina deberá facilitar, utilizando las características básicas de la solicitud de coordinación, una descripción general de la red o del sistema para su publicación anticipada en una Sección especial. Las características que deberán facilitarse con este fin se indican en el Apéndice 4. (`</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1793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9.2C (SUP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1799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1831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28 9.52.1 En el caso de redes o sistemas de satélites no sujetos al procedimiento de coordinación con arreglo a la Sección II del Artículo 9, toda administración que considere que pueden causar una interferencia inaceptable a sus redes o sistemas de satélites existentes o planificados puede enviar sus comentarios a la administración solicitante. Podrá enviarse también a la Oficina copia de dichos comentarios. No obstante, estos comentarios, por sí mismos, no constituirán un desacuerdo con arreglo a lo indicado en el número 9.52. A continuación, ambas administraciones intentarán cooperar conjuntamente para resolver cualquier dificultad que se suscite, con la asistencia de la Oficina si así lo solicita cualquiera de las partes, e intercambiarán la información adicional pertinente de que pueda disponerse. (CMR-15)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1836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i) sus redes o sistemas de satélites existentes o planificados no sujetos al procedimiento de coordinación de la Sección II del Artículo 9 pueden recibir una interferencia inaceptable, o</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1837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ii) sus redes o sistemas de satélites existentes o planificados sujetos a la Sección II del Artículo 9 pueden recibir una interferencia inaceptable procedente de una asignación de frecuencias nueva a una estación espacial sujeta a la presente Sección únicamente en lo que respecta a los servicios terrenales, o</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1838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iii) sus redes o sistemas de satélites existentes o planificados sujetos a la Sección II del Artículo 9 pueden recibir una interferencia inaceptable procedente de una asignación de frecuencias nueva a una estación espacial sujeta a la presente Sección únicamente en lo que respecta a la lista de administraciones que se indica en la correspondiente nota del Artículo 5 y en la que no figura la administración potencialmente afectada,</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1858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Véase asimismo la Resolución 905 (CMR-07)***. (CMR-07)`</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(WRC-23)`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1859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Nota de la Secretaría: Esta Resolución ha sido abrogada por la CMR-12.</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1907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`(CMR-19`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`A los efectos del número 11.44C, será de aplicación la Resolución 8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1926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`(CMR-19`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`A los efectos del número 11.49.2, será de aplicación la Resolución 8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1934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`23) y la Resolución 8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1985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o en la banda de 1 645,5-1 646,5 MHz, o de las RLS que emplean técnicas de llamada selectiva digital,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2035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`véase la Resolución 27 (Rev.CMR-03)*).`</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2036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Nota de la Secretaría: Esta Resolución ha sido revisada por la CMR-07, por la CMR-12 y por la CMR-19.</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2040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`véase la Resolución 27 (Rev.CMR-03)*).`</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2041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Nota de la Secretaría: Esta Resolución ha sido revisada por la CMR-07, por la CMR-12 y por la CMR-19</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2048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24,75 GHz (Regiones 1 y 3) 24,75-25,25 GHz (para la Región 3) 25,25-</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2049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293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NOTA: En una futura Conferencia competente se podrá considerar la inclusión en el Cuadro 21-2 de bandas de frecuencias adicionales por encima de 29,5 GHz.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2094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27,500-27,501 GHz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2100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300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27,500-27,501 GHz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2105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300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 MHz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300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27,5-30,0 GHz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2111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300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 MHz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2112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300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 MHz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2113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1 MHz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2159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304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26 21.16.19 Se aplicará la metodología incluida en el Anexo 2 a la Resolución 679 (CMR-23) para calcular la dfp producida en la superficie de la Tierra por las emisiones de una estación espacial no geoestacionaria que transmite en la banda de frecuencias 27,5-,30,0 GHz.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2188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311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8bis 22.5C.13 Dans la Région 2, un système à satellites non géostationnaires du service fixe par satellite doit respecter les limites de ce tableau pour la bande de fréquences 17,3-17,7 GHz vis-à-vis des systèmes à satellites géostationnaires du service de radiodiffusion par satellite et doit utiliser les diagrammes de référence figurant dans la Recommandation UIT-R BO.1443-3.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2232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318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19bis 22.5F.4 Un système à satellites non géostationnaires fonctionnant dans la Région 1 ou 2, quelle que soit sa position sur l'orbite, doit respecter les limites de ce tableau pour la bande de fréquences 17,3-17,7 GHz vis-à-vis d'une station spatiale de réception d'une liaison de connexion du service de radiodiffusion par satellite de l'Appendice 30A, dans les trois Régions.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2310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2313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2318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2373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2376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ARTÍCULO 29B</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2379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29B.2 §2 En la Resolución 675 (CMR-23) se destaca la importancia de las observaciones de meteorología espacial y su designación de servicio.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2395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333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o en 161,975 MHz (SIA 1 del Apéndice 18) y 162,025 MHz (SIA 2 del Apéndice 18).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2429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`2) Al acusar recibo por telegrafía de impresión directa de una alerta de socorro procedente de una estación de barco, el acuse de recibo se dará de la siguiente manera:`</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2450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24 Las estaciones costeras, y las estaciones de barco con equipo de impresión directa de banda estrecha, se pondrán a la escucha en la frecuencia de impresión directa de banda estrecha asociada con la alerta de socorro si ésta indica que va a utilizarse la impresión directa de banda estrecha para posteriores comunicaciones de socorro. Si es posible, debe ponerse además a la escucha en la frecuencia radiotelefónica asociada con la frecuencia de alerta de socorro. (`</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2452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27 1) En el tráfico de socorro por telegrafía de impresión directa se emplearán las técnicas de corrección de errores indicadas en las Recomendaciones UIT-R pertinentes. Todos los mensajes irán precedidos de por lo menos un retorno de carro, una señal de cambio de renglón, una señal de paso a letras y la señal de socorro MAYDAY.`</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2456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361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32.44 (SUP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2461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`b) en telegrafía de impresión directa de banda estrecha en que se usa normalmente el modo de corrección de errores sin canal de retorno, la señal SILENCE MAYDAY. No obstante, podrá emplearse el modo ARQ cuando sea más conveniente.`</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2469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362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32.53 (SUP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2491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`La frecuencia 2 174,5 kHz puede utilizarse también para las comunicaciones`</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`10 32.55.1,32.56.1 y 32.59.1 De acuerdo con el Convenio Internacional sobre Búsqueda y Salvamento Marítimos (1979) se trata de la autoridad`</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2516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349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`2) En telegrafía de impresión directa de banda estrecha, el mensaje de urgencia irá precedido de la señal de urgencia (véase el número 33.10) y de la identificación de la estación transmisora.`</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2519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350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9 1) En los mensajes de urgencia por telegrafía de impresión directa se emplearán las técnicas de corrección de errores indicadas en las Recomendaciones UIT-R pertinentes. Todos los mensajes irán precedidos de por lo menos un retorno del carro, una señal de cambio de renglón, una señal de paso a letras y la señal de urgencia PAN PAN.`</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2520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350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`33.18 2)Normalmente, el establecimiento de comunicaciones de urgencia en telegrafía de impresión directa será iniciado en el modo difusión (con corrección de errores sin canal de retorno). Cuando sea más conveniente podrá emplearse el modo ARQ (de corrección de errores con canal de retorno`</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`33.18 (SUP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2541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353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`2) En telegrafía de impresión directa de banda estrecha, el mensaje de seguridad irá precedido de la señal de seguridad (véase el número 33.33), y de la identificación de la estación transmisora.`</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2543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371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33.37 (SUP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353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`33.38 2) Normalmente, el establecimiento de las comunicaciones de seguridad en telegrafía de impresión directa será iniciado en el modo de difusión (con corrección de errores sin canal de retorno). Cuando sea más conveniente podrá emplearse el modo ARQ (de corrección de errores con canal de retorno`</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`33.38 (SUP -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2561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33.46B § 24A Cuando la información de seguridad marítima se difunda mediante el sistema NAVDAT internacional, teniendo en cuenta el número 33.40A, se utilizará la frecuencia 500 kHz y/o la frecuencia 4 226 kHz (véase el Apéndice 15).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2568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En la transmisión de la información de seguridad marítima mediante el sistema NAVDAT se utilizan las frecuencias 6 337,5 kHz, 8 443 kHz, 12 663,5 kHz, 16 909,5 kHz y 22 450,5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2577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y 2 483,59-2 499,91 MHz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2578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354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(CMR-19`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Cuando el servicio móvil marítimo por satélite en la banda de frecuencias 2 483,59-2 499,91 MHz se utilice para el sistema mundial de socorro y seguridad marítimos (SMSSM) será de aplicación la Resolución 365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2581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373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614,4225-1 618,725 MHz o 1 616,3-1 620,38 MHz (Tierra-espacio) (véase el resuelve 5 de la Resolución 365 (CMR-23)), 1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2583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373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y 2 483,59-2 499,91 MHz (espacio-Tierra)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2585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354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(CMR-19`</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`1 614,4225-1 618,725 MHz o 1 616,3-1 620,38 MHz (Tierra-espacio) (véase el resuelve 5 de la Resolución 365 (CMR-23)) y 2 483,59-2 499,91 MHz (espacio-Tierra) se utilicen para el SMSSM, será de aplicación la Resolución 365 (CMR-23).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393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Nota de la SecretaríaEsta Resolución ha sido revisada por la `</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2674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Todas las estaciones de barco provistas de equipos de telegrafía de impresión directa de banda estrecha para la recepción de información relativa a la seguridad marítima (MSI) en las bandas autorizadas entre 4 000 kHz y 27 500 kHz deberán estar en condiciones de recibir emisiones de clase F1B o J2B en las frecuencias de trabajo de cada una de las bandas del servicio móvil marítimo en ondas decamétricas cuando sea necesario para la prestación de su servicio.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2684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51.64B E1– Bandas comprendidas entre 415 kHz y 535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2685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51.64C § 24A Todas las estaciones de barco provistas de equipos NAVDAT para la recepción de transmisiones de datos digitales en las bandas autorizadas entre 415 kHz y 535 kHz deberán estar en condiciones de recibir emisiones de la clase W7D en 500 kHz, si cumplen con las disposiciones del Capítulo VII.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2690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51.64D E2 – Bandas comprendidas entre 4 000 kHz y 27 500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2691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51.64E § 24B Todas las estaciones de barco provistas de equipos NAVDAT para la recepción de transmisiones de datos digitales en las bandas autorizadas entre 4 000 kHz y 27 500 kHz deberán estar en condiciones de recibir emisiones de la clase W7D, si cumplen con las disposiciones del Capítulo VII.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2698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En el servicio móvil marítimo, no se efectuarán asignaciones en la frecuencia de 500 kHz salvo para la transmisión por las estaciones costeras de boletines meteorológicos, avisos a navegantes e informaciones urgentes a los buques por medio del sistema NAVDAT internacional.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2 578-2 850 kHz: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3 155-3 200 kHz: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3 200-3 340 kHz: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3 340-3 400 kHz: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3 500-3 600 kHz: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3 600-3 800 kHz: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 2 578-2 850 kHz: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2709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 3 155-3 200 kHz: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2710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 3 200-3 340 kHz: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2711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 3 340-3 400 kHz: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2712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 3 500-3 600 kHz: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2713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xml:space="preserve">– 3 600-3 800 kHz: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2714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52.13A § 6A En el servicio móvil marítimo, en la frecuencia de 4 226 kHz sólo se efectuarán asignaciones para la transmisión por las estaciones costeras de avisos a navegantes, boletines meteorológicos e información urgente con destino a barcos mediante el sistema NAVDAT internacional.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Deleted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 salvo lo estipulado en el Apéndice 15 y la Resolución 354 (CMR-07)</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2726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407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`que trabajen `</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`para el tráfico general en las bandas de frecuencias autorizadas comprendidas entre 4 000 kHz y 27 500 kHz deben de estar en condiciones de transmitir y recibir emisiones de clase F1B o J2B para su servicio según se especifica en el número 51.49. Todas las estaciones de barco provistas de equipos de telegrafía de impresión directa de banda estrecha para la recepción de MSI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2768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52.162C B – Bandas comprendidas entre 1 606,5 kHz y 4 000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2769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52.162D § 73B La frecuencia de transmisión y recepción del sistema de conexión automática (SCA) tanto para las estaciones de barco como para las estaciones costeras es 2 174,5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2770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52.162E C – Bandas comprendidas entre 4 000 kHz y 27 500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2771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 xml:space="preserve">52.162F § 73C Las frecuencias de transmisión y recepción del sistema de conexión automática (SCA) tanto para las estaciones de barco como para las estaciones costeras son 4 177,5 kHz, </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2772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6 268 kHz, 8 376,5 kHz, 12 520 kHz y 16 695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2834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415 kHz y 526,5 kHz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2836</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52.262B La clase de emisión que se ha de utilizar para la transmisión de datos en las bandas de frecuencias comprendidas entre 415 kHz y 526,5 kHz debe ser conforme a la versión más reciente de la Recomendación UIT-R M.2010. Las estaciones costeras y las estaciones de barco utilizarán los sistemas radioeléctricos especificados en la versión más reciente de la Recomendación UIT-R M.2010.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2841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423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`esta sección`</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`las bandas de frecuencias comprendidas entre 4 000 kHz y 27 500 kHz`</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2845</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52.265A Las estaciones costeras que utilicen la clase de emisión de conformidad con la versión más reciente de la Recomendación UIT-R M.2058 en las bandas de frecuencias comprendidas entre 4 000 kHz y 27 500 kHz no rebasarán una potencia media en los valores siguientes.</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2848</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4 MHz 5 kW</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2849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6 MHz 5 kW</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2850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8 MHz 10 kW 12 MHz 10 kW 16 MHz 10 kW</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2851</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18/19 MHz 10 kW</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2852</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444</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22 MHz 10 kW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2863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449</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ARTÍCULO 54A</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2897</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440</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Replaced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FFC9CB"/>
              </w:rPr>
              <w:t>`.`</w:t>
            </w:r>
            <w:r>
              <w:rPr>
                <w:b w:val="0"/>
                <w:bCs w:val="0"/>
                <w:i w:val="0"/>
                <w:iCs w:val="0"/>
                <w:smallCaps w:val="0"/>
                <w:color w:val="000000"/>
                <w:shd w:val="clear" w:color="auto" w:fill="FFFFFF"/>
              </w:rPr>
              <w:t xml:space="preserve"> changed to </w:t>
            </w:r>
            <w:r>
              <w:rPr>
                <w:b w:val="0"/>
                <w:bCs w:val="0"/>
                <w:i w:val="0"/>
                <w:iCs w:val="0"/>
                <w:smallCaps w:val="0"/>
                <w:color w:val="212121"/>
                <w:shd w:val="clear" w:color="auto" w:fill="C0D8EF"/>
              </w:rPr>
              <w:t>` y la CMR-23. 17 Nota de la Secretaría: Esta Resolución ha sido revisada por la CMR-23.`</w:t>
            </w:r>
          </w:p>
        </w:tc>
      </w:tr>
      <w:tr>
        <w:tblPrEx>
          <w:tblW w:w="5000" w:type="pct"/>
        </w:tblPrEx>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2903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463</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Inserted</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Text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000000"/>
              </w:rPr>
              <w:t>-</w:t>
            </w:r>
          </w:p>
        </w:tc>
        <w:tc>
          <w:tcPr>
            <w:tcW w:w="495" w:type="dxa"/>
            <w:tcBorders>
              <w:top w:val="single" w:sz="6" w:space="0" w:color="000000"/>
              <w:left w:val="single" w:sz="6" w:space="0" w:color="000000"/>
              <w:bottom w:val="single" w:sz="6" w:space="0" w:color="000000"/>
              <w:right w:val="single" w:sz="6" w:space="0" w:color="000000"/>
            </w:tcBorders>
            <w:noWrap w:val="0"/>
            <w:tcMar>
              <w:top w:w="15" w:type="dxa"/>
              <w:left w:w="22" w:type="dxa"/>
              <w:bottom w:w="15" w:type="dxa"/>
              <w:right w:w="22" w:type="dxa"/>
            </w:tcMar>
            <w:vAlign w:val="center"/>
            <w:hideMark/>
          </w:tcPr>
          <w:p>
            <w:pPr>
              <w:rPr>
                <w:b w:val="0"/>
                <w:bCs w:val="0"/>
                <w:i w:val="0"/>
                <w:iCs w:val="0"/>
                <w:smallCaps w:val="0"/>
                <w:color w:val="000000"/>
              </w:rPr>
            </w:pPr>
            <w:r>
              <w:rPr>
                <w:b w:val="0"/>
                <w:bCs w:val="0"/>
                <w:i w:val="0"/>
                <w:iCs w:val="0"/>
                <w:smallCaps w:val="0"/>
                <w:color w:val="212121"/>
                <w:shd w:val="clear" w:color="auto" w:fill="C0D8EF"/>
              </w:rPr>
              <w:t>aplicación en la Resolución:</w:t>
            </w:r>
          </w:p>
        </w:tc>
      </w:tr>
    </w:tbl>
    <w:p>
      <w:pPr>
        <w:rPr>
          <w:rFonts w:ascii="Times New Roman" w:eastAsia="Times New Roman" w:hAnsi="Times New Roman" w:cs="Times New Roman"/>
          <w:i w:val="0"/>
          <w:color w:val="auto"/>
        </w:rPr>
      </w:pPr>
    </w:p>
    <w:sectPr>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theme" Target="theme/theme1.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Draftable_version" pid="2">
    <vt:lpwstr>26.2.0.0</vt:lpwstr>
  </property>
  <property fmtid="{D5CDD505-2E9C-101B-9397-08002B2CF9AE}" name="Draftable_timestamp" pid="3">
    <vt:lpwstr>2026-03-03T21:49:14</vt:lpwstr>
  </property>
  <property fmtid="{D5CDD505-2E9C-101B-9397-08002B2CF9AE}" name="Draftable_originalFile" pid="4">
    <vt:lpwstr>2020-RR-Vol1-856.pdf</vt:lpwstr>
  </property>
  <property fmtid="{D5CDD505-2E9C-101B-9397-08002B2CF9AE}" name="Draftable_originalVersion" pid="5">
    <vt:lpwstr>N/A</vt:lpwstr>
  </property>
  <property fmtid="{D5CDD505-2E9C-101B-9397-08002B2CF9AE}" name="Draftable_originalSHA256" pid="6">
    <vt:lpwstr>bc49bc264d69c92e9e4ecad4285473ea5032775fc6ee082b24a4eec13b03f5fa</vt:lpwstr>
  </property>
  <property fmtid="{D5CDD505-2E9C-101B-9397-08002B2CF9AE}" name="Draftable_modifiedFile" pid="7">
    <vt:lpwstr>2024-RR-Vol1-281.pdf</vt:lpwstr>
  </property>
  <property fmtid="{D5CDD505-2E9C-101B-9397-08002B2CF9AE}" name="Draftable_modifiedVersion" pid="8">
    <vt:lpwstr>N/A</vt:lpwstr>
  </property>
  <property fmtid="{D5CDD505-2E9C-101B-9397-08002B2CF9AE}" name="Draftable_modifiedSHA256" pid="9">
    <vt:lpwstr>f1ad8b67430b85e399ce1e938240112b231f8c4b101437c59a1bacd5e136b040</vt:lpwstr>
  </property>
</Properties>
</file>