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Cambios presentados entre el reglamento de radiodifusión del 2020 y 2024</w:t>
      </w:r>
    </w:p>
    <w:p/>
    <w:p>
      <w:pPr>
        <w:jc w:val="both"/>
      </w:pPr>
      <w:r>
        <w:t>La Conferencia Mundial de Radiocomunicaciones de 2023 (CMR-23) ha introducido actualizaciones significativas en el Reglamento de Radiocomunicaciones, reflejando la evolución tecnológica y las necesidades operativas. Los ejes temáticos principales de esta revisión incluyen la modernización de las comunicaciones marítimas con la introducción de los sistemas NAVDAT y de Conexión Automática (SCA), y la supresión de la telegrafía de impresión directa de banda estrecha. Se han identificado nuevas bandas de frecuencias para las Telecomunicaciones Móviles Internacionales (IMT), incluyendo el uso de estaciones en plataformas a gran altitud (HIBS), con la consiguiente definición de condiciones de atribución, coordinación y protección. El ámbito de los servicios por satélite ha experimentado una expansión con nuevas atribuciones y condiciones para el servicio móvil aeronáutico por satélite (AMS(R)S), el servicio fijo por satélite (FSS) tanto geoestacionario como no geoestacionario, y el servicio entre satélites, incorporando límites de densidad de flujo de potencia (dfp) y potencia isotrópica radiada equivalente (p.i.r.e.). Se ha reforzado la protección de los servicios pasivos, como la radioastronomía y la exploración de la Tierra por satélite (pasivo), mediante la imposición de nuevos límites y condiciones a los servicios activos adyacentes. Además, se ha formalizado el servicio de radiocomunicaciones relacionado con las observaciones de meteorología espacial y se han actualizado las condiciones para el servicio móvil aeronáutico (OR). Finalmente, se han suprimido varios procedimientos y métodos de comunicación considerados obsoletos.</w:t>
      </w:r>
    </w:p>
    <w:p/>
    <w:p>
      <w:r>
        <w:rPr>
          <w:rFonts w:ascii="Arial" w:hAnsi="Arial"/>
          <w:b/>
        </w:rPr>
        <w:t>Detalle de los cambios realizados:</w:t>
      </w:r>
    </w:p>
    <w:p/>
    <w:p>
      <w:pPr>
        <w:jc w:val="both"/>
      </w:pPr>
      <w:r>
        <w:rPr>
          <w:rFonts w:ascii="Arial" w:hAnsi="Arial"/>
          <w:b/>
        </w:rPr>
        <w:t>1. Nuevo Artículo sobre Meteorología Espacial (pág. 8, 345)</w:t>
      </w:r>
    </w:p>
    <w:p>
      <w:pPr>
        <w:jc w:val="both"/>
      </w:pPr>
      <w:r>
        <w:t>Se introduce el Artículo 29B, estableciendo formalmente el servicio de radiocomunicaciones relacionado con las observaciones de meteorología espacial, destacando su importancia y designación de servicio según la Resolución 675 (CMR-23). Esto reconoce la creciente necesidad de monitorear y comprender el entorno espacial para la seguridad y fiabilidad de los sistemas de radiocomunicaciones.</w:t>
      </w:r>
    </w:p>
    <w:p/>
    <w:p>
      <w:pPr>
        <w:jc w:val="both"/>
      </w:pPr>
      <w:r>
        <w:rPr>
          <w:rFonts w:ascii="Arial" w:hAnsi="Arial"/>
          <w:b/>
        </w:rPr>
        <w:t>2. Nuevo Artículo sobre Sistema de Conexión Automática (SCA) (pág. 9, 449)</w:t>
      </w:r>
    </w:p>
    <w:p>
      <w:pPr>
        <w:jc w:val="both"/>
      </w:pPr>
      <w:r>
        <w:t>Se añade el Artículo 54A, que regula el Sistema de Conexión Automática (SCA). Este cambio es fundamental para la modernización de las comunicaciones marítimas, reemplazando métodos más antiguos y mejorando la eficiencia y fiabilidad de las comunicaciones en el servicio móvil marítimo.</w:t>
      </w:r>
    </w:p>
    <w:p/>
    <w:p>
      <w:pPr>
        <w:jc w:val="both"/>
      </w:pPr>
      <w:r>
        <w:rPr>
          <w:rFonts w:ascii="Arial" w:hAnsi="Arial"/>
          <w:b/>
        </w:rPr>
        <w:t>3. Uso de Frecuencias para NAVDAT Marítimo (pág. 58, 67, 425, 426)</w:t>
      </w:r>
    </w:p>
    <w:p>
      <w:pPr>
        <w:jc w:val="both"/>
      </w:pPr>
      <w:r>
        <w:t>Se establecen las condiciones para el uso de las frecuencias 500 kHz y 4 226 kHz por estaciones costeras en el sistema NAVDAT para la transmisión de información de seguridad marítima (MSI), boletines meteorológicos y avisos a navegantes. Además, se identifican las frecuencias regionales 6 337,5 kHz, 8 443 kHz, 12 663,5 kHz, 16 909,5 kHz y 22 450,5 kHz para la transmisión de MSI por NAVDAT. Esto moderniza la difusión de información crítica para la seguridad marítima.</w:t>
      </w:r>
    </w:p>
    <w:p/>
    <w:p>
      <w:pPr>
        <w:jc w:val="both"/>
      </w:pPr>
      <w:r>
        <w:rPr>
          <w:rFonts w:ascii="Arial" w:hAnsi="Arial"/>
          <w:b/>
        </w:rPr>
        <w:t>4. Cambio en el Uso de Frecuencias de Socorro Marítimo (pág. 61)</w:t>
      </w:r>
    </w:p>
    <w:p>
      <w:pPr>
        <w:jc w:val="both"/>
      </w:pPr>
      <w:r>
        <w:t>La descripción de las frecuencias de socorro para telegrafía de impresión directa de banda estrecha se modifica para indicar que ahora se utilizan para el Sistema de Conexión Automática (SCA), según la Recomendación UIT-R M.541. Esto refleja un cambio tecnológico y operativo en las comunicaciones de socorro marítimo.</w:t>
      </w:r>
    </w:p>
    <w:p/>
    <w:p>
      <w:pPr>
        <w:jc w:val="both"/>
      </w:pPr>
      <w:r>
        <w:rPr>
          <w:rFonts w:ascii="Arial" w:hAnsi="Arial"/>
          <w:b/>
        </w:rPr>
        <w:t>5. Atribución para Servicio de Exploración de la Tierra por Satélite (Activo) (pág. 78)</w:t>
      </w:r>
    </w:p>
    <w:p>
      <w:pPr>
        <w:jc w:val="both"/>
      </w:pPr>
      <w:r>
        <w:t>Se añade la nota 5.159A, que permite la utilización de la banda 40-50 MHz por el servicio de exploración de la Tierra por satélite (activo) bajo restricciones geográficas y condiciones técnicas/operativas definidas en la Resolución 677 (CMR-23), manteniendo su carácter secundario.</w:t>
      </w:r>
    </w:p>
    <w:p/>
    <w:p>
      <w:pPr>
        <w:jc w:val="both"/>
      </w:pPr>
      <w:r>
        <w:rPr>
          <w:rFonts w:ascii="Arial" w:hAnsi="Arial"/>
          <w:b/>
        </w:rPr>
        <w:t>6. Atribuciones y Prioridad para Servicio Móvil Aeronáutico (R) por Satélite (pág. 86)</w:t>
      </w:r>
    </w:p>
    <w:p>
      <w:pPr>
        <w:jc w:val="both"/>
      </w:pPr>
      <w:r>
        <w:t>Se introducen las notas 5.198A y 5.198B. La 5.198A permite el uso de la banda 117,975-137 MHz por el servicio móvil aeronáutico (R) por satélite (NGSO) sujeto a coordinación y la Resolución 406 (CMR-23). La 5.198B establece que el servicio móvil aeronáutico (R) terrestre tendrá prioridad sobre el servicio por satélite en esta banda, clarificando el orden de uso.</w:t>
      </w:r>
    </w:p>
    <w:p/>
    <w:p>
      <w:pPr>
        <w:jc w:val="both"/>
      </w:pPr>
      <w:r>
        <w:rPr>
          <w:rFonts w:ascii="Arial" w:hAnsi="Arial"/>
          <w:b/>
        </w:rPr>
        <w:t>7. Supresión de Atribución en Marruecos (162-174 MHz) (pág. 93)</w:t>
      </w:r>
    </w:p>
    <w:p>
      <w:pPr>
        <w:jc w:val="both"/>
      </w:pPr>
      <w:r>
        <w:t>Se suprime la atribución sustitutiva de la banda 162-174 MHz al servicio de radiodifusión a título primario en Marruecos. Esto simplifica el Cuadro de Atribución y elimina una excepción regional específica.</w:t>
      </w:r>
    </w:p>
    <w:p/>
    <w:p>
      <w:pPr>
        <w:jc w:val="both"/>
      </w:pPr>
      <w:r>
        <w:rPr>
          <w:rFonts w:ascii="Arial" w:hAnsi="Arial"/>
          <w:b/>
        </w:rPr>
        <w:t>8. Atribuciones Adicionales para Servicio Móvil (IMT) en Bandas UHF (pág. 106, 108)</w:t>
      </w:r>
    </w:p>
    <w:p>
      <w:pPr>
        <w:jc w:val="both"/>
      </w:pPr>
      <w:r>
        <w:t>Se añaden las notas 5.295A, 5.307B y se modifica la nota para Arabia Saudita y otros países. Estas notas atribuyen o identifican las bandas 470-694 MHz y 614-694 MHz para el servicio móvil (excepto móvil aeronáutico), a título secundario o primario, respectivamente, en varias regiones (Europa, África, Oriente Medio). Se establecen condiciones de protección para el servicio de radiodifusión (Acuerdo GE06) y, en algunos casos, para la radioastronomía y la radionavegación aeronáutica. Esto facilita la expansión de las Telecomunicaciones Móviles Internacionales (IMT).</w:t>
      </w:r>
    </w:p>
    <w:p/>
    <w:p>
      <w:pPr>
        <w:jc w:val="both"/>
      </w:pPr>
      <w:r>
        <w:rPr>
          <w:rFonts w:ascii="Arial" w:hAnsi="Arial"/>
          <w:b/>
        </w:rPr>
        <w:t>9. Identificación de HIBS en Bandas de 698-960 MHz (pág. 104, 109)</w:t>
      </w:r>
    </w:p>
    <w:p>
      <w:pPr>
        <w:jc w:val="both"/>
      </w:pPr>
      <w:r>
        <w:t>Se introduce la nota 5.312B para las Regiones 1 y 2, y la nota 5.314A para la Región 3 (Asia-Pacífico), identificando las bandas 698-960 MHz (o partes de ellas) para su utilización por estaciones en plataformas a gran altitud como estaciones base de IMT (HIBS). Se especifica que esta identificación no impide otros usos ni establece prioridad, y que las HIBS no reclamarán protección contra servicios primarios existentes, con limitaciones de recepción en ciertas sub-bandas.</w:t>
      </w:r>
    </w:p>
    <w:p/>
    <w:p>
      <w:pPr>
        <w:jc w:val="both"/>
      </w:pPr>
      <w:r>
        <w:rPr>
          <w:rFonts w:ascii="Arial" w:hAnsi="Arial"/>
          <w:b/>
        </w:rPr>
        <w:t>10. Protección de RNSS frente a Servicios de Aficionados (pág. 113)</w:t>
      </w:r>
    </w:p>
    <w:p>
      <w:pPr>
        <w:jc w:val="both"/>
      </w:pPr>
      <w:r>
        <w:t>La nota 5.332A exige a las administraciones que autoricen servicios de aficionados y de aficionados por satélite en la banda 1 240-1 300 MHz que aseguren que no causen interferencia perjudicial a los receptores del servicio de radionavegación por satélite (espacio-Tierra), de acuerdo con la Recomendación UIT-R M.2164.</w:t>
      </w:r>
    </w:p>
    <w:p/>
    <w:p>
      <w:pPr>
        <w:jc w:val="both"/>
      </w:pPr>
      <w:r>
        <w:rPr>
          <w:rFonts w:ascii="Arial" w:hAnsi="Arial"/>
          <w:b/>
        </w:rPr>
        <w:t>11. Regulación del SMSSM en Bandas L y S (pág. 117, 122, 354, 373)</w:t>
      </w:r>
    </w:p>
    <w:p>
      <w:pPr>
        <w:jc w:val="both"/>
      </w:pPr>
      <w:r>
        <w:t>Se modifican y añaden notas (5.372A y texto asociado) para regular el uso del servicio móvil marítimo por satélite (SMSSM) en las bandas 1 614,4225-1 618,725 MHz o 1 616,3-1 620,38 MHz (Tierra-espacio) y 2 483,59-2 499,91 MHz (espacio-Tierra). Se limita su uso a redes de satélites geoestacionarios identificadas en la Resolución 365 (CMR-23) y se establecen condiciones de coordinación, incluyendo la no aplicación del número 4.10 para sistemas notificados antes del 20 de noviembre de 2023.</w:t>
      </w:r>
    </w:p>
    <w:p/>
    <w:p>
      <w:pPr>
        <w:jc w:val="both"/>
      </w:pPr>
      <w:r>
        <w:rPr>
          <w:rFonts w:ascii="Arial" w:hAnsi="Arial"/>
          <w:b/>
        </w:rPr>
        <w:t>12. Identificación y Regulación de HIBS en Bandas de 1.7-2.1 GHz (pág. 122, 127)</w:t>
      </w:r>
    </w:p>
    <w:p>
      <w:pPr>
        <w:jc w:val="both"/>
      </w:pPr>
      <w:r>
        <w:t>Se modifica la regulación para la identificación de HIBS en las bandas 1 710-1 785 MHz (Regiones 1 y 2), 1 710-1 815 MHz (Región 3) y 2 110-2 170 MHz. Se especifica que las HIBS no reclamarán protección contra servicios primarios existentes y se limita su uso a la recepción en las bandas de 1.7 GHz y a la transmisión en la banda de 2.1 GHz. Además, se suprime la nota 5.388B que contenía un límite de densidad de flujo de potencia.</w:t>
      </w:r>
    </w:p>
    <w:p/>
    <w:p>
      <w:pPr>
        <w:jc w:val="both"/>
      </w:pPr>
      <w:r>
        <w:rPr>
          <w:rFonts w:ascii="Arial" w:hAnsi="Arial"/>
          <w:b/>
        </w:rPr>
        <w:t>13. Identificación de HIBS en Bandas de 2.5-2.6 GHz (pág. 131)</w:t>
      </w:r>
    </w:p>
    <w:p>
      <w:pPr>
        <w:jc w:val="both"/>
      </w:pPr>
      <w:r>
        <w:t>La nota 5.409A identifica las bandas 2 500-2 690 MHz (Regiones 1 y 2) y 2 500-2 655 MHz (Región 3) para HIBS, bajo la Resolución 218 (CMR-23). Se establecen limitaciones para la recepción por HIBS en ciertas sub-bandas y se reitera que no reclamarán protección contra servicios primarios.</w:t>
      </w:r>
    </w:p>
    <w:p/>
    <w:p>
      <w:pPr>
        <w:jc w:val="both"/>
      </w:pPr>
      <w:r>
        <w:rPr>
          <w:rFonts w:ascii="Arial" w:hAnsi="Arial"/>
          <w:b/>
        </w:rPr>
        <w:t>14. Atribuciones y Protección para IMT en Bandas de 3.3-3.8 GHz (pág. 131, 132, 134, 139, 140)</w:t>
      </w:r>
    </w:p>
    <w:p>
      <w:pPr>
        <w:jc w:val="both"/>
      </w:pPr>
      <w:r>
        <w:t>Se realizan múltiples cambios para las bandas 3 300-3 400 MHz y 3 600-3 800 MHz. Se atribuyen o identifican estas bandas para el servicio móvil (IMT) en varias regiones y países (ej. Argentina, Brasil, Región 2, países africanos). Se establecen condiciones de no interferencia y no protección con respecto a los servicios de radiolocalización y fijo por satélite, así como límites de densidad de flujo de potencia (dfp) y requisitos de acuerdo (9.21) para la protección de servicios existentes.</w:t>
      </w:r>
    </w:p>
    <w:p/>
    <w:p>
      <w:pPr>
        <w:jc w:val="both"/>
      </w:pPr>
      <w:r>
        <w:rPr>
          <w:rFonts w:ascii="Arial" w:hAnsi="Arial"/>
          <w:b/>
        </w:rPr>
        <w:t>15. Identificación de IMT Terrenal en Bandas de 6.4-7.1 GHz (pág. 148, 149)</w:t>
      </w:r>
    </w:p>
    <w:p>
      <w:pPr>
        <w:jc w:val="both"/>
      </w:pPr>
      <w:r>
        <w:t>Las notas 5.457D, 5.457E y 5.457F identifican las bandas 6 425-7 025 MHz y 6 425-7 125 MHz para la componente terrenal de IMT en varios países (Camboya, R.D.P. Lao, Maldivas, Brasil, México) y en las Regiones 1 y 3. Se aplica la Resolución 220 (CMR-23) y se requiere acuerdo con países vecinos en algunos casos.</w:t>
      </w:r>
    </w:p>
    <w:p/>
    <w:p>
      <w:pPr>
        <w:jc w:val="both"/>
      </w:pPr>
      <w:r>
        <w:rPr>
          <w:rFonts w:ascii="Arial" w:hAnsi="Arial"/>
          <w:b/>
        </w:rPr>
        <w:t>16. Protección de GSO MSS frente a NGSO FSS (pág. 153)</w:t>
      </w:r>
    </w:p>
    <w:p>
      <w:pPr>
        <w:jc w:val="both"/>
      </w:pPr>
      <w:r>
        <w:t>La nota 5.461AC establece que los sistemas de satélites no geoestacionarios del servicio fijo por satélite en la banda 7 375-7 750 MHz, notificados a partir del 1 de enero de 2025, no causarán interferencia inaceptable a las redes de satélites geoestacionarios del servicio móvil marítimo por satélite ni reclamarán protección.</w:t>
      </w:r>
    </w:p>
    <w:p/>
    <w:p>
      <w:pPr>
        <w:jc w:val="both"/>
      </w:pPr>
      <w:r>
        <w:rPr>
          <w:rFonts w:ascii="Arial" w:hAnsi="Arial"/>
          <w:b/>
        </w:rPr>
        <w:t>17. Identificación de IMT Terrenal en Banda de 10-10.5 GHz (pág. 151)</w:t>
      </w:r>
    </w:p>
    <w:p>
      <w:pPr>
        <w:jc w:val="both"/>
      </w:pPr>
      <w:r>
        <w:t>La nota 5.480A identifica la banda 10-10,5 GHz para la implementación de la componente terrenal de IMT en varios países de la Región 2. Se especifica que las estaciones IMT no reclamarán protección contra los sistemas de radiolocalización y se aplica la Resolución 219 (CMR-23).</w:t>
      </w:r>
    </w:p>
    <w:p/>
    <w:p>
      <w:pPr>
        <w:jc w:val="both"/>
      </w:pPr>
      <w:r>
        <w:rPr>
          <w:rFonts w:ascii="Arial" w:hAnsi="Arial"/>
          <w:b/>
        </w:rPr>
        <w:t>18. Uso de Estaciones Terrenas en Movimiento (ESIM) en FSS (pág. 161, 164)</w:t>
      </w:r>
    </w:p>
    <w:p>
      <w:pPr>
        <w:jc w:val="both"/>
      </w:pPr>
      <w:r>
        <w:t>La nota 5.496A permite el uso de estaciones terrenas a bordo de aeronaves y barcos (ESIM) en la banda 12,75-13,25 GHz (Tierra-espacio) para comunicarse con satélites geoestacionarios del FSS, bajo la Resolución 121 (CMR-23). La nota 5.517B extiende esta capacidad para ESIM aeronáuticas y marítimas con NGSO FSS en varias bandas de 17.7-30 GHz, bajo la Resolución 123 (CMR-23).</w:t>
      </w:r>
    </w:p>
    <w:p/>
    <w:p>
      <w:pPr>
        <w:jc w:val="both"/>
      </w:pPr>
      <w:r>
        <w:rPr>
          <w:rFonts w:ascii="Arial" w:hAnsi="Arial"/>
          <w:b/>
        </w:rPr>
        <w:t>19. Regulación del Servicio de Investigación Espacial (pág. 169)</w:t>
      </w:r>
    </w:p>
    <w:p>
      <w:pPr>
        <w:jc w:val="both"/>
      </w:pPr>
      <w:r>
        <w:t>La nota 5.510A limita la atribución primaria de la banda 14,8-15,35 GHz al servicio de investigación espacial para sistemas que operan a distancias inferiores a 2 × 10^6 km, según la Resolución 678 (CMR-23). Otros usos son secundarios, y se especifica su carácter secundario respecto a servicios terrenales en varios países.</w:t>
      </w:r>
    </w:p>
    <w:p/>
    <w:p>
      <w:pPr>
        <w:jc w:val="both"/>
      </w:pPr>
      <w:r>
        <w:rPr>
          <w:rFonts w:ascii="Arial" w:hAnsi="Arial"/>
          <w:b/>
        </w:rPr>
        <w:t>20. Protección de Radioastronomía frente a Servicio Móvil Aeronáutico (OR) (pág. 171)</w:t>
      </w:r>
    </w:p>
    <w:p>
      <w:pPr>
        <w:jc w:val="both"/>
      </w:pPr>
      <w:r>
        <w:t>Las notas 5.511G y 5.511H establecen que las estaciones del servicio móvil aeronáutico (OR) en la banda 15,41-15,7 GHz no causarán interferencia perjudicial al servicio de radioastronomía en 15,35-15,4 GHz, con criterios de protección basados en Recomendaciones UIT-R RA.769-2 y RA.1513-2. La nota 5.511H añade una atribución secundaria para este servicio en Indonesia.</w:t>
      </w:r>
    </w:p>
    <w:p/>
    <w:p>
      <w:pPr>
        <w:jc w:val="both"/>
      </w:pPr>
      <w:r>
        <w:rPr>
          <w:rFonts w:ascii="Arial" w:hAnsi="Arial"/>
          <w:b/>
        </w:rPr>
        <w:t>21. Límites de DFP y Protección para FSS en 17.3-17.7 GHz (pág. 172, 173)</w:t>
      </w:r>
    </w:p>
    <w:p>
      <w:pPr>
        <w:jc w:val="both"/>
      </w:pPr>
      <w:r>
        <w:t>Las notas 5.515A y 5.515B introducen límites de densidad de flujo de potencia (dfp) para el FSS (espacio-Tierra) de redes GSO en la banda 17,3-17,7 GHz en la Región 2. Además, se establece que el FSS (espacio-Tierra) de estaciones espaciales NGSO en esta banda no causará interferencia perjudicial a los enlaces de conexión del servicio de radiodifusión por satélite (BSS) y debe comprometerse a eliminar dicha interferencia.</w:t>
      </w:r>
    </w:p>
    <w:p/>
    <w:p>
      <w:pPr>
        <w:jc w:val="both"/>
      </w:pPr>
      <w:r>
        <w:rPr>
          <w:rFonts w:ascii="Arial" w:hAnsi="Arial"/>
          <w:b/>
        </w:rPr>
        <w:t>22. Regulación del Servicio Entre Satélites (pág. 174, 176)</w:t>
      </w:r>
    </w:p>
    <w:p>
      <w:pPr>
        <w:jc w:val="both"/>
      </w:pPr>
      <w:r>
        <w:t>La nota 5.521A establece las condiciones para el uso de las bandas 18,1-18,6 GHz, 18,8-20,2 GHz y 27,5-30 GHz por el servicio entre satélites, limitado a aplicaciones de investigación espacial, operaciones espaciales, exploración de la Tierra por satélite y transmisiones de datos industriales/médicos, bajo la Resolución 679 (CMR-23). La nota 5.523DA impone un límite de dfp para las emisiones no deseadas de estaciones espaciales del servicio entre satélites en 19,3-19,7 GHz para proteger los enlaces de conexión del servicio móvil por satélite.</w:t>
      </w:r>
    </w:p>
    <w:p/>
    <w:p>
      <w:pPr>
        <w:jc w:val="both"/>
      </w:pPr>
      <w:r>
        <w:rPr>
          <w:rFonts w:ascii="Arial" w:hAnsi="Arial"/>
          <w:b/>
        </w:rPr>
        <w:t>23. Coordinación de NGSO FSS en Bandas de 20-31 GHz (pág. 177)</w:t>
      </w:r>
    </w:p>
    <w:p>
      <w:pPr>
        <w:jc w:val="both"/>
      </w:pPr>
      <w:r>
        <w:t>La nota 5.529A establece que los sistemas de satélites no geoestacionarios del FSS, cuya información de coordinación o notificación se reciba a partir del 1 de enero de 2025, deben cumplir con nuevas condiciones en las bandas 20,2-21,2 GHz y 30-31 GHz.</w:t>
      </w:r>
    </w:p>
    <w:p/>
    <w:p>
      <w:pPr>
        <w:jc w:val="both"/>
      </w:pPr>
      <w:r>
        <w:rPr>
          <w:rFonts w:ascii="Arial" w:hAnsi="Arial"/>
          <w:b/>
        </w:rPr>
        <w:t>24. Regulación y Protección para Servicio Móvil Aeronáutico (OR) en 22-22.2 GHz (pág. 168, 180)</w:t>
      </w:r>
    </w:p>
    <w:p>
      <w:pPr>
        <w:jc w:val="both"/>
      </w:pPr>
      <w:r>
        <w:t>Se introducen varias notas (5.531C, 5.531D, 5.531E, 5.531F) y se modifica el texto para el servicio móvil aeronáutico (OR) en la banda 22-22,2 GHz. Se limita su uso a aplicaciones no relacionadas con la seguridad, se establecen límites de densidad de flujo de potencia (dfp) para la coordinación con el servicio fijo, y se imponen condiciones estrictas para proteger el servicio de radioastronomía (22,21-22,5 GHz) y el servicio de exploración de la Tierra por satélite (pasivo) en la misma banda, incluyendo límites de p.i.r.e. no deseada.</w:t>
      </w:r>
    </w:p>
    <w:p/>
    <w:p>
      <w:pPr>
        <w:jc w:val="both"/>
      </w:pPr>
      <w:r>
        <w:rPr>
          <w:rFonts w:ascii="Arial" w:hAnsi="Arial"/>
          <w:b/>
        </w:rPr>
        <w:t>25. Límites de PIRE no Deseada para NGSO FSS (pág. 189)</w:t>
      </w:r>
    </w:p>
    <w:p>
      <w:pPr>
        <w:jc w:val="both"/>
      </w:pPr>
      <w:r>
        <w:t>La nota 5.550CA establece un límite de densidad de p.i.r.e. de las emisiones no deseadas de los sistemas de satélites no geoestacionarios del FSS en la banda 37,5-38 GHz para proteger el servicio de exploración de la Tierra por satélite (pasivo) en la banda 36-37 GHz.</w:t>
      </w:r>
    </w:p>
    <w:p/>
    <w:p>
      <w:pPr>
        <w:jc w:val="both"/>
      </w:pPr>
      <w:r>
        <w:rPr>
          <w:rFonts w:ascii="Arial" w:hAnsi="Arial"/>
          <w:b/>
        </w:rPr>
        <w:t>26. Protección de EESS (Pasivo) en 235-238 GHz (pág. 208)</w:t>
      </w:r>
    </w:p>
    <w:p>
      <w:pPr>
        <w:jc w:val="both"/>
      </w:pPr>
      <w:r>
        <w:t>La nota 5.563AA especifica que las estaciones del servicio de exploración de la Tierra por satélite (pasivo) en la banda 235-238 GHz no reclamarán protección contra las estaciones de los servicios fijo y móvil. Esto clarifica el estatus de protección en esta banda.</w:t>
      </w:r>
    </w:p>
    <w:p/>
    <w:p>
      <w:pPr>
        <w:jc w:val="both"/>
      </w:pPr>
      <w:r>
        <w:rPr>
          <w:rFonts w:ascii="Arial" w:hAnsi="Arial"/>
          <w:b/>
        </w:rPr>
        <w:t>27. Supresión de Procedimientos de Publicación Anticipada (pág. 206, 220)</w:t>
      </w:r>
    </w:p>
    <w:p>
      <w:pPr>
        <w:jc w:val="both"/>
      </w:pPr>
      <w:r>
        <w:t>Se suprimen los procedimientos de publicación anticipada para redes o sistemas de satélites no sujetos a coordinación (número 9.2C y texto asociado). Esto agiliza los procesos al eliminar un paso que ya no se considera necesario para ciertos tipos de sistemas.</w:t>
      </w:r>
    </w:p>
    <w:p/>
    <w:p>
      <w:pPr>
        <w:jc w:val="both"/>
      </w:pPr>
      <w:r>
        <w:rPr>
          <w:rFonts w:ascii="Arial" w:hAnsi="Arial"/>
          <w:b/>
        </w:rPr>
        <w:t>28. Aplicación de la Resolución 8 (CMR-23) en Procedimientos de Notificación (pág. 230, 233, 234)</w:t>
      </w:r>
    </w:p>
    <w:p>
      <w:pPr>
        <w:jc w:val="both"/>
      </w:pPr>
      <w:r>
        <w:t>Se actualizan las referencias en los números 11.44C, 11.49.2 y otros para indicar que la Resolución 8 (CMR-23) es aplicable. Esta resolución probablemente introduce nuevas directrices o aclaraciones para los procedimientos de notificación y registro de asignaciones de frecuencias.</w:t>
      </w:r>
    </w:p>
    <w:p/>
    <w:p>
      <w:pPr>
        <w:jc w:val="both"/>
      </w:pPr>
      <w:r>
        <w:rPr>
          <w:rFonts w:ascii="Arial" w:hAnsi="Arial"/>
          <w:b/>
        </w:rPr>
        <w:t>29. Actualización de la Resolución 27 (pág. 277, 278)</w:t>
      </w:r>
    </w:p>
    <w:p>
      <w:pPr>
        <w:jc w:val="both"/>
      </w:pPr>
      <w:r>
        <w:t>Se actualiza la referencia a la Resolución 27 (Rev.CMR-23), lo que implica cambios en las disposiciones relativas a la utilización de las bandas de frecuencias por los servicios de radiodifusión por satélite y fijo por satélite.</w:t>
      </w:r>
    </w:p>
    <w:p/>
    <w:p>
      <w:pPr>
        <w:jc w:val="both"/>
      </w:pPr>
      <w:r>
        <w:rPr>
          <w:rFonts w:ascii="Arial" w:hAnsi="Arial"/>
          <w:b/>
        </w:rPr>
        <w:t>30. Metodología para Cálculo de DFP en 27.5-30.0 GHz (pág. 304)</w:t>
      </w:r>
    </w:p>
    <w:p>
      <w:pPr>
        <w:jc w:val="both"/>
      </w:pPr>
      <w:r>
        <w:t>El número 21.16.19 introduce la aplicación de la metodología del Anexo 2 a la Resolución 679 (CMR-23) para calcular la densidad de flujo de potencia (dfp) producida en la superficie de la Tierra por las emisiones de estaciones espaciales no geoestacionarias en la banda 27,5-30,0 GHz. Esto estandariza la evaluación de interferencias.</w:t>
      </w:r>
    </w:p>
    <w:p/>
    <w:p>
      <w:pPr>
        <w:jc w:val="both"/>
      </w:pPr>
      <w:r>
        <w:rPr>
          <w:rFonts w:ascii="Arial" w:hAnsi="Arial"/>
          <w:b/>
        </w:rPr>
        <w:t>31. Protección de Satélites GSO BSS frente a NGSO FSS en 17.3-17.7 GHz (pág. 311, 318)</w:t>
      </w:r>
    </w:p>
    <w:p>
      <w:pPr>
        <w:jc w:val="both"/>
      </w:pPr>
      <w:r>
        <w:t>Los números 22.5C.13 y 22.5F.4 establecen que los sistemas de satélites no geoestacionarios del FSS en la Región 2 deben respetar límites de dfp en la banda 17,3-17,7 GHz para proteger a los sistemas de satélites geoestacionarios del BSS y a las estaciones espaciales de recepción de enlaces de conexión del BSS (Apéndice 30A).</w:t>
      </w:r>
    </w:p>
    <w:p/>
    <w:p>
      <w:pPr>
        <w:jc w:val="both"/>
      </w:pPr>
      <w:r>
        <w:rPr>
          <w:rFonts w:ascii="Arial" w:hAnsi="Arial"/>
          <w:b/>
        </w:rPr>
        <w:t>32. Frecuencias AIS Adicionales (pág. 333)</w:t>
      </w:r>
    </w:p>
    <w:p>
      <w:pPr>
        <w:jc w:val="both"/>
      </w:pPr>
      <w:r>
        <w:t>Se añade el uso de 161,975 MHz (SIA 1) y 162,025 MHz (SIA 2) del Apéndice 18, lo que amplía las capacidades del Sistema de Identificación Automática (AIS) en el servicio móvil marítimo.</w:t>
      </w:r>
    </w:p>
    <w:p/>
    <w:p>
      <w:pPr>
        <w:jc w:val="both"/>
      </w:pPr>
      <w:r>
        <w:rPr>
          <w:rFonts w:ascii="Arial" w:hAnsi="Arial"/>
          <w:b/>
        </w:rPr>
        <w:t>33. Supresión de Telegrafía de Impresión Directa de Banda Estrecha (NBDP) (pág. 341, 343, 344, 349, 350, 353, 361, 362, 371)</w:t>
      </w:r>
    </w:p>
    <w:p>
      <w:pPr>
        <w:jc w:val="both"/>
      </w:pPr>
      <w:r>
        <w:t>Se suprimen múltiples secciones y números (32.44, 32.53, 33.18, 33.37, 33.38 y textos relacionados) que regulaban el uso de la telegrafía de impresión directa de banda estrecha (NBDP) para comunicaciones de socorro, urgencia y seguridad. Esto marca un cambio fundamental en los métodos de comunicación del Sistema Mundial de Socorro y Seguridad Marítimos (SMSSM), favoreciendo tecnologías más modernas.</w:t>
      </w:r>
    </w:p>
    <w:p/>
    <w:p>
      <w:pPr>
        <w:jc w:val="both"/>
      </w:pPr>
      <w:r>
        <w:rPr>
          <w:rFonts w:ascii="Arial" w:hAnsi="Arial"/>
          <w:b/>
        </w:rPr>
        <w:t>34. Requisitos de Equipo para Estaciones de Barco (pág. 407, 421, 422, 423)</w:t>
      </w:r>
    </w:p>
    <w:p>
      <w:pPr>
        <w:jc w:val="both"/>
      </w:pPr>
      <w:r>
        <w:t>Se actualizan los requisitos para las estaciones de barco. Ahora, las estaciones con equipos de telegrafía de impresión directa de banda estrecha para MSI en 4 000-27 500 kHz deben poder recibir emisiones F1B o J2B. Además, se introducen los números 51.64B a 51.64E, exigiendo que las estaciones de barco con equipos NAVDAT en las bandas 415-535 kHz y 4 000-27 500 kHz puedan recibir emisiones de clase W7D, lo que estandariza la recepción de datos digitales.</w:t>
      </w:r>
    </w:p>
    <w:p/>
    <w:p>
      <w:pPr>
        <w:jc w:val="both"/>
      </w:pPr>
      <w:r>
        <w:rPr>
          <w:rFonts w:ascii="Arial" w:hAnsi="Arial"/>
          <w:b/>
        </w:rPr>
        <w:t>35. Frecuencias y Clases de Emisión para SCA (pág. 434, 444)</w:t>
      </w:r>
    </w:p>
    <w:p>
      <w:pPr>
        <w:jc w:val="both"/>
      </w:pPr>
      <w:r>
        <w:t>Se especifican las frecuencias de transmisión y recepción para el Sistema de Conexión Automática (SCA) en las bandas 1 606,5-4 000 kHz (2 174,5 kHz) y 4 000-27 500 kHz (4 177,5 kHz, 6 268 kHz, 8 376,5 kHz, 12 520 kHz y 16 695 kHz). También se establecen las clases de emisión para la transmisión de datos en 415-526,5 kHz según la Recomendación UIT-R M.2010.</w:t>
      </w:r>
    </w:p>
    <w:p/>
    <w:p>
      <w:pPr>
        <w:jc w:val="both"/>
      </w:pPr>
      <w:r>
        <w:rPr>
          <w:rFonts w:ascii="Arial" w:hAnsi="Arial"/>
          <w:b/>
        </w:rPr>
        <w:t>36. Límites de Potencia para Estaciones Costeras NAVDAT (pág. 444)</w:t>
      </w:r>
    </w:p>
    <w:p>
      <w:pPr>
        <w:jc w:val="both"/>
      </w:pPr>
      <w:r>
        <w:t>Se establecen límites de potencia media para las estaciones costeras que utilizan la clase de emisión conforme a la Recomendación UIT-R M.2058 en las bandas de 4 000 kHz a 27 500 kHz, con valores específicos para diferentes bandas de frecuencia (ej. 5 kW para 4 MHz y 6 MHz, 10 kW para 8 MHz, 12 MHz, 16 MHz, 18/19 MHz y 22 MHz). Esto asegura una gestión eficiente del espectro y minimiza interferencias.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