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5A656" w14:textId="77777777" w:rsidR="00BD1849" w:rsidRPr="00BD1849" w:rsidRDefault="00BD1849" w:rsidP="00BD1849">
      <w:pPr>
        <w:spacing w:after="240" w:line="240" w:lineRule="auto"/>
        <w:jc w:val="center"/>
        <w:textAlignment w:val="baseline"/>
        <w:rPr>
          <w:rFonts w:ascii="Arial Narrow" w:hAnsi="Arial Narrow" w:cs="Segoe UI"/>
          <w:b/>
          <w:bCs/>
          <w:sz w:val="24"/>
          <w:szCs w:val="24"/>
          <w:lang w:val="es-ES" w:eastAsia="es-ES"/>
        </w:rPr>
      </w:pPr>
      <w:r w:rsidRPr="00BD1849">
        <w:rPr>
          <w:rFonts w:ascii="Arial Narrow" w:hAnsi="Arial Narrow" w:cs="Segoe UI"/>
          <w:b/>
          <w:bCs/>
          <w:sz w:val="24"/>
          <w:szCs w:val="24"/>
          <w:lang w:val="es-ES" w:eastAsia="es-ES"/>
        </w:rPr>
        <w:t>FICHAS TÉCNICAS DE LOS PROYECTOS PILOTO</w:t>
      </w:r>
    </w:p>
    <w:p w14:paraId="6FCB0DA0" w14:textId="77777777" w:rsidR="00BD1849" w:rsidRPr="00BD1849" w:rsidRDefault="00BD1849" w:rsidP="00BD1849">
      <w:pPr>
        <w:spacing w:after="240" w:line="240" w:lineRule="auto"/>
        <w:jc w:val="center"/>
        <w:textAlignment w:val="baseline"/>
        <w:rPr>
          <w:rFonts w:ascii="Arial Narrow" w:hAnsi="Arial Narrow" w:cs="Segoe UI"/>
          <w:b/>
          <w:bCs/>
          <w:sz w:val="24"/>
          <w:szCs w:val="24"/>
          <w:lang w:val="es-ES" w:eastAsia="es-ES"/>
        </w:rPr>
      </w:pPr>
      <w:r w:rsidRPr="00BD1849">
        <w:rPr>
          <w:rFonts w:ascii="Arial Narrow" w:hAnsi="Arial Narrow" w:cs="Segoe UI"/>
          <w:b/>
          <w:bCs/>
          <w:sz w:val="24"/>
          <w:szCs w:val="24"/>
          <w:lang w:val="es-ES" w:eastAsia="es-ES"/>
        </w:rPr>
        <w:t>Sistema de Visualización y Seguimiento Satelital</w:t>
      </w:r>
    </w:p>
    <w:p w14:paraId="5BD6B1E7" w14:textId="6155B612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</w:p>
    <w:p w14:paraId="5673D1A5" w14:textId="649562D3" w:rsidR="00BD1849" w:rsidRPr="00BD1849" w:rsidRDefault="00BD1849" w:rsidP="00BD1849">
      <w:pPr>
        <w:pStyle w:val="Prrafodelista"/>
        <w:numPr>
          <w:ilvl w:val="0"/>
          <w:numId w:val="5"/>
        </w:numPr>
        <w:spacing w:after="240" w:line="240" w:lineRule="auto"/>
        <w:textAlignment w:val="baseline"/>
        <w:rPr>
          <w:rFonts w:ascii="Arial Narrow" w:hAnsi="Arial Narrow" w:cs="Segoe UI"/>
          <w:b/>
          <w:bCs/>
          <w:sz w:val="24"/>
          <w:szCs w:val="24"/>
          <w:lang w:val="es-ES" w:eastAsia="es-ES"/>
        </w:rPr>
      </w:pPr>
      <w:r w:rsidRPr="00BD1849">
        <w:rPr>
          <w:rFonts w:ascii="Arial Narrow" w:hAnsi="Arial Narrow" w:cs="Segoe UI"/>
          <w:b/>
          <w:bCs/>
          <w:sz w:val="24"/>
          <w:szCs w:val="24"/>
          <w:lang w:val="es-ES" w:eastAsia="es-ES"/>
        </w:rPr>
        <w:t>Introducción</w:t>
      </w:r>
    </w:p>
    <w:p w14:paraId="343E81E8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El presente documento define las variables seleccionadas para la construcción de las fichas técnicas de los proyectos piloto dentro del visualizador satelital.</w:t>
      </w:r>
    </w:p>
    <w:p w14:paraId="5D0A6863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La selección responde a criterios de:</w:t>
      </w:r>
    </w:p>
    <w:p w14:paraId="73538643" w14:textId="77777777" w:rsidR="00BD1849" w:rsidRPr="00BD1849" w:rsidRDefault="00BD1849" w:rsidP="00B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Relevancia para la toma de decisiones en el sector público.</w:t>
      </w:r>
    </w:p>
    <w:p w14:paraId="6652B28C" w14:textId="77777777" w:rsidR="00BD1849" w:rsidRPr="00BD1849" w:rsidRDefault="00BD1849" w:rsidP="00B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Capacidad de síntesis ejecutiva.</w:t>
      </w:r>
    </w:p>
    <w:p w14:paraId="0D988898" w14:textId="77777777" w:rsidR="00BD1849" w:rsidRPr="00BD1849" w:rsidRDefault="00BD1849" w:rsidP="00B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Coherencia con el análisis físico–financiero.</w:t>
      </w:r>
    </w:p>
    <w:p w14:paraId="2FBCD9A1" w14:textId="77777777" w:rsidR="00BD1849" w:rsidRPr="00BD1849" w:rsidRDefault="00BD1849" w:rsidP="00B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Disponibilidad efectiva de datos en la base analizada.</w:t>
      </w:r>
    </w:p>
    <w:p w14:paraId="7AF5C7FB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Las variables aquí incluidas permiten caracterizar, contextualizar y evaluar el estado de los proyectos de forma clara, comparativa y orientada a control y seguimiento.</w:t>
      </w:r>
    </w:p>
    <w:p w14:paraId="4205E7DD" w14:textId="3036B2D9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</w:p>
    <w:p w14:paraId="779CD08A" w14:textId="06B3251F" w:rsidR="00BD1849" w:rsidRPr="00BD1849" w:rsidRDefault="00BD1849" w:rsidP="00BD1849">
      <w:pPr>
        <w:spacing w:before="100" w:beforeAutospacing="1" w:after="100" w:afterAutospacing="1" w:line="240" w:lineRule="auto"/>
        <w:outlineLvl w:val="0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 xml:space="preserve">1. </w:t>
      </w:r>
      <w:r w:rsidRPr="00BD1849">
        <w:rPr>
          <w:rFonts w:ascii="Arial Narrow" w:hAnsi="Arial Narrow" w:cs="Segoe UI"/>
          <w:b/>
          <w:bCs/>
          <w:lang w:eastAsia="es-ES"/>
        </w:rPr>
        <w:t>CARACTERIZACIÓN DEL PROYECTO</w:t>
      </w:r>
    </w:p>
    <w:p w14:paraId="55F9345E" w14:textId="77777777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1.1 BPIN</w:t>
      </w:r>
    </w:p>
    <w:p w14:paraId="545AEC43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Texto (Identificador único)</w:t>
      </w:r>
    </w:p>
    <w:p w14:paraId="3F26B8AE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Código único asignado al proyecto dentro del sistema nacional de inversión pública.</w:t>
      </w:r>
    </w:p>
    <w:p w14:paraId="4B87CC18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Es la llave primaria del sistema. Permite identificar sin ambigüedad el proyecto, enlazarlo con imágenes satelitales y consolidar su información financiera y de ejecución. Es el punto de entrada para la consulta.</w:t>
      </w:r>
    </w:p>
    <w:p w14:paraId="33AD893D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5C29BB7D">
          <v:rect id="_x0000_i1027" style="width:0;height:1.5pt" o:hralign="center" o:hrstd="t" o:hr="t" fillcolor="#a0a0a0" stroked="f"/>
        </w:pict>
      </w:r>
    </w:p>
    <w:p w14:paraId="2376BECE" w14:textId="77777777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1.2 Nombre del proyecto</w:t>
      </w:r>
    </w:p>
    <w:p w14:paraId="1D82AFEB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Texto</w:t>
      </w:r>
    </w:p>
    <w:p w14:paraId="39A37DFF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Denominación oficial del proyecto registrada en el banco de proyectos.</w:t>
      </w:r>
    </w:p>
    <w:p w14:paraId="50257F3F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Permite validar rápidamente que el proyecto consultado corresponde al esperado. Facilita comprensión del objeto del proyecto sin necesidad de revisar documentos técnicos.</w:t>
      </w:r>
    </w:p>
    <w:p w14:paraId="498F6509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480A7F87">
          <v:rect id="_x0000_i1028" style="width:0;height:1.5pt" o:hralign="center" o:hrstd="t" o:hr="t" fillcolor="#a0a0a0" stroked="f"/>
        </w:pict>
      </w:r>
    </w:p>
    <w:p w14:paraId="1D23D93F" w14:textId="77777777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lastRenderedPageBreak/>
        <w:t>1.3 Sector</w:t>
      </w:r>
    </w:p>
    <w:p w14:paraId="03520A9A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Texto (categórica)</w:t>
      </w:r>
    </w:p>
    <w:p w14:paraId="7D6D58B5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Sector administrativo al que pertenece el proyecto (ej. Transporte, Educación, Vivienda).</w:t>
      </w:r>
    </w:p>
    <w:p w14:paraId="66F122BF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Permite contextualizar la naturaleza de la intervención y facilita análisis sectoriales comparativos. Determina qué tipo de infraestructura debería observarse en imágenes satelitales.</w:t>
      </w:r>
    </w:p>
    <w:p w14:paraId="4BCEE80E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55CB4512">
          <v:rect id="_x0000_i1029" style="width:0;height:1.5pt" o:hralign="center" o:hrstd="t" o:hr="t" fillcolor="#a0a0a0" stroked="f"/>
        </w:pict>
      </w:r>
    </w:p>
    <w:p w14:paraId="5BA945CA" w14:textId="77777777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1.4 Alcance</w:t>
      </w:r>
    </w:p>
    <w:p w14:paraId="07E73505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Texto descriptivo</w:t>
      </w:r>
    </w:p>
    <w:p w14:paraId="4BE9C41A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Descripción resumida del objetivo físico o funcional del proyecto.</w:t>
      </w:r>
    </w:p>
    <w:p w14:paraId="6214F7A1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Permite contrastar lo que debería ejecutarse con lo que efectivamente se observa en la evidencia satelital. Es clave para interpretar el avance físico.</w:t>
      </w:r>
    </w:p>
    <w:p w14:paraId="596CC1B0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72259402">
          <v:rect id="_x0000_i1030" style="width:0;height:1.5pt" o:hralign="center" o:hrstd="t" o:hr="t" fillcolor="#a0a0a0" stroked="f"/>
        </w:pict>
      </w:r>
    </w:p>
    <w:p w14:paraId="3C4F73D9" w14:textId="77777777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1.5 Fase</w:t>
      </w:r>
    </w:p>
    <w:p w14:paraId="4F1C2FC9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Texto (categórica)</w:t>
      </w:r>
    </w:p>
    <w:p w14:paraId="076217B3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Fase del proyecto dentro del ciclo de inversión (ej. Perfil, Factibilidad, Ejecución).</w:t>
      </w:r>
    </w:p>
    <w:p w14:paraId="5933F429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Determina el nivel esperado de desarrollo físico. No es razonable exigir evidencia constructiva en fases tempranas. Es fundamental para análisis de coherencia entre estado administrativo y avance visible.</w:t>
      </w:r>
    </w:p>
    <w:p w14:paraId="392AA355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26AC1414">
          <v:rect id="_x0000_i1031" style="width:0;height:1.5pt" o:hralign="center" o:hrstd="t" o:hr="t" fillcolor="#a0a0a0" stroked="f"/>
        </w:pict>
      </w:r>
    </w:p>
    <w:p w14:paraId="33C8D6EF" w14:textId="77777777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1.6 Total Proyecto</w:t>
      </w:r>
    </w:p>
    <w:p w14:paraId="3AEA6D9C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Numérica (monetaria)</w:t>
      </w:r>
    </w:p>
    <w:p w14:paraId="4E7BCAE5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Valor total aprobado del proyecto.</w:t>
      </w:r>
    </w:p>
    <w:p w14:paraId="7E238921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Indica la magnitud financiera de la intervención. Permite dimensionar impacto fiscal y priorizar seguimiento en proyectos de mayor cuantía.</w:t>
      </w:r>
    </w:p>
    <w:p w14:paraId="3450C44E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lastRenderedPageBreak/>
        <w:pict w14:anchorId="328B06C7">
          <v:rect id="_x0000_i1032" style="width:0;height:1.5pt" o:hralign="center" o:hrstd="t" o:hr="t" fillcolor="#a0a0a0" stroked="f"/>
        </w:pict>
      </w:r>
    </w:p>
    <w:p w14:paraId="1987ADFE" w14:textId="5285515A" w:rsidR="00BD1849" w:rsidRPr="00BD1849" w:rsidRDefault="00BD1849" w:rsidP="00BD1849">
      <w:pPr>
        <w:spacing w:before="100" w:beforeAutospacing="1" w:after="100" w:afterAutospacing="1" w:line="240" w:lineRule="auto"/>
        <w:outlineLvl w:val="0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2. APROBACIÓN DEL PROYECTO</w:t>
      </w:r>
    </w:p>
    <w:p w14:paraId="052AB1F5" w14:textId="70264D3F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lang w:eastAsia="es-ES"/>
        </w:rPr>
        <w:t xml:space="preserve">2.1 </w:t>
      </w:r>
      <w:r w:rsidRPr="00BD1849">
        <w:rPr>
          <w:rFonts w:ascii="Arial Narrow" w:hAnsi="Arial Narrow" w:cs="Segoe UI"/>
          <w:b/>
          <w:bCs/>
          <w:lang w:eastAsia="es-ES"/>
        </w:rPr>
        <w:t>INSTANCIA DE APROBACIÓN INICIAL</w:t>
      </w:r>
    </w:p>
    <w:p w14:paraId="51F9BED2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Texto</w:t>
      </w:r>
    </w:p>
    <w:p w14:paraId="751A6EAE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Entidad o nivel territorial que realizó la aprobación inicial del proyecto.</w:t>
      </w:r>
    </w:p>
    <w:p w14:paraId="1214F4BC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Permite identificar el nivel de decisión (nacional, departamental, etc.) y asociar responsabilidades institucionales. Facilita análisis territorial.</w:t>
      </w:r>
    </w:p>
    <w:p w14:paraId="48FD9CF3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1A8FCD06">
          <v:rect id="_x0000_i1033" style="width:0;height:1.5pt" o:hralign="center" o:hrstd="t" o:hr="t" fillcolor="#a0a0a0" stroked="f"/>
        </w:pict>
      </w:r>
    </w:p>
    <w:p w14:paraId="447AE926" w14:textId="5D9E19F9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2.</w:t>
      </w:r>
      <w:r w:rsidRPr="00BD1849">
        <w:rPr>
          <w:rFonts w:ascii="Arial Narrow" w:hAnsi="Arial Narrow" w:cs="Segoe UI"/>
          <w:b/>
          <w:bCs/>
          <w:lang w:eastAsia="es-ES"/>
        </w:rPr>
        <w:t>2 FECHA DE APROBACIÓN</w:t>
      </w:r>
    </w:p>
    <w:p w14:paraId="3A4F2C99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Fecha</w:t>
      </w:r>
    </w:p>
    <w:p w14:paraId="0A6EC29A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Fecha en la que el proyecto obtuvo aprobación formal.</w:t>
      </w:r>
    </w:p>
    <w:p w14:paraId="562C3954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Permite calcular el tiempo transcurrido desde su aprobación y evaluar si el avance físico y financiero es consistente con la antigüedad del proyecto.</w:t>
      </w:r>
    </w:p>
    <w:p w14:paraId="79A02BDF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19B912A8">
          <v:rect id="_x0000_i1034" style="width:0;height:1.5pt" o:hralign="center" o:hrstd="t" o:hr="t" fillcolor="#a0a0a0" stroked="f"/>
        </w:pict>
      </w:r>
    </w:p>
    <w:p w14:paraId="10BFFA7B" w14:textId="3134B76D" w:rsidR="00BD1849" w:rsidRPr="00BD1849" w:rsidRDefault="00BD1849" w:rsidP="00BD1849">
      <w:pPr>
        <w:spacing w:before="100" w:beforeAutospacing="1" w:after="100" w:afterAutospacing="1" w:line="240" w:lineRule="auto"/>
        <w:outlineLvl w:val="0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3. ENTIDAD EJECUTORA</w:t>
      </w:r>
    </w:p>
    <w:p w14:paraId="2FF90CE3" w14:textId="14EF720C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3.1 ENTIDAD EJECUTORA</w:t>
      </w:r>
    </w:p>
    <w:p w14:paraId="00702FE5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Texto</w:t>
      </w:r>
    </w:p>
    <w:p w14:paraId="6AEA05FB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Nombre de la entidad responsable de la ejecución del proyecto.</w:t>
      </w:r>
    </w:p>
    <w:p w14:paraId="2EF46B51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Define responsabilidad directa sobre el avance físico y financiero. Permite comparaciones institucionales y análisis de desempeño por entidad.</w:t>
      </w:r>
    </w:p>
    <w:p w14:paraId="71C5CE7A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6C0D88B3">
          <v:rect id="_x0000_i1035" style="width:0;height:1.5pt" o:hralign="center" o:hrstd="t" o:hr="t" fillcolor="#a0a0a0" stroked="f"/>
        </w:pict>
      </w:r>
    </w:p>
    <w:p w14:paraId="4C8F062C" w14:textId="5F9FF86F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3.</w:t>
      </w:r>
      <w:r w:rsidRPr="00BD1849">
        <w:rPr>
          <w:rFonts w:ascii="Arial Narrow" w:hAnsi="Arial Narrow" w:cs="Segoe UI"/>
          <w:b/>
          <w:bCs/>
          <w:lang w:eastAsia="es-ES"/>
        </w:rPr>
        <w:t>2 NIT ENTIDAD EJECUTORA</w:t>
      </w:r>
    </w:p>
    <w:p w14:paraId="25EC9689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Numérica / Identificador</w:t>
      </w:r>
    </w:p>
    <w:p w14:paraId="0057C35D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lastRenderedPageBreak/>
        <w:t>Descripción:</w:t>
      </w:r>
      <w:r w:rsidRPr="00BD1849">
        <w:rPr>
          <w:rFonts w:ascii="Arial Narrow" w:hAnsi="Arial Narrow" w:cs="Segoe UI"/>
          <w:lang w:eastAsia="es-ES"/>
        </w:rPr>
        <w:br/>
        <w:t>Número de Identificación Tributaria de la entidad ejecutora.</w:t>
      </w:r>
    </w:p>
    <w:p w14:paraId="41EE861A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Permite trazabilidad jurídica y administrativa. Facilita cruces con otras bases de datos contractuales y fiscales.</w:t>
      </w:r>
    </w:p>
    <w:p w14:paraId="769B5994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5E423AC7">
          <v:rect id="_x0000_i1036" style="width:0;height:1.5pt" o:hralign="center" o:hrstd="t" o:hr="t" fillcolor="#a0a0a0" stroked="f"/>
        </w:pict>
      </w:r>
    </w:p>
    <w:p w14:paraId="40C86B97" w14:textId="0A2E9CA1" w:rsidR="00BD1849" w:rsidRPr="00BD1849" w:rsidRDefault="00BD1849" w:rsidP="00BD1849">
      <w:pPr>
        <w:spacing w:before="100" w:beforeAutospacing="1" w:after="100" w:afterAutospacing="1" w:line="240" w:lineRule="auto"/>
        <w:outlineLvl w:val="0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 xml:space="preserve">4. </w:t>
      </w:r>
      <w:r w:rsidRPr="00BD1849">
        <w:rPr>
          <w:rFonts w:ascii="Arial Narrow" w:hAnsi="Arial Narrow" w:cs="Segoe UI"/>
          <w:b/>
          <w:bCs/>
          <w:lang w:eastAsia="es-ES"/>
        </w:rPr>
        <w:t>EJECUCIÓN DEL PROYECTO</w:t>
      </w:r>
    </w:p>
    <w:p w14:paraId="63D45E30" w14:textId="0CA93802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4.1 VALOR TOTAL DE LOS CONTRATOS</w:t>
      </w:r>
    </w:p>
    <w:p w14:paraId="652E4B93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Numérica (monetaria)</w:t>
      </w:r>
    </w:p>
    <w:p w14:paraId="3C163512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Suma del valor de los contratos asociados al proyecto.</w:t>
      </w:r>
    </w:p>
    <w:p w14:paraId="3AFED83E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Indica el nivel real de compromiso contractual. Permite comparar lo contratado frente al total aprobado.</w:t>
      </w:r>
    </w:p>
    <w:p w14:paraId="5DBAA128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2DD5D8F5">
          <v:rect id="_x0000_i1037" style="width:0;height:1.5pt" o:hralign="center" o:hrstd="t" o:hr="t" fillcolor="#a0a0a0" stroked="f"/>
        </w:pict>
      </w:r>
    </w:p>
    <w:p w14:paraId="5BC5652E" w14:textId="07528E6A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4.2 NÚMERO DE CONTRATOS VIGENTES</w:t>
      </w:r>
    </w:p>
    <w:p w14:paraId="3EC773E5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Numérica (entera)</w:t>
      </w:r>
    </w:p>
    <w:p w14:paraId="04B5FE66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Cantidad de contratos activos asociados al proyecto.</w:t>
      </w:r>
    </w:p>
    <w:p w14:paraId="54ED393D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Refleja complejidad operativa. Un mayor número puede implicar mayor fragmentación o diversificación contractual.</w:t>
      </w:r>
    </w:p>
    <w:p w14:paraId="2BB9BD1E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7FF101B9">
          <v:rect id="_x0000_i1038" style="width:0;height:1.5pt" o:hralign="center" o:hrstd="t" o:hr="t" fillcolor="#a0a0a0" stroked="f"/>
        </w:pict>
      </w:r>
    </w:p>
    <w:p w14:paraId="0F98E737" w14:textId="5912006E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4.3 FECHA INICIAL DE LA PROGRAMACIÓN</w:t>
      </w:r>
    </w:p>
    <w:p w14:paraId="77EAEF1C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Fecha</w:t>
      </w:r>
    </w:p>
    <w:p w14:paraId="0AE405FA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Fecha programada de inicio de ejecución.</w:t>
      </w:r>
    </w:p>
    <w:p w14:paraId="68C60496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Permite evaluar retrasos iniciales y contrastar inicio real vs. evidencia física.</w:t>
      </w:r>
    </w:p>
    <w:p w14:paraId="0FAAD440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5BDC046D">
          <v:rect id="_x0000_i1039" style="width:0;height:1.5pt" o:hralign="center" o:hrstd="t" o:hr="t" fillcolor="#a0a0a0" stroked="f"/>
        </w:pict>
      </w:r>
    </w:p>
    <w:p w14:paraId="279D41FD" w14:textId="0BC0E68C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4.4 FECHA FINAL DE LA PROGRAMACIÓN</w:t>
      </w:r>
    </w:p>
    <w:p w14:paraId="56F95D3A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lastRenderedPageBreak/>
        <w:t>Tipo: Fecha</w:t>
      </w:r>
    </w:p>
    <w:p w14:paraId="377A5D80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Fecha estimada de finalización del proyecto.</w:t>
      </w:r>
    </w:p>
    <w:p w14:paraId="6C61D2C3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Permite identificar proyectos vencidos o próximos a vencerse. Es clave para alertas de retraso.</w:t>
      </w:r>
    </w:p>
    <w:p w14:paraId="7FDF65D1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22A2AAEE">
          <v:rect id="_x0000_i1040" style="width:0;height:1.5pt" o:hralign="center" o:hrstd="t" o:hr="t" fillcolor="#a0a0a0" stroked="f"/>
        </w:pict>
      </w:r>
    </w:p>
    <w:p w14:paraId="3852012E" w14:textId="37CDB9FD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4.5 TOTAL PAGOS AL PROYECTO</w:t>
      </w:r>
    </w:p>
    <w:p w14:paraId="3D041E19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Numérica (monetaria acumulada)</w:t>
      </w:r>
    </w:p>
    <w:p w14:paraId="62037D7F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Valor total desembolsado al proyecto hasta la fecha.</w:t>
      </w:r>
    </w:p>
    <w:p w14:paraId="3AF257DD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Permite evaluar ejecución financiera real y compararla con avance físico observado.</w:t>
      </w:r>
    </w:p>
    <w:p w14:paraId="7E21943F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5584446D">
          <v:rect id="_x0000_i1041" style="width:0;height:1.5pt" o:hralign="center" o:hrstd="t" o:hr="t" fillcolor="#a0a0a0" stroked="f"/>
        </w:pict>
      </w:r>
    </w:p>
    <w:p w14:paraId="6941225B" w14:textId="3CAAFD51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4.6 AVANCE FÍSICO</w:t>
      </w:r>
    </w:p>
    <w:p w14:paraId="02CFE570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Numérica (porcentaje)</w:t>
      </w:r>
    </w:p>
    <w:p w14:paraId="7CA1AE22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Porcentaje reportado de ejecución física del proyecto.</w:t>
      </w:r>
    </w:p>
    <w:p w14:paraId="61A25440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Es la variable central para contrastar con evidencia satelital. Permite detectar posibles inconsistencias entre reporte administrativo y realidad observable.</w:t>
      </w:r>
    </w:p>
    <w:p w14:paraId="2B86FC6F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4E41ECE1">
          <v:rect id="_x0000_i1042" style="width:0;height:1.5pt" o:hralign="center" o:hrstd="t" o:hr="t" fillcolor="#a0a0a0" stroked="f"/>
        </w:pict>
      </w:r>
    </w:p>
    <w:p w14:paraId="748EF85A" w14:textId="49699FE5" w:rsidR="00BD1849" w:rsidRPr="00BD1849" w:rsidRDefault="00BD1849" w:rsidP="00BD1849">
      <w:pPr>
        <w:spacing w:before="100" w:beforeAutospacing="1" w:after="100" w:afterAutospacing="1" w:line="240" w:lineRule="auto"/>
        <w:outlineLvl w:val="1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4.7 AVANCE FINANCIERO</w:t>
      </w:r>
    </w:p>
    <w:p w14:paraId="2BDA8038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Tipo: Numérica (porcentaje)</w:t>
      </w:r>
    </w:p>
    <w:p w14:paraId="7875B0FE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Descripción:</w:t>
      </w:r>
      <w:r w:rsidRPr="00BD1849">
        <w:rPr>
          <w:rFonts w:ascii="Arial Narrow" w:hAnsi="Arial Narrow" w:cs="Segoe UI"/>
          <w:lang w:eastAsia="es-ES"/>
        </w:rPr>
        <w:br/>
        <w:t>Porcentaje de ejecución financiera respecto al total aprobado.</w:t>
      </w:r>
    </w:p>
    <w:p w14:paraId="5613F982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Valor estratégico:</w:t>
      </w:r>
      <w:r w:rsidRPr="00BD1849">
        <w:rPr>
          <w:rFonts w:ascii="Arial Narrow" w:hAnsi="Arial Narrow" w:cs="Segoe UI"/>
          <w:lang w:eastAsia="es-ES"/>
        </w:rPr>
        <w:br/>
        <w:t>Permite identificar desequilibrios entre ejecución financiera y física. Es un indicador clave de riesgo.</w:t>
      </w:r>
    </w:p>
    <w:p w14:paraId="5757C62B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52294110">
          <v:rect id="_x0000_i1043" style="width:0;height:1.5pt" o:hralign="center" o:hrstd="t" o:hr="t" fillcolor="#a0a0a0" stroked="f"/>
        </w:pict>
      </w:r>
    </w:p>
    <w:p w14:paraId="5D5A4692" w14:textId="77777777" w:rsidR="00BD1849" w:rsidRPr="00BD1849" w:rsidRDefault="00BD1849" w:rsidP="00BD1849">
      <w:pPr>
        <w:spacing w:before="100" w:beforeAutospacing="1" w:after="100" w:afterAutospacing="1" w:line="240" w:lineRule="auto"/>
        <w:outlineLvl w:val="0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Variables No Incluidas</w:t>
      </w:r>
    </w:p>
    <w:p w14:paraId="6B523EE8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lastRenderedPageBreak/>
        <w:t>Las demás variables disponibles en la base de datos no fueron consideradas en esta primera versión de las fichas técnicas por las siguientes razones técnicas:</w:t>
      </w:r>
    </w:p>
    <w:p w14:paraId="4D442B63" w14:textId="77777777" w:rsidR="00BD1849" w:rsidRPr="00BD1849" w:rsidRDefault="00BD1849" w:rsidP="00BD1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Alta correlación o redundancia conceptual</w:t>
      </w:r>
      <w:r w:rsidRPr="00BD1849">
        <w:rPr>
          <w:rFonts w:ascii="Arial Narrow" w:hAnsi="Arial Narrow" w:cs="Segoe UI"/>
          <w:lang w:eastAsia="es-ES"/>
        </w:rPr>
        <w:br/>
        <w:t>Existen múltiples variables que expresan la misma información bajo distintos nombres (por ejemplo, varias relacionadas con ubicación territorial o fechas de inicio bajo distintas clasificaciones normativas). Se priorizó una sola variable representativa para evitar duplicidad.</w:t>
      </w:r>
    </w:p>
    <w:p w14:paraId="4B415E63" w14:textId="77777777" w:rsidR="00BD1849" w:rsidRPr="00BD1849" w:rsidRDefault="00BD1849" w:rsidP="00BD1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Baja variabilidad o valores constantes</w:t>
      </w:r>
      <w:r w:rsidRPr="00BD1849">
        <w:rPr>
          <w:rFonts w:ascii="Arial Narrow" w:hAnsi="Arial Narrow" w:cs="Segoe UI"/>
          <w:lang w:eastAsia="es-ES"/>
        </w:rPr>
        <w:br/>
        <w:t>Algunas variables presentan valores homogéneos en la muestra analizada, lo que limita su capacidad explicativa o comparativa.</w:t>
      </w:r>
    </w:p>
    <w:p w14:paraId="25CEEB9C" w14:textId="77777777" w:rsidR="00BD1849" w:rsidRPr="00BD1849" w:rsidRDefault="00BD1849" w:rsidP="00BD1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Alta proporción de registros nulos o vacíos</w:t>
      </w:r>
      <w:r w:rsidRPr="00BD1849">
        <w:rPr>
          <w:rFonts w:ascii="Arial Narrow" w:hAnsi="Arial Narrow" w:cs="Segoe UI"/>
          <w:lang w:eastAsia="es-ES"/>
        </w:rPr>
        <w:br/>
        <w:t>Variables con bajo nivel de diligenciamiento no aportan valor consistente en un visor ejecutivo.</w:t>
      </w:r>
    </w:p>
    <w:p w14:paraId="0E318BE1" w14:textId="77777777" w:rsidR="00BD1849" w:rsidRPr="00BD1849" w:rsidRDefault="00BD1849" w:rsidP="00BD1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Nivel excesivamente específico o técnico</w:t>
      </w:r>
      <w:r w:rsidRPr="00BD1849">
        <w:rPr>
          <w:rFonts w:ascii="Arial Narrow" w:hAnsi="Arial Narrow" w:cs="Segoe UI"/>
          <w:lang w:eastAsia="es-ES"/>
        </w:rPr>
        <w:br/>
        <w:t>Algunas variables financieras o normativas están orientadas a análisis contables detallados, no necesarios en un visor estratégico de seguimiento satelital.</w:t>
      </w:r>
    </w:p>
    <w:p w14:paraId="1DCFDFCD" w14:textId="77777777" w:rsidR="00BD1849" w:rsidRPr="00BD1849" w:rsidRDefault="00BD1849" w:rsidP="00BD1849">
      <w:pPr>
        <w:spacing w:after="0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pict w14:anchorId="13B1EE0A">
          <v:rect id="_x0000_i1044" style="width:0;height:1.5pt" o:hralign="center" o:hrstd="t" o:hr="t" fillcolor="#a0a0a0" stroked="f"/>
        </w:pict>
      </w:r>
    </w:p>
    <w:p w14:paraId="4AC983A1" w14:textId="77777777" w:rsidR="00BD1849" w:rsidRPr="00BD1849" w:rsidRDefault="00BD1849" w:rsidP="00BD1849">
      <w:pPr>
        <w:spacing w:before="100" w:beforeAutospacing="1" w:after="100" w:afterAutospacing="1" w:line="240" w:lineRule="auto"/>
        <w:outlineLvl w:val="0"/>
        <w:rPr>
          <w:rFonts w:ascii="Arial Narrow" w:hAnsi="Arial Narrow" w:cs="Segoe UI"/>
          <w:b/>
          <w:bCs/>
          <w:lang w:eastAsia="es-ES"/>
        </w:rPr>
      </w:pPr>
      <w:r w:rsidRPr="00BD1849">
        <w:rPr>
          <w:rFonts w:ascii="Arial Narrow" w:hAnsi="Arial Narrow" w:cs="Segoe UI"/>
          <w:b/>
          <w:bCs/>
          <w:lang w:eastAsia="es-ES"/>
        </w:rPr>
        <w:t>Conclusión</w:t>
      </w:r>
    </w:p>
    <w:p w14:paraId="2FCB8E42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El conjunto seleccionado equilibra:</w:t>
      </w:r>
    </w:p>
    <w:p w14:paraId="2F1D3A7E" w14:textId="77777777" w:rsidR="00BD1849" w:rsidRPr="00BD1849" w:rsidRDefault="00BD1849" w:rsidP="00BD1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Identificación institucional</w:t>
      </w:r>
    </w:p>
    <w:p w14:paraId="0F59B650" w14:textId="77777777" w:rsidR="00BD1849" w:rsidRPr="00BD1849" w:rsidRDefault="00BD1849" w:rsidP="00BD1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Contexto estratégico</w:t>
      </w:r>
    </w:p>
    <w:p w14:paraId="7FB3D9EC" w14:textId="77777777" w:rsidR="00BD1849" w:rsidRPr="00BD1849" w:rsidRDefault="00BD1849" w:rsidP="00BD1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Magnitud financiera</w:t>
      </w:r>
    </w:p>
    <w:p w14:paraId="31BC4226" w14:textId="77777777" w:rsidR="00BD1849" w:rsidRPr="00BD1849" w:rsidRDefault="00BD1849" w:rsidP="00BD1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Cronograma</w:t>
      </w:r>
    </w:p>
    <w:p w14:paraId="1E4278C2" w14:textId="77777777" w:rsidR="00BD1849" w:rsidRPr="00BD1849" w:rsidRDefault="00BD1849" w:rsidP="00BD1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Ejecución contractual</w:t>
      </w:r>
    </w:p>
    <w:p w14:paraId="771F72DB" w14:textId="77777777" w:rsidR="00BD1849" w:rsidRPr="00BD1849" w:rsidRDefault="00BD1849" w:rsidP="00BD1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Seguimiento físico–financiero</w:t>
      </w:r>
    </w:p>
    <w:p w14:paraId="0C86273C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Estas variables permiten que un tomador de decisiones, con solo ingresar el BPIN, pueda:</w:t>
      </w:r>
    </w:p>
    <w:p w14:paraId="119BDD06" w14:textId="77777777" w:rsidR="00BD1849" w:rsidRPr="00BD1849" w:rsidRDefault="00BD1849" w:rsidP="00BD1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Comprender qué es el proyecto.</w:t>
      </w:r>
    </w:p>
    <w:p w14:paraId="237AF9CF" w14:textId="77777777" w:rsidR="00BD1849" w:rsidRPr="00BD1849" w:rsidRDefault="00BD1849" w:rsidP="00BD1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Saber quién lo ejecuta.</w:t>
      </w:r>
    </w:p>
    <w:p w14:paraId="3FCE50BE" w14:textId="77777777" w:rsidR="00BD1849" w:rsidRPr="00BD1849" w:rsidRDefault="00BD1849" w:rsidP="00BD1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Conocer cuánto cuesta y cuánto se ha pagado.</w:t>
      </w:r>
    </w:p>
    <w:p w14:paraId="68FC5AFE" w14:textId="77777777" w:rsidR="00BD1849" w:rsidRPr="00BD1849" w:rsidRDefault="00BD1849" w:rsidP="00BD1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Identificar si está retrasado.</w:t>
      </w:r>
    </w:p>
    <w:p w14:paraId="343BB78A" w14:textId="77777777" w:rsidR="00BD1849" w:rsidRPr="00BD1849" w:rsidRDefault="00BD1849" w:rsidP="00BD1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Contrastar el avance reportado con evidencia satelital.</w:t>
      </w:r>
    </w:p>
    <w:p w14:paraId="71FCE6DF" w14:textId="77777777" w:rsidR="00BD1849" w:rsidRPr="00BD1849" w:rsidRDefault="00BD1849" w:rsidP="00BD1849">
      <w:pPr>
        <w:spacing w:before="100" w:beforeAutospacing="1" w:after="100" w:afterAutospacing="1" w:line="240" w:lineRule="auto"/>
        <w:rPr>
          <w:rFonts w:ascii="Arial Narrow" w:hAnsi="Arial Narrow" w:cs="Segoe UI"/>
          <w:lang w:eastAsia="es-ES"/>
        </w:rPr>
      </w:pPr>
      <w:r w:rsidRPr="00BD1849">
        <w:rPr>
          <w:rFonts w:ascii="Arial Narrow" w:hAnsi="Arial Narrow" w:cs="Segoe UI"/>
          <w:lang w:eastAsia="es-ES"/>
        </w:rPr>
        <w:t>La estructura aquí definida constituye la base técnica para las fichas ejecutivas del sistema de visualización de proyectos piloto.</w:t>
      </w:r>
    </w:p>
    <w:p w14:paraId="4BA7E940" w14:textId="77777777" w:rsidR="008B5BE0" w:rsidRPr="00BD1849" w:rsidRDefault="008B5BE0" w:rsidP="00BD1849">
      <w:pPr>
        <w:rPr>
          <w:rFonts w:ascii="Arial Narrow" w:hAnsi="Arial Narrow" w:cs="Segoe UI"/>
          <w:lang w:eastAsia="es-ES"/>
        </w:rPr>
      </w:pPr>
    </w:p>
    <w:sectPr w:rsidR="008B5BE0" w:rsidRPr="00BD1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C20ED"/>
    <w:multiLevelType w:val="multilevel"/>
    <w:tmpl w:val="C20C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C604C"/>
    <w:multiLevelType w:val="multilevel"/>
    <w:tmpl w:val="122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C75ED"/>
    <w:multiLevelType w:val="hybridMultilevel"/>
    <w:tmpl w:val="F5C2A38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4B54BA5"/>
    <w:multiLevelType w:val="multilevel"/>
    <w:tmpl w:val="7246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F9450C"/>
    <w:multiLevelType w:val="multilevel"/>
    <w:tmpl w:val="64A0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49"/>
    <w:rsid w:val="008B5BE0"/>
    <w:rsid w:val="00BD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8D95C"/>
  <w15:chartTrackingRefBased/>
  <w15:docId w15:val="{6216627B-A0A0-4390-A76C-96CCBC5C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D18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D18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84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D184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D1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D1849"/>
    <w:rPr>
      <w:b/>
      <w:bCs/>
    </w:rPr>
  </w:style>
  <w:style w:type="paragraph" w:styleId="Prrafodelista">
    <w:name w:val="List Paragraph"/>
    <w:basedOn w:val="Normal"/>
    <w:uiPriority w:val="34"/>
    <w:qFormat/>
    <w:rsid w:val="00BD18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6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1098</Words>
  <Characters>6045</Characters>
  <Application>Microsoft Office Word</Application>
  <DocSecurity>0</DocSecurity>
  <Lines>50</Lines>
  <Paragraphs>14</Paragraphs>
  <ScaleCrop>false</ScaleCrop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Leonardo Manrique Hernandez</dc:creator>
  <cp:keywords/>
  <dc:description/>
  <cp:lastModifiedBy>Andres Leonardo Manrique Hernandez</cp:lastModifiedBy>
  <cp:revision>1</cp:revision>
  <cp:lastPrinted>2026-02-13T00:45:00Z</cp:lastPrinted>
  <dcterms:created xsi:type="dcterms:W3CDTF">2026-02-13T00:28:00Z</dcterms:created>
  <dcterms:modified xsi:type="dcterms:W3CDTF">2026-02-13T00:46:00Z</dcterms:modified>
</cp:coreProperties>
</file>