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28"/>
          <w:szCs w:val="28"/>
        </w:rPr>
        <w:t xml:space="preserve">Matriz de respuesta a los evaluadores</w:t>
      </w:r>
    </w:p>
    <w:p>
      <w:pPr>
        <w:spacing w:after="120"/>
      </w:pPr>
      <w:r>
        <w:rPr>
          <w:rFonts w:ascii="Arial" w:cs="Arial" w:eastAsia="Arial" w:hAnsi="Arial"/>
          <w:sz w:val="19"/>
          <w:szCs w:val="19"/>
        </w:rPr>
        <w:t xml:space="preserve">Artículo: Diagnóstico patológico y vida útil de servicio de las compuertas del Sistema Bocana Estabilizadora de Mareas (BEM) de Cartagena de Indias, Colombia, en ambiente marino tropical (antes: «Impacto del ambiente marino tropical en la durabilidad estructural de las compuertas…»).</w:t>
      </w:r>
    </w:p>
    <w:p>
      <w:pPr>
        <w:spacing w:after="120"/>
      </w:pPr>
      <w:r>
        <w:rPr>
          <w:rFonts w:ascii="Arial" w:cs="Arial" w:eastAsia="Arial" w:hAnsi="Arial"/>
          <w:sz w:val="19"/>
          <w:szCs w:val="19"/>
        </w:rPr>
        <w:t xml:space="preserve">Autor: Luis David Arroyo Anaya · Tutor: Osmar Albert Gamba Gómez · Maestría en Patología de la Construcción, Universidad Santo Tomás</w:t>
      </w:r>
    </w:p>
    <w:p>
      <w:pPr>
        <w:spacing w:after="120"/>
      </w:pPr>
      <w:r>
        <w:rPr>
          <w:rFonts w:ascii="Arial" w:cs="Arial" w:eastAsia="Arial" w:hAnsi="Arial"/>
          <w:sz w:val="19"/>
          <w:szCs w:val="19"/>
        </w:rPr>
        <w:t xml:space="preserve">Las observaciones de los dos evaluadores coinciden en tres ejes: (1) ajustar el título, los objetivos y el alcance a lo efectivamente demostrado; (2) moderar las afirmaciones absolutas sobre vulnerabilidad, modelo y vida útil; y (3) aportar una hipótesis verificable y un resultado cuantitativo de vida útil. Todas se atendieron en una sola versión corregida (V2), entregada con control de cambios y en limpio.</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300"/>
        <w:gridCol w:w="6100"/>
        <w:gridCol w:w="2100"/>
      </w:tblGrid>
      <w:tr>
        <w:trPr>
          <w:tblHeader/>
        </w:trPr>
        <w:tc>
          <w:tcPr>
            <w:tcW w:type="dxa" w:w="5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N.°</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Evaluador / ubicación</w:t>
            </w:r>
          </w:p>
        </w:tc>
        <w:tc>
          <w:tcPr>
            <w:tcW w:type="dxa" w:w="33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Comentario (síntesis)</w:t>
            </w:r>
          </w:p>
        </w:tc>
        <w:tc>
          <w:tcPr>
            <w:tcW w:type="dxa" w:w="6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Respuesta y corrección realizada</w:t>
            </w:r>
          </w:p>
        </w:tc>
        <w:tc>
          <w:tcPr>
            <w:tcW w:type="dxa" w:w="2100"/>
            <w:tcBorders>
              <w:top w:val="single" w:color="999999" w:sz="4"/>
              <w:left w:val="single" w:color="999999" w:sz="4"/>
              <w:bottom w:val="single" w:color="999999" w:sz="4"/>
              <w:right w:val="single" w:color="999999" w:sz="4"/>
            </w:tcBorders>
            <w:shd w:fill="1F3864" w:color="auto" w:val="clear"/>
            <w:tcMar>
              <w:top w:type="dxa" w:w="60"/>
              <w:left w:type="dxa" w:w="90"/>
              <w:bottom w:type="dxa" w:w="60"/>
              <w:right w:type="dxa" w:w="90"/>
            </w:tcMar>
          </w:tcPr>
          <w:p>
            <w:r>
              <w:rPr>
                <w:rFonts w:ascii="Arial" w:cs="Arial" w:eastAsia="Arial" w:hAnsi="Arial"/>
                <w:b/>
                <w:bCs/>
                <w:color w:val="FFFFFF"/>
                <w:sz w:val="18"/>
                <w:szCs w:val="18"/>
              </w:rPr>
              <w:t xml:space="preserve">Ubicación en la V2</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Comentario general</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El nombre y los objetivos no representan el desarrollo: no se valida el impacto ni la vulnerabilidad; estimaciones teóricas sin datos de cloruros ni velocidades reales; falta hipótesis; sugiere evaluar la vida útil con la ISO 15686.</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Se reformularon el título, el objetivo general y el alcance hacia lo que el trabajo demuestra: diagnóstico patológico del estado de durabilidad y vida útil de servicio. Se incorporó una hipótesis verificable con tres criterios medibles y se contrasta en la discusión. Se añadió la estimación cuantitativa de la vida útil de servicio por el método de los factores de la ISO 15686 (Tabla 8): ESL = 20,5 años, inferior a los 25 años de operación, con análisis de sensibilidad. Las estimaciones de velocidad de corrosión se declaran teóricas y no calibradas en las limitaciones.</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Título; Resumen y Abstract; 1.1; 1.3; 3; 5.2 (nuevo); 5.3; 6</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Resumen</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¿Cómo se deduce que la vulnerabilidad es alta sin un modelo matemático lo más real posible?</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La vulnerabilidad se presenta como una valoración cualitativa asociada al estado físico (agrietamiento generalizado y corrosión total del refuerzo), no como un resultado cuantitativo. Se explicita que no se calcularon índices de sobreesfuerzo ni de flexibilidad.</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Resumen; 4.6; 5.3; 6</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3</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1.1 Planteamiento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La pregunta es muy general para plantearse como hipótesis; debería ser una hipótesis puntual que pueda validarse o no.</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Se precisó la pregunta y se añadió la hipótesis: la exposición XS3 durante 25 años sobre un concreto sin requisitos de durabilidad agotó la vida útil de servicio. Se verifica si se cumplen (a) carbonatación en toda la longitud de los núcleos, (b) resistencia efectiva &lt; 21 MPa y (c) ESL (ISO 15686) &lt; tiempo de operación; basta que uno falle para rechazarla. Su contraste se presenta en 5.2: los tres criterios se cumplen.</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1.1; 5.2</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4</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Alcance</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Sin prospección, información y modelamiento completos no se puede plantear el alcance asociado al título (impacto y vulnerabilidad).</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El alcance se redefine como diagnóstico patológico y estimación de la vida útil de servicio, y se declara de forma explícita lo que no se cuantificó: vulnerabilidad sísmica por índices, capacidad residual, perfiles de cloruros, potenciales de corrosión y valoración hidráulica.</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Título; 1.1 (delimitación)</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5</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Objetivo general</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Con el alcance desarrollado no se logra establecer el impacto sobre la durabilidad estructural (vulnerabilidad).</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El objetivo general pasa a "diagnosticar el estado de durabilidad … y estimar su vida útil de servicio" mediante inspección, ensayos y la ISO 15686. El objetivo (iii) cambia "correlación" por "relación". Se añade el objetivo (v), sobre la vida útil de servicio y la viabilidad de intervención.</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1.3</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3.3 Técnicas de análisis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No se observa que se haya desarrollado un modelo matemático para su revisión.</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Se aclara que se definieron cargas y parámetros sísmicos como base de la evaluación del capítulo A.10, que el modelo no se desarrolló y por qué (numeral 4.5), y que la condición estructural se valora cualitativamente.</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3 (metodología); 3.3</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7</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1 – 4.5 Modelo matemático</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Discrepancia entre lo que se pretende evaluar y el alcance; sin un modelo de validación no se pueden evaluar el impacto ni la vulnerabilidad.</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Se alinea el alcance de todo el documento con lo efectivamente ejecutado (ver respuestas 1, 4 y 5). En 4.5 se indica que el modelo global no sería confiable con la información disponible, que la vulnerabilidad no se cuantificó y que son posibles análisis locales exploratorios, propuestos además como línea futura.</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4.5; 5.3; 6</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8</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2 – IT1 / IT5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Usar "vida útil de servicio agotada", porque el informe no demuestra capacidad resistente residual nula.</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en todo el documento: "vida útil" pasa a "vida útil de servicio" en el resumen (ES/EN), en 4.6, en la discusión y en las conclusiones. Se añade de forma explícita que esa conclusión no equivale a afirmar que la capacidad residual sea nula.</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Resumen; Abstract; 4.6; 5.2; 6</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9</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2 – IT2 / IT6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"Improcedente" es demasiado absoluto; es más defendible decir que un modelo global para determinar la capacidad residual no es confiable con la información disponible, aunque podrían existir análisis locales exploratorios.</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Se eliminó "improcedente/improcedencia" del documento. Se usa: "con la información disponible, un modelo global no permite determinar con confiabilidad la capacidad residual" y se mencionan los análisis locales exploratorios de elementos individuales.</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Resumen; Abstract; 4.5; 5.1; 5.3; 6</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10</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2 – IT3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La carga viva de 3,60 kN/m² (CCP-14) requiere una justificación más sólida para esta infraestructura hidráulica.</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Se justifica el uso de la CCP-14: la estructura funciona como puente de celdas (su tablero salva los vanos apoyado en muros), su archivo técnico es del Ministerio de Transporte y su uso es de pasarela peatonal y de operación sin tránsito vehicular, caso que la CCP-14 regula para andenes y puentes peatonales (numeral 3.6.1.6).</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4.5</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11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Evaluador 2 – IT4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Aclarar que la vulnerabilidad es una valoración asociada al estado físico, porque no se calcularon índices de sobreesfuerzo ni de flexibilidad.</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acoge con el texto sugerido en 4.6, y de forma coherente en el resumen, la discusión y las conclusiones.</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4.6; Resumen; 5.3; 6</w:t>
            </w:r>
          </w:p>
        </w:tc>
      </w:tr>
      <w:tr>
        <w:tc>
          <w:tcPr>
            <w:tcW w:type="dxa" w:w="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12</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Ajustes derivados</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w:t>
            </w:r>
          </w:p>
        </w:tc>
        <w:tc>
          <w:tcPr>
            <w:tcW w:type="dxa" w:w="6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Se renumeran las tablas del Anexo D (8 → 9 y 9 → 10) por la nueva Tabla 8. Se añaden las referencias ISO 15686-1 (2011), ISO 15686-8 (2008) y EN 1990 (CEN, 2002). Las palabras clave incluyen "vida útil de servicio". Se añade una conclusión sobre la ESL. Se crean los subtítulos 5.2 y 5.3.</w:t>
            </w:r>
          </w:p>
        </w:tc>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Arial" w:cs="Arial" w:eastAsia="Arial" w:hAnsi="Arial"/>
                <w:b w:val="false"/>
                <w:bCs w:val="false"/>
                <w:color w:val="000000"/>
                <w:sz w:val="17"/>
                <w:szCs w:val="17"/>
              </w:rPr>
              <w:t xml:space="preserve">Varias</w:t>
            </w:r>
          </w:p>
        </w:tc>
      </w:tr>
    </w:tbl>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2026-10-10T19:23:34.725Z</dcterms:created>
  <dcterms:modified xsi:type="dcterms:W3CDTF">2026-10-10T19:23:34.733Z</dcterms:modified>
</cp:coreProperties>
</file>

<file path=docProps/custom.xml><?xml version="1.0" encoding="utf-8"?>
<Properties xmlns="http://schemas.openxmlformats.org/officeDocument/2006/custom-properties" xmlns:vt="http://schemas.openxmlformats.org/officeDocument/2006/docPropsVTypes"/>
</file>