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AGKicker"/>
        <w:spacing w:before="100" w:after="220"/>
      </w:pPr>
      <w:r>
        <w:t>مراسلات رسمية</w:t>
      </w:r>
    </w:p>
    <w:p>
      <w:pPr>
        <w:pStyle w:val="INTAGMeta"/>
        <w:bidi w:val="1"/>
        <w:spacing w:after="28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b/>
          <w:color w:val="50616F"/>
          <w:sz w:val="18"/>
          <w:rtl w:val="1"/>
          <w:szCs w:val="18"/>
          <w:bCs w:val="1"/>
        </w:rPr>
        <w:t>التاريخ: [التاريخ]  ·  المرجع: [رقم المرجع]  ·  الإصدار: 2.0</w:t>
      </w:r>
    </w:p>
    <w:p>
      <w:pPr>
        <w:bidi w:val="1"/>
        <w:spacing w:after="2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b/>
          <w:color w:val="0B0D10"/>
          <w:sz w:val="20"/>
          <w:rtl w:val="1"/>
          <w:szCs w:val="20"/>
          <w:bCs w:val="1"/>
        </w:rPr>
        <w:t>[اسم المستلم]</w:t>
      </w:r>
    </w:p>
    <w:p>
      <w:pPr>
        <w:bidi w:val="1"/>
        <w:spacing w:after="2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b w:val="0"/>
          <w:color w:val="0B0D10"/>
          <w:sz w:val="20"/>
          <w:rtl w:val="1"/>
          <w:szCs w:val="20"/>
          <w:bCs w:val="0"/>
        </w:rPr>
        <w:t>[الصفة الوظيفية]</w:t>
      </w:r>
    </w:p>
    <w:p>
      <w:pPr>
        <w:bidi w:val="1"/>
        <w:spacing w:after="2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b w:val="0"/>
          <w:color w:val="0B0D10"/>
          <w:sz w:val="20"/>
          <w:rtl w:val="1"/>
          <w:szCs w:val="20"/>
          <w:bCs w:val="0"/>
        </w:rPr>
        <w:t>[اسم الجهة]</w:t>
      </w:r>
    </w:p>
    <w:p>
      <w:pPr>
        <w:bidi w:val="1"/>
        <w:spacing w:after="2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b w:val="0"/>
          <w:color w:val="0B0D10"/>
          <w:sz w:val="20"/>
          <w:rtl w:val="1"/>
          <w:szCs w:val="20"/>
          <w:bCs w:val="0"/>
        </w:rPr>
        <w:t>[العنوان]</w:t>
      </w:r>
    </w:p>
    <w:p>
      <w:pPr>
        <w:bidi w:val="1"/>
        <w:spacing w:after="2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b w:val="0"/>
          <w:color w:val="0B0D10"/>
          <w:sz w:val="20"/>
          <w:rtl w:val="1"/>
          <w:szCs w:val="20"/>
          <w:bCs w:val="0"/>
        </w:rPr>
        <w:t>[المدينة والدولة]</w:t>
      </w:r>
    </w:p>
    <w:p>
      <w:pPr>
        <w:bidi w:val="1"/>
        <w:spacing w:before="0" w:after="140" w:line="240" w:lineRule="auto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color w:val="FFFFFF"/>
          <w:sz w:val="2"/>
          <w:rtl w:val="1"/>
          <w:szCs w:val="2"/>
        </w:rPr>
        <w:t xml:space="preserve"> </w:t>
      </w:r>
    </w:p>
    <w:p>
      <w:pPr>
        <w:pStyle w:val="INTAGNote"/>
        <w:bidi w:val="1"/>
        <w:jc w:val="start"/>
        <w:shd w:fill="F4F1E9" w:val="clear"/>
        <w:keepNext w:val="0"/>
        <w:keepLines/>
        <w:widowControl/>
        <w:pBdr>
          <w:start w:val="single" w:sz="12" w:space="8" w:color="087058"/>
        </w:pBdr>
        <w:spacing w:before="80" w:after="140"/>
        <w:ind w:left="120" w:right="120"/>
      </w:pPr>
      <w:r>
        <w:rPr>
          <w:rFonts w:ascii="IBM Plex Sans Arabic" w:hAnsi="IBM Plex Sans Arabic" w:eastAsia="IBM Plex Sans Arabic" w:cs="IBM Plex Sans Arabic"/>
          <w:lang w:val="ar-EG" w:bidi="ar-EG"/>
          <w:b/>
          <w:color w:val="087058"/>
          <w:sz w:val="18"/>
          <w:rtl w:val="1"/>
          <w:szCs w:val="18"/>
          <w:bCs w:val="1"/>
        </w:rPr>
        <w:t xml:space="preserve">الموضوع  </w:t>
      </w:r>
      <w:r>
        <w:rPr>
          <w:rFonts w:ascii="IBM Plex Sans Arabic" w:hAnsi="IBM Plex Sans Arabic" w:eastAsia="IBM Plex Sans Arabic" w:cs="IBM Plex Sans Arabic"/>
          <w:lang w:val="ar-EG" w:bidi="ar-EG"/>
          <w:color w:val="071B2D"/>
          <w:sz w:val="18"/>
          <w:rtl w:val="1"/>
          <w:szCs w:val="18"/>
        </w:rPr>
        <w:t>[اكتب عنوانًا مختصرًا ومحددًا للرسالة]</w:t>
      </w:r>
    </w:p>
    <w:p>
      <w:pPr>
        <w:bidi w:val="1"/>
        <w:spacing w:before="160" w:after="20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color w:val="0B0D10"/>
          <w:sz w:val="22"/>
          <w:rtl w:val="1"/>
          <w:szCs w:val="22"/>
        </w:rPr>
        <w:t>تحية طيبة وبعد،</w:t>
      </w:r>
    </w:p>
    <w:p>
      <w:pPr>
        <w:pStyle w:val="INTAGPlaceholder"/>
        <w:bidi w:val="1"/>
        <w:spacing w:after="22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color w:val="50616F"/>
          <w:sz w:val="21"/>
          <w:rtl w:val="1"/>
          <w:szCs w:val="21"/>
        </w:rPr>
        <w:t>[اكتب الفقرة الافتتاحية بوضوح، واذكر الغرض من الرسالة والسياق الضروري فقط.]</w:t>
      </w:r>
    </w:p>
    <w:p>
      <w:pPr>
        <w:pStyle w:val="INTAGPlaceholder"/>
        <w:bidi w:val="1"/>
        <w:spacing w:after="22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color w:val="50616F"/>
          <w:sz w:val="21"/>
          <w:rtl w:val="1"/>
          <w:szCs w:val="21"/>
        </w:rPr>
        <w:t>[اعرض المعلومات أو القرارات المطلوبة في فقرات قصيرة، وتحقق من الأسماء والتواريخ والمالكين قبل الإرسال.]</w:t>
      </w:r>
    </w:p>
    <w:p>
      <w:pPr>
        <w:pStyle w:val="INTAGPlaceholder"/>
        <w:bidi w:val="1"/>
        <w:spacing w:after="22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color w:val="50616F"/>
          <w:sz w:val="21"/>
          <w:rtl w:val="1"/>
          <w:szCs w:val="21"/>
        </w:rPr>
        <w:t>[اختم بخطوة تالية واضحة، وحدد من سيتولى المتابعة ومتى، من دون إضافة التزام غير معتمد.]</w:t>
      </w:r>
    </w:p>
    <w:p>
      <w:pPr>
        <w:bidi w:val="1"/>
        <w:spacing w:before="80" w:after="16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color w:val="0B0D10"/>
          <w:sz w:val="21"/>
          <w:rtl w:val="1"/>
          <w:szCs w:val="21"/>
        </w:rPr>
        <w:t>وتفضلوا بقبول خالص التحية،</w:t>
      </w:r>
    </w:p>
    <w:p>
      <w:pPr>
        <w:bidi w:val="1"/>
        <w:spacing w:after="4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b/>
          <w:color w:val="071B2D"/>
          <w:sz w:val="20"/>
          <w:rtl w:val="1"/>
          <w:szCs w:val="20"/>
          <w:bCs w:val="1"/>
        </w:rPr>
        <w:t>[الاسم الكامل]</w:t>
      </w:r>
    </w:p>
    <w:p>
      <w:pPr>
        <w:bidi w:val="1"/>
        <w:spacing w:after="4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b w:val="0"/>
          <w:color w:val="50616F"/>
          <w:sz w:val="19"/>
          <w:rtl w:val="1"/>
          <w:szCs w:val="19"/>
          <w:bCs w:val="0"/>
        </w:rPr>
        <w:t>[المسمى الوظيفي]</w:t>
      </w:r>
    </w:p>
    <w:p>
      <w:pPr>
        <w:bidi w:val="1"/>
        <w:spacing w:after="4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b/>
          <w:color w:val="134B82"/>
          <w:sz w:val="20"/>
          <w:rtl w:val="1"/>
          <w:szCs w:val="20"/>
          <w:bCs w:val="1"/>
        </w:rPr>
        <w:t>إنتاغ للحلول الرقمية</w:t>
      </w:r>
    </w:p>
    <w:p>
      <w:pPr>
        <w:bidi w:val="1"/>
        <w:spacing w:after="40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b w:val="0"/>
          <w:color w:val="50616F"/>
          <w:sz w:val="19"/>
          <w:rtl w:val="1"/>
          <w:szCs w:val="19"/>
          <w:bCs w:val="0"/>
        </w:rPr>
        <w:t>[البريد الإلكتروني]  ·  [رقم الهاتف]  ·  [الموقع الإلكتروني]</w:t>
      </w:r>
    </w:p>
    <w:p>
      <w:pPr>
        <w:bidi w:val="1"/>
        <w:spacing w:before="0" w:after="440" w:line="240" w:lineRule="auto"/>
        <w:jc w:val="start"/>
      </w:pPr>
      <w:r>
        <w:rPr>
          <w:rFonts w:ascii="IBM Plex Sans Arabic" w:hAnsi="IBM Plex Sans Arabic" w:eastAsia="IBM Plex Sans Arabic" w:cs="IBM Plex Sans Arabic"/>
          <w:lang w:val="ar-EG" w:bidi="ar-EG"/>
          <w:color w:val="FFFFFF"/>
          <w:sz w:val="2"/>
          <w:rtl w:val="1"/>
          <w:szCs w:val="2"/>
        </w:rPr>
        <w:t xml:space="preserve"> </w:t>
      </w:r>
    </w:p>
    <w:p>
      <w:pPr>
        <w:pStyle w:val="INTAGNote"/>
        <w:bidi w:val="1"/>
        <w:jc w:val="start"/>
        <w:shd w:fill="E8F1F2" w:val="clear"/>
        <w:keepNext w:val="0"/>
        <w:keepLines/>
        <w:widowControl/>
        <w:pBdr>
          <w:start w:val="single" w:sz="12" w:space="8" w:color="134B82"/>
        </w:pBdr>
        <w:spacing w:before="80" w:after="140"/>
        <w:ind w:left="120" w:right="120"/>
      </w:pPr>
      <w:r>
        <w:rPr>
          <w:rFonts w:ascii="IBM Plex Sans Arabic" w:hAnsi="IBM Plex Sans Arabic" w:eastAsia="IBM Plex Sans Arabic" w:cs="IBM Plex Sans Arabic"/>
          <w:lang w:val="ar-EG" w:bidi="ar-EG"/>
          <w:b/>
          <w:color w:val="134B82"/>
          <w:sz w:val="18"/>
          <w:rtl w:val="1"/>
          <w:szCs w:val="18"/>
          <w:bCs w:val="1"/>
        </w:rPr>
        <w:t xml:space="preserve">ملاحظة القالب  </w:t>
      </w:r>
      <w:r>
        <w:rPr>
          <w:rFonts w:ascii="IBM Plex Sans Arabic" w:hAnsi="IBM Plex Sans Arabic" w:eastAsia="IBM Plex Sans Arabic" w:cs="IBM Plex Sans Arabic"/>
          <w:lang w:val="ar-EG" w:bidi="ar-EG"/>
          <w:color w:val="071B2D"/>
          <w:sz w:val="18"/>
          <w:rtl w:val="1"/>
          <w:szCs w:val="18"/>
        </w:rPr>
        <w:t>استبدل جميع الحقول المحاطة بأقواس مربعة، ثم راجع الحقائق والتواريخ والصلاحيات والالتزامات قبل الإرسال.</w:t>
      </w:r>
    </w:p>
    <w:sectPr>
      <w:headerReference w:type="default" r:id="rId9"/>
      <w:footerReference w:type="default" r:id="rId10"/>
      <w:pgSz w:w="11906" w:h="16838"/>
      <w:pgMar w:top="1498" w:right="1273" w:bottom="1037" w:left="127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BM Plex Sans Arabic">
    <w:family w:val="swiss"/>
    <w:charset w:val="00"/>
    <w:embedRegular r:id="rIdIntagArabicRegular" w:fontKey="{375F0E0A-CE8C-51FF-A5CE-16E10F23F99C}" w:subsetted="0"/>
    <w:embedBold r:id="rIdIntagArabicBold" w:fontKey="{DB222229-8B49-5189-903D-5AA5297E812A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1"/>
      <w:spacing w:before="0" w:after="0" w:line="240" w:lineRule="auto"/>
      <w:jc w:val="center"/>
      <w:pBdr>
        <w:top w:val="single" w:sz="8" w:space="6" w:color="C8CED1"/>
      </w:pBdr>
    </w:pPr>
    <w:r>
      <w:rPr>
        <w:rFonts w:ascii="IBM Plex Sans Arabic" w:hAnsi="IBM Plex Sans Arabic" w:eastAsia="IBM Plex Sans Arabic" w:cs="IBM Plex Sans Arabic"/>
        <w:lang w:val="ar-EG" w:bidi="ar-EG"/>
        <w:color w:val="50616F"/>
        <w:sz w:val="15"/>
        <w:rtl w:val="1"/>
        <w:szCs w:val="15"/>
      </w:rPr>
      <w:t xml:space="preserve">نموذج مراسلات إنتاغ  ·  قالب عمل قابل للتحرير  ·  الإصدار 2.0  ·  صفحة </w:t>
    </w:r>
    <w:r>
      <w:rPr>
        <w:rFonts w:ascii="IBM Plex Sans Arabic" w:hAnsi="IBM Plex Sans Arabic" w:eastAsia="IBM Plex Sans Arabic" w:cs="IBM Plex Sans Arabic"/>
        <w:lang w:val="ar-EG" w:bidi="ar-EG"/>
        <w:color w:val="50616F"/>
        <w:sz w:val="16"/>
        <w:rtl w:val="1"/>
        <w:szCs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IBM Plex Sans Arabic" w:hAnsi="IBM Plex Sans Arabic" w:eastAsia="IBM Plex Sans Arabic" w:cs="IBM Plex Sans Arabic"/>
        <w:lang w:val="ar-EG" w:bidi="ar-EG"/>
        <w:color w:val="50616F"/>
        <w:sz w:val="15"/>
        <w:rtl w:val="1"/>
        <w:szCs w:val="15"/>
      </w:rPr>
      <w:t xml:space="preserve"> من </w:t>
    </w:r>
    <w:r>
      <w:rPr>
        <w:rFonts w:ascii="IBM Plex Sans Arabic" w:hAnsi="IBM Plex Sans Arabic" w:eastAsia="IBM Plex Sans Arabic" w:cs="IBM Plex Sans Arabic"/>
        <w:lang w:val="ar-EG" w:bidi="ar-EG"/>
        <w:color w:val="50616F"/>
        <w:sz w:val="16"/>
        <w:rtl w:val="1"/>
        <w:szCs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1"/>
      <w:spacing w:before="0" w:after="40" w:line="240" w:lineRule="auto"/>
      <w:jc w:val="start"/>
    </w:pPr>
    <w:r>
      <w:drawing>
        <wp:inline xmlns:a="http://schemas.openxmlformats.org/drawingml/2006/main" xmlns:pic="http://schemas.openxmlformats.org/drawingml/2006/picture">
          <wp:extent cx="1874519" cy="615077"/>
          <wp:docPr id="1" name="Picture 1" descr="شعار إنتاغ للحلول الرقمية، الشعار رقم 02" title="شعار إنتاغ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AG_Logo_Primary_Horizontal_RGB_v1_1280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4519" cy="615077"/>
                  </a:xfrm>
                  <a:prstGeom prst="rect"/>
                </pic:spPr>
              </pic:pic>
            </a:graphicData>
          </a:graphic>
        </wp:inline>
      </w:drawing>
    </w:r>
  </w:p>
  <w:p>
    <w:pPr>
      <w:pStyle w:val="INTAGMeta"/>
      <w:bidi w:val="1"/>
      <w:spacing w:before="0" w:after="0" w:line="240" w:lineRule="auto"/>
      <w:jc w:val="start"/>
    </w:pPr>
    <w:r>
      <w:rPr>
        <w:rFonts w:ascii="IBM Plex Sans Arabic" w:hAnsi="IBM Plex Sans Arabic" w:eastAsia="IBM Plex Sans Arabic" w:cs="IBM Plex Sans Arabic"/>
        <w:lang w:val="ar-EG" w:bidi="ar-EG"/>
        <w:b/>
        <w:color w:val="50616F"/>
        <w:sz w:val="15"/>
        <w:rtl w:val="1"/>
        <w:szCs w:val="15"/>
        <w:bCs w:val="1"/>
      </w:rPr>
      <w:t>الشعار 02 معتمد، وبقية القرارات قيد المراجعة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bidi w:val="1"/>
      <w:spacing w:before="0" w:after="120" w:line="264" w:lineRule="auto"/>
      <w:jc w:val="start"/>
    </w:pPr>
    <w:rPr>
      <w:rFonts w:ascii="IBM Plex Sans Arabic" w:hAnsi="IBM Plex Sans Arabic" w:eastAsia="IBM Plex Sans Arabic" w:cs="IBM Plex Sans Arabic"/>
      <w:lang w:val="ar-EG" w:bidi="ar-EG"/>
      <w:color w:val="0B0D10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jc w:val="start"/>
      <w:outlineLvl w:val="0"/>
      <w:bidi w:val="1"/>
    </w:pPr>
    <w:rPr>
      <w:rFonts w:asciiTheme="majorHAnsi" w:eastAsiaTheme="majorEastAsia" w:hAnsiTheme="majorHAnsi" w:cstheme="majorBidi" w:ascii="IBM Plex Sans Arabic" w:hAnsi="IBM Plex Sans Arabic" w:eastAsia="IBM Plex Sans Arabic" w:cs="IBM Plex Sans Arabic"/>
      <w:b/>
      <w:bCs w:val="1"/>
      <w:color w:val="134B82"/>
      <w:sz w:val="36"/>
      <w:szCs w:val="36"/>
      <w:lang w:val="ar-EG" w:bidi="ar-EG"/>
      <w:rtl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jc w:val="start"/>
      <w:outlineLvl w:val="1"/>
      <w:bidi w:val="1"/>
    </w:pPr>
    <w:rPr>
      <w:rFonts w:asciiTheme="majorHAnsi" w:eastAsiaTheme="majorEastAsia" w:hAnsiTheme="majorHAnsi" w:cstheme="majorBidi" w:ascii="IBM Plex Sans Arabic" w:hAnsi="IBM Plex Sans Arabic" w:eastAsia="IBM Plex Sans Arabic" w:cs="IBM Plex Sans Arabic"/>
      <w:b/>
      <w:bCs w:val="1"/>
      <w:color w:val="134B82"/>
      <w:sz w:val="28"/>
      <w:szCs w:val="28"/>
      <w:lang w:val="ar-EG" w:bidi="ar-EG"/>
      <w:rtl w:val="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jc w:val="start"/>
      <w:outlineLvl w:val="2"/>
      <w:bidi w:val="1"/>
    </w:pPr>
    <w:rPr>
      <w:rFonts w:asciiTheme="majorHAnsi" w:eastAsiaTheme="majorEastAsia" w:hAnsiTheme="majorHAnsi" w:cstheme="majorBidi" w:ascii="IBM Plex Sans Arabic" w:hAnsi="IBM Plex Sans Arabic" w:eastAsia="IBM Plex Sans Arabic" w:cs="IBM Plex Sans Arabic"/>
      <w:b/>
      <w:bCs w:val="1"/>
      <w:lang w:val="ar-EG" w:bidi="ar-EG"/>
      <w:color w:val="087058"/>
      <w:sz w:val="25"/>
      <w:rtl w:val="1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  <w:keepNext/>
      <w:bidi w:val="1"/>
      <w:jc w:val="start"/>
    </w:pPr>
    <w:rPr>
      <w:rFonts w:asciiTheme="majorHAnsi" w:eastAsiaTheme="majorEastAsia" w:hAnsiTheme="majorHAnsi" w:cstheme="majorBidi" w:ascii="IBM Plex Sans Arabic" w:hAnsi="IBM Plex Sans Arabic" w:eastAsia="IBM Plex Sans Arabic" w:cs="IBM Plex Sans Arabic"/>
      <w:b/>
      <w:color w:val="071B2D"/>
      <w:spacing w:val="5"/>
      <w:kern w:val="28"/>
      <w:sz w:val="52"/>
      <w:szCs w:val="52"/>
      <w:lang w:val="ar-EG" w:bidi="ar-EG"/>
      <w:rtl w:val="1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bidi w:val="1"/>
      <w:spacing w:before="0" w:after="280" w:line="276" w:lineRule="auto"/>
      <w:jc w:val="start"/>
    </w:pPr>
    <w:rPr>
      <w:rFonts w:asciiTheme="majorHAnsi" w:eastAsiaTheme="majorEastAsia" w:hAnsiTheme="majorHAnsi" w:cstheme="majorBidi" w:ascii="IBM Plex Sans Arabic" w:hAnsi="IBM Plex Sans Arabic" w:eastAsia="IBM Plex Sans Arabic" w:cs="IBM Plex Sans Arabic"/>
      <w:i w:val="0"/>
      <w:iCs w:val="0"/>
      <w:color w:val="50616F"/>
      <w:spacing w:val="15"/>
      <w:sz w:val="26"/>
      <w:szCs w:val="26"/>
      <w:lang w:val="ar-EG" w:bidi="ar-EG"/>
      <w:rtl w:val="1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AGKicker">
    <w:name w:val="INTAG Kicker"/>
    <w:pPr>
      <w:keepNext/>
      <w:bidi w:val="1"/>
      <w:spacing w:before="0" w:after="140"/>
      <w:jc w:val="start"/>
    </w:pPr>
    <w:rPr>
      <w:rFonts w:ascii="IBM Plex Sans Arabic" w:hAnsi="IBM Plex Sans Arabic" w:eastAsia="IBM Plex Sans Arabic" w:cs="IBM Plex Sans Arabic"/>
      <w:lang w:val="ar-EG" w:bidi="ar-EG"/>
      <w:b/>
      <w:color w:val="087058"/>
      <w:sz w:val="17"/>
      <w:rtl w:val="1"/>
      <w:szCs w:val="17"/>
      <w:bCs w:val="1"/>
    </w:rPr>
  </w:style>
  <w:style w:type="paragraph" w:customStyle="1" w:styleId="INTAGLead">
    <w:name w:val="INTAG Lead"/>
    <w:pPr>
      <w:keepLines/>
      <w:bidi w:val="1"/>
      <w:spacing w:before="0" w:after="200" w:line="288" w:lineRule="auto"/>
      <w:jc w:val="start"/>
    </w:pPr>
    <w:rPr>
      <w:rFonts w:ascii="IBM Plex Sans Arabic" w:hAnsi="IBM Plex Sans Arabic" w:eastAsia="IBM Plex Sans Arabic" w:cs="IBM Plex Sans Arabic"/>
      <w:lang w:val="ar-EG" w:bidi="ar-EG"/>
      <w:b/>
      <w:color w:val="071B2D"/>
      <w:sz w:val="26"/>
      <w:rtl w:val="1"/>
      <w:szCs w:val="26"/>
      <w:bCs w:val="1"/>
    </w:rPr>
  </w:style>
  <w:style w:type="paragraph" w:customStyle="1" w:styleId="INTAGMeta">
    <w:name w:val="INTAG Meta"/>
    <w:pPr>
      <w:bidi w:val="1"/>
      <w:spacing w:before="0" w:after="60" w:line="240" w:lineRule="auto"/>
      <w:jc w:val="start"/>
    </w:pPr>
    <w:rPr>
      <w:rFonts w:ascii="IBM Plex Sans Arabic" w:hAnsi="IBM Plex Sans Arabic" w:eastAsia="IBM Plex Sans Arabic" w:cs="IBM Plex Sans Arabic"/>
      <w:lang w:val="ar-EG" w:bidi="ar-EG"/>
      <w:color w:val="50616F"/>
      <w:sz w:val="17"/>
      <w:rtl w:val="1"/>
      <w:szCs w:val="17"/>
    </w:rPr>
  </w:style>
  <w:style w:type="paragraph" w:customStyle="1" w:styleId="INTAGNote">
    <w:name w:val="INTAG Note"/>
    <w:pPr>
      <w:bidi w:val="1"/>
      <w:spacing w:before="0" w:after="0" w:line="276" w:lineRule="auto"/>
      <w:jc w:val="start"/>
    </w:pPr>
    <w:rPr>
      <w:rFonts w:ascii="IBM Plex Sans Arabic" w:hAnsi="IBM Plex Sans Arabic" w:eastAsia="IBM Plex Sans Arabic" w:cs="IBM Plex Sans Arabic"/>
      <w:lang w:val="ar-EG" w:bidi="ar-EG"/>
      <w:color w:val="071B2D"/>
      <w:sz w:val="18"/>
      <w:rtl w:val="1"/>
      <w:szCs w:val="18"/>
    </w:rPr>
  </w:style>
  <w:style w:type="paragraph" w:customStyle="1" w:styleId="INTAGPlaceholder">
    <w:name w:val="INTAG Placeholder"/>
    <w:pPr>
      <w:bidi w:val="1"/>
      <w:spacing w:before="0" w:after="160" w:line="300" w:lineRule="auto"/>
      <w:jc w:val="start"/>
    </w:pPr>
    <w:rPr>
      <w:rFonts w:ascii="IBM Plex Sans Arabic" w:hAnsi="IBM Plex Sans Arabic" w:eastAsia="IBM Plex Sans Arabic" w:cs="IBM Plex Sans Arabic"/>
      <w:lang w:val="ar-EG" w:bidi="ar-EG"/>
      <w:i w:val="0"/>
      <w:color w:val="50616F"/>
      <w:sz w:val="21"/>
      <w:rtl w:val="1"/>
      <w:szCs w:val="21"/>
      <w:iCs w:val="0"/>
    </w:rPr>
  </w:style>
  <w:style w:type="paragraph" w:customStyle="1" w:styleId="INTAGBullet">
    <w:name w:val="INTAG Bullet"/>
    <w:pPr>
      <w:bidi w:val="1"/>
      <w:spacing w:before="0" w:after="160" w:line="280" w:lineRule="auto"/>
      <w:jc w:val="start"/>
    </w:pPr>
    <w:rPr>
      <w:rFonts w:ascii="IBM Plex Sans Arabic" w:hAnsi="IBM Plex Sans Arabic" w:eastAsia="IBM Plex Sans Arabic" w:cs="IBM Plex Sans Arabic"/>
      <w:lang w:val="ar-EG" w:bidi="ar-EG"/>
      <w:color w:val="0B0D10"/>
      <w:sz w:val="21"/>
      <w:rtl w:val="1"/>
      <w:szCs w:val="22"/>
    </w:rPr>
  </w:style>
  <w:style w:type="paragraph" w:customStyle="1" w:styleId="INTAGNumber">
    <w:name w:val="INTAG Number"/>
    <w:pPr>
      <w:bidi w:val="1"/>
      <w:spacing w:before="0" w:after="160" w:line="280" w:lineRule="auto"/>
      <w:jc w:val="start"/>
    </w:pPr>
    <w:rPr>
      <w:rFonts w:ascii="IBM Plex Sans Arabic" w:hAnsi="IBM Plex Sans Arabic" w:eastAsia="IBM Plex Sans Arabic" w:cs="IBM Plex Sans Arabic"/>
      <w:lang w:val="ar-EG" w:bidi="ar-EG"/>
      <w:color w:val="0B0D10"/>
      <w:sz w:val="21"/>
      <w:rtl w:val="1"/>
      <w:szCs w:val="22"/>
    </w:rPr>
  </w:style>
  <w:style w:type="paragraph" w:customStyle="1" w:styleId="INTAGTableHeader">
    <w:name w:val="INTAG Table Header"/>
    <w:pPr>
      <w:bidi w:val="1"/>
      <w:spacing w:before="0" w:after="0" w:line="252" w:lineRule="auto"/>
      <w:jc w:val="start"/>
    </w:pPr>
    <w:rPr>
      <w:rFonts w:ascii="IBM Plex Sans Arabic" w:hAnsi="IBM Plex Sans Arabic" w:eastAsia="IBM Plex Sans Arabic" w:cs="IBM Plex Sans Arabic"/>
      <w:lang w:val="ar-EG" w:bidi="ar-EG"/>
      <w:b/>
      <w:color w:val="FFFFFF"/>
      <w:sz w:val="18"/>
      <w:rtl w:val="1"/>
      <w:szCs w:val="18"/>
      <w:bCs w:val="1"/>
    </w:rPr>
  </w:style>
  <w:style w:type="paragraph" w:customStyle="1" w:styleId="INTAGTableBody">
    <w:name w:val="INTAG Table Body"/>
    <w:pPr>
      <w:bidi w:val="1"/>
      <w:spacing w:before="0" w:after="0" w:line="276" w:lineRule="auto"/>
      <w:jc w:val="start"/>
    </w:pPr>
    <w:rPr>
      <w:rFonts w:ascii="IBM Plex Sans Arabic" w:hAnsi="IBM Plex Sans Arabic" w:eastAsia="IBM Plex Sans Arabic" w:cs="IBM Plex Sans Arabic"/>
      <w:lang w:val="ar-EG" w:bidi="ar-EG"/>
      <w:color w:val="0B0D10"/>
      <w:sz w:val="18"/>
      <w:rtl w:val="1"/>
      <w:szCs w:val="18"/>
    </w:rPr>
  </w:style>
  <w:style w:type="paragraph" w:customStyle="1" w:styleId="INTAGSignature">
    <w:name w:val="INTAG Signature"/>
    <w:pPr>
      <w:bidi w:val="1"/>
      <w:spacing w:before="0" w:after="100" w:line="252" w:lineRule="auto"/>
      <w:jc w:val="start"/>
    </w:pPr>
    <w:rPr>
      <w:rFonts w:ascii="IBM Plex Sans Arabic" w:hAnsi="IBM Plex Sans Arabic" w:eastAsia="IBM Plex Sans Arabic" w:cs="IBM Plex Sans Arabic"/>
      <w:lang w:val="ar-EG" w:bidi="ar-EG"/>
      <w:color w:val="0B0D10"/>
      <w:sz w:val="18"/>
      <w:rtl w:val="1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IntagArabicRegular" Type="http://schemas.openxmlformats.org/officeDocument/2006/relationships/font" Target="fonts/IBMPlexSansArabic-Regular.odttf"/><Relationship Id="rIdIntagArabicBold" Type="http://schemas.openxmlformats.org/officeDocument/2006/relationships/font" Target="fonts/IBMPlexSansArabic-Bold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المراسلات الرسمية لإنتاغ - الإصدار 2.0</dc:title>
  <dc:subject>ورق رسمي عربي عملي وهادئ قابل للتحرير</dc:subject>
  <dc:creator/>
  <cp:keywords>إنتاغ، قالب عمل، هوية بصرية، مقترح</cp:keywords>
  <dc:description>قالب عمل. يجب استبدال جميع الحقول المحاطة بأقواس مربعة قبل الاستخدام.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