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Assignment Module 9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Infrastructure services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1- Host A and Host B sit in two different subnets. The path between the subnets of these two hosts runs through three different Layer 3 forwarding devices (routers and Layer 3 switches). A network engineer uses the APIC-EM Path Trace ACL Analysis tool to analyze the path used for Host A to send packets to Host B. Which part of the function is done specifically by the ACL Analysis or ACL Trace part of the tool?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A. Discovery of the topology that exists between the two hosts 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B. Analysis of the Layer 3 forwarding decisions in the path from Host A to B 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C. Analysis of the Layer 2 forwarding decisions in the path from Host A to B 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D. Analysis of the impact of ACLs on the packets that would flow from Host A to B 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Answer:-D. Analysis of the impact of ACLs on the packets that would flow from Host A to B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2- Which IPv6 address is the equivalent of the IPv4 interface loopback address 127.0.0.1? 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A. ::1 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B. :: 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C. 2000::/3 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D. 0::/10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Answer:-A. ::1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3- Which command is used to apply an ACL to an interface? 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A. access-group 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B. ip access-group 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C. ip access-list 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D. ip access-class 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E. access-class 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F. access-list 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Answer:-B. ip access-group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4- Which command and mode will successfully configure a hostname of R1 on a Cisco IOS router? 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A. Router(config)#name R1 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B. Router# hostname R1 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C. Router(config)#hostname R1 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D. Router#name R1 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E. Router&gt;hostname R1 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F. Router&gt;name R1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Answer:-C. Router(config)#hostname R1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5- Which of the following reserved IPv4 addresses has binary 0s in all of the host bit positions? 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A. Local broadcast address 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B. Loopback address 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C. Directed broadcast address 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D. Network address 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E. All zeros address 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Answer:-D. Network address 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1338263</wp:posOffset>
          </wp:positionH>
          <wp:positionV relativeFrom="paragraph">
            <wp:posOffset>-342899</wp:posOffset>
          </wp:positionV>
          <wp:extent cx="3267075" cy="628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