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Collaboration and Analyst Role Evolution</w:t>
      </w:r>
    </w:p>
    <w:p>
      <w:r>
        <w:rPr>
          <w:rFonts w:ascii="Arial" w:hAnsi="Arial"/>
        </w:rPr>
        <w:t>AI accelerated data preparation, analysis design, and communication throughout this project. The analysis remained reliable because I treated AI as a source of drafts and options rather than as an authority. I manually checked the source definitions, calculations, terminology, and final outputs before accepting any material suggestion.</w:t>
      </w:r>
    </w:p>
    <w:p>
      <w:pPr>
        <w:pStyle w:val="Heading1"/>
      </w:pPr>
      <w:r>
        <w:t>How AI Supported the Project</w:t>
      </w:r>
    </w:p>
    <w:p>
      <w:pPr>
        <w:pStyle w:val="Heading2"/>
      </w:pPr>
      <w:r>
        <w:t>Data Preparation</w:t>
      </w:r>
    </w:p>
    <w:p>
      <w:r>
        <w:rPr>
          <w:rFonts w:ascii="Arial" w:hAnsi="Arial"/>
        </w:rPr>
        <w:t>AI helped inspect the EPA file structure, identify the service-line fields needed for the research question, and draft pandas code for numeric conversion and filtering. It also suggested missing-value checks, uniqueness checks, and a reconciliation test comparing Lead, GRR, Unknown, and Non-lead counts with each system's reported total. These suggestions reduced time spent writing routine code and helped organize the validation sequence.</w:t>
      </w:r>
    </w:p>
    <w:p>
      <w:pPr>
        <w:pStyle w:val="Heading2"/>
      </w:pPr>
      <w:r>
        <w:t>Analysis</w:t>
      </w:r>
    </w:p>
    <w:p>
      <w:r>
        <w:rPr>
          <w:rFonts w:ascii="Arial" w:hAnsi="Arial"/>
        </w:rPr>
        <w:t>AI helped frame infrastructure need as two separate dimensions: Known Replacement Inventory and Identification Need. It suggested state aggregation, ranking comparisons, a scatterplot, and population normalization. It also raised the concern that raw totals favor larger states and helped compare possible denominators. The final analysis used Census resident population because summed water-system population counts may overlap and do not necessarily represent unique residents.</w:t>
      </w:r>
    </w:p>
    <w:p>
      <w:pPr>
        <w:pStyle w:val="Heading2"/>
      </w:pPr>
      <w:r>
        <w:t>Communication</w:t>
      </w:r>
    </w:p>
    <w:p>
      <w:r>
        <w:rPr>
          <w:rFonts w:ascii="Arial" w:hAnsi="Arial"/>
        </w:rPr>
        <w:t>AI helped organize notebook sections, draft chart titles, simplify explanations, and propose the slide-deck structure. It also produced first drafts of findings, limitations, and practical implications. I revised this material to remove repetition, reduce technical language, and prevent claims that extended beyond the infrastructure inventory data.</w:t>
      </w:r>
    </w:p>
    <w:p>
      <w:pPr>
        <w:pStyle w:val="Heading1"/>
      </w:pPr>
      <w:r>
        <w:t>What I Verified Manually</w:t>
      </w:r>
    </w:p>
    <w:p>
      <w:pPr>
        <w:pStyle w:val="ListBullet"/>
        <w:spacing w:after="40"/>
      </w:pPr>
      <w:r>
        <w:rPr>
          <w:rFonts w:ascii="Arial" w:hAnsi="Arial"/>
          <w:sz w:val="21"/>
        </w:rPr>
        <w:t>The final sample contains 43,993 systems with one unique PWS ID per row.</w:t>
      </w:r>
    </w:p>
    <w:p>
      <w:pPr>
        <w:pStyle w:val="ListBullet"/>
        <w:spacing w:after="40"/>
      </w:pPr>
      <w:r>
        <w:rPr>
          <w:rFonts w:ascii="Arial" w:hAnsi="Arial"/>
          <w:sz w:val="21"/>
        </w:rPr>
        <w:t>All final records reconcile to the reported total service-line count.</w:t>
      </w:r>
    </w:p>
    <w:p>
      <w:pPr>
        <w:pStyle w:val="ListBullet"/>
        <w:spacing w:after="40"/>
      </w:pPr>
      <w:r>
        <w:rPr>
          <w:rFonts w:ascii="Arial" w:hAnsi="Arial"/>
          <w:sz w:val="21"/>
        </w:rPr>
        <w:t>Known Replacement equals Lead plus GRR, and Unknown remains a separate metric.</w:t>
      </w:r>
    </w:p>
    <w:p>
      <w:pPr>
        <w:pStyle w:val="ListBullet"/>
        <w:spacing w:after="40"/>
      </w:pPr>
      <w:r>
        <w:rPr>
          <w:rFonts w:ascii="Arial" w:hAnsi="Arial"/>
          <w:sz w:val="21"/>
        </w:rPr>
        <w:t>The state rankings, national totals, population merge, and chart labels match the notebook outputs.</w:t>
      </w:r>
    </w:p>
    <w:p>
      <w:pPr>
        <w:pStyle w:val="ListBullet"/>
        <w:spacing w:after="40"/>
      </w:pPr>
      <w:r>
        <w:rPr>
          <w:rFonts w:ascii="Arial" w:hAnsi="Arial"/>
          <w:sz w:val="21"/>
        </w:rPr>
        <w:t>The charts remain legible and do not imply that Unknown lines are confirmed lead lines.</w:t>
      </w:r>
    </w:p>
    <w:p>
      <w:r>
        <w:br w:type="page"/>
      </w:r>
    </w:p>
    <w:p>
      <w:pPr>
        <w:pStyle w:val="Heading1"/>
      </w:pPr>
      <w:r>
        <w:t>AI Suggestions That Required Human Correction</w:t>
      </w:r>
    </w:p>
    <w:tbl>
      <w:tblPr>
        <w:tblW w:type="auto" w:w="0"/>
        <w:jc w:val="center"/>
        <w:tblLayout w:type="fixed"/>
        <w:tblLook w:firstColumn="1" w:firstRow="1" w:lastColumn="0" w:lastRow="0" w:noHBand="0" w:noVBand="1" w:val="04A0"/>
      </w:tblPr>
      <w:tblGrid>
        <w:gridCol w:w="2952"/>
        <w:gridCol w:w="7027"/>
      </w:tblGrid>
      <w:tr>
        <w:trPr>
          <w:tblHeader w:val="true"/>
        </w:trPr>
        <w:tc>
          <w:tcPr>
            <w:tcW w:type="dxa" w:w="5083"/>
            <w:shd w:fill="17324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color w:val="FFFFFF"/>
                <w:sz w:val="19"/>
              </w:rPr>
              <w:t>AI suggestion or weakness</w:t>
            </w:r>
          </w:p>
        </w:tc>
        <w:tc>
          <w:tcPr>
            <w:tcW w:type="dxa" w:w="5083"/>
            <w:shd w:fill="17324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color w:val="FFFFFF"/>
                <w:sz w:val="19"/>
              </w:rPr>
              <w:t>Human correction and lesson</w:t>
            </w:r>
          </w:p>
        </w:tc>
      </w:tr>
      <w:tr>
        <w:tc>
          <w:tcPr>
            <w:tcW w:type="dxa" w:w="29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Sum EPA Population Served Count by state</w:t>
            </w:r>
          </w:p>
        </w:tc>
        <w:tc>
          <w:tcPr>
            <w:tcW w:type="dxa" w:w="7027"/>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Water-system service areas may overlap, so the sum may not represent unique state residents. I used 2025 Census resident population as a consistent state-size benchmark and disclosed the timing difference.</w:t>
            </w:r>
          </w:p>
        </w:tc>
      </w:tr>
      <w:tr>
        <w:tc>
          <w:tcPr>
            <w:tcW w:type="dxa" w:w="2952"/>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Use wording such as confirmed replacement burden</w:t>
            </w:r>
          </w:p>
        </w:tc>
        <w:tc>
          <w:tcPr>
            <w:tcW w:type="dxa" w:w="7027"/>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The phrase was stronger than the data supported. I replaced it with Known Replacement Inventory, which states exactly what the metric contains without implying health risk or a broader burden measure.</w:t>
            </w:r>
          </w:p>
        </w:tc>
      </w:tr>
      <w:tr>
        <w:tc>
          <w:tcPr>
            <w:tcW w:type="dxa" w:w="29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Add county analysis, composite scoring, or more diagnostics</w:t>
            </w:r>
          </w:p>
        </w:tc>
        <w:tc>
          <w:tcPr>
            <w:tcW w:type="dxa" w:w="7027"/>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The EPA file contains no county field, and a composite score would hide the distinction between identification and replacement. I kept the state analysis and removed checks that did not improve correctness or communication.</w:t>
            </w:r>
          </w:p>
        </w:tc>
      </w:tr>
      <w:tr>
        <w:tc>
          <w:tcPr>
            <w:tcW w:type="dxa" w:w="2952"/>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Repeat population interpretation in an additional section</w:t>
            </w:r>
          </w:p>
        </w:tc>
        <w:tc>
          <w:tcPr>
            <w:tcW w:type="dxa" w:w="7027"/>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The proposed section duplicated material already in the notebook. Removing it improved flow and showed why AI output must be checked against the full document rather than accepted in isolation.</w:t>
            </w:r>
          </w:p>
        </w:tc>
      </w:tr>
      <w:tr>
        <w:tc>
          <w:tcPr>
            <w:tcW w:type="dxa" w:w="29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Use an Excel Census file and accept initial chart output</w:t>
            </w:r>
          </w:p>
        </w:tc>
        <w:tc>
          <w:tcPr>
            <w:tcW w:type="dxa" w:w="7027"/>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19"/>
              </w:rPr>
              <w:t>I switched to the CSV version to avoid an unnecessary dependency. Later visual review also caught clipped labels and overlapping annotations that successful code execution alone did not reveal.</w:t>
            </w:r>
          </w:p>
        </w:tc>
      </w:tr>
    </w:tbl>
    <w:p>
      <w:pPr>
        <w:pStyle w:val="Heading1"/>
      </w:pPr>
      <w:r>
        <w:t>How Junior Analyst Work May Change</w:t>
      </w:r>
    </w:p>
    <w:p>
      <w:r>
        <w:rPr>
          <w:rFonts w:ascii="Arial" w:hAnsi="Arial"/>
        </w:rPr>
        <w:t>AI can reduce the time junior analysts spend on boilerplate syntax, first-pass cleaning code, exploratory checks, chart alternatives, and early communication drafts. That shift does not remove the analyst's role. It increases the value of source interpretation, metric design, validation, scope control, and visual quality review.</w:t>
      </w:r>
    </w:p>
    <w:p>
      <w:r>
        <w:rPr>
          <w:rFonts w:ascii="Arial" w:hAnsi="Arial"/>
        </w:rPr>
        <w:t>The most important work in this project came from deciding what the measures meant and where the analysis should stop. Human judgment kept Unknown separate from confirmed Lead and GRR, rejected a misleading denominator, avoided unsupported county estimates, and prevented infrastructure inventory data from becoming a health-risk ranking. These decisions shaped the analysis more than the code itself.</w:t>
      </w:r>
    </w:p>
    <w:p>
      <w:pPr>
        <w:pStyle w:val="Heading1"/>
      </w:pPr>
      <w:r>
        <w:t>Conclusion</w:t>
      </w:r>
    </w:p>
    <w:p>
      <w:r>
        <w:rPr>
          <w:rFonts w:ascii="Arial" w:hAnsi="Arial"/>
        </w:rPr>
        <w:t>AI changes the mix of junior analyst work rather than eliminating it. Analysts may spend less time producing routine first drafts and more time checking definitions, testing assumptions, reviewing outputs, and explaining what the evidence can and cannot support. Used this way, AI increases speed while making disciplined verification more important.</w:t>
      </w:r>
    </w:p>
    <w:sectPr w:rsidR="00FC693F" w:rsidRPr="0006063C" w:rsidSect="00034616">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20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