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Lead Service Line Infrastructure Needs Across the United States</w:t>
      </w:r>
    </w:p>
    <w:p>
      <w:r>
        <w:rPr>
          <w:rFonts w:ascii="Arial" w:hAnsi="Arial"/>
        </w:rPr>
        <w:t>Lead service line infrastructure needs are substantial, but they do not follow one national pattern. Illinois reports the largest inventory already classified for replacement, while Texas and Pennsylvania report the largest unresolved identification inventories. Planning should therefore distinguish between replacement work that is already known and service lines that still require material identification.</w:t>
      </w:r>
    </w:p>
    <w:p>
      <w:pPr>
        <w:pStyle w:val="Heading1"/>
      </w:pPr>
      <w:r>
        <w:t>Three Supporting Findings</w:t>
      </w:r>
    </w:p>
    <w:tbl>
      <w:tblPr>
        <w:tblW w:type="auto" w:w="0"/>
        <w:jc w:val="center"/>
        <w:tblLayout w:type="fixed"/>
        <w:tblLook w:firstColumn="1" w:firstRow="1" w:lastColumn="0" w:lastRow="0" w:noHBand="0" w:noVBand="1" w:val="04A0"/>
      </w:tblPr>
      <w:tblGrid>
        <w:gridCol w:w="2131"/>
        <w:gridCol w:w="7862"/>
      </w:tblGrid>
      <w:tr>
        <w:trPr>
          <w:tblHeader w:val="true"/>
        </w:trPr>
        <w:tc>
          <w:tcPr>
            <w:tcW w:type="dxa" w:w="5083"/>
            <w:shd w:fill="17324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pPr>
            <w:r>
              <w:rPr>
                <w:rFonts w:ascii="Arial" w:hAnsi="Arial"/>
                <w:b/>
                <w:color w:val="FFFFFF"/>
                <w:sz w:val="20"/>
              </w:rPr>
              <w:t>Finding</w:t>
            </w:r>
          </w:p>
        </w:tc>
        <w:tc>
          <w:tcPr>
            <w:tcW w:type="dxa" w:w="5083"/>
            <w:shd w:fill="17324D"/>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pPr>
            <w:r>
              <w:rPr>
                <w:rFonts w:ascii="Arial" w:hAnsi="Arial"/>
                <w:b/>
                <w:color w:val="FFFFFF"/>
                <w:sz w:val="20"/>
              </w:rPr>
              <w:t>Evidence</w:t>
            </w:r>
          </w:p>
        </w:tc>
      </w:tr>
      <w:tr>
        <w:tc>
          <w:tcPr>
            <w:tcW w:type="dxa" w:w="2131"/>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pPr>
            <w:r>
              <w:rPr>
                <w:rFonts w:ascii="Arial" w:hAnsi="Arial"/>
                <w:b/>
                <w:sz w:val="20"/>
              </w:rPr>
              <w:t>National scale</w:t>
            </w:r>
          </w:p>
        </w:tc>
        <w:tc>
          <w:tcPr>
            <w:tcW w:type="dxa" w:w="786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pPr>
            <w:r>
              <w:rPr>
                <w:rFonts w:ascii="Arial" w:hAnsi="Arial"/>
                <w:sz w:val="20"/>
              </w:rPr>
              <w:t>The analytical sample contains 3,115,308 Known Replacement service lines and 21,589,524 Lead Status Unknown service lines. Unresolved identification inventory is about 6.9 times larger than the already-classified replacement inventory.</w:t>
            </w:r>
          </w:p>
        </w:tc>
      </w:tr>
      <w:tr>
        <w:tc>
          <w:tcPr>
            <w:tcW w:type="dxa" w:w="2131"/>
            <w:shd w:fill="F5F7F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pPr>
            <w:r>
              <w:rPr>
                <w:rFonts w:ascii="Arial" w:hAnsi="Arial"/>
                <w:b/>
                <w:sz w:val="20"/>
              </w:rPr>
              <w:t>State leaders</w:t>
            </w:r>
          </w:p>
        </w:tc>
        <w:tc>
          <w:tcPr>
            <w:tcW w:type="dxa" w:w="7862"/>
            <w:shd w:fill="F5F7F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pPr>
            <w:r>
              <w:rPr>
                <w:rFonts w:ascii="Arial" w:hAnsi="Arial"/>
                <w:sz w:val="20"/>
              </w:rPr>
              <w:t>Illinois leads Known Replacement with 672,210 lines. Texas and Pennsylvania lead Identification Need with 2,178,881 and 2,055,512 Unknown lines. Five states appear in both raw top-ten lists.</w:t>
            </w:r>
          </w:p>
        </w:tc>
      </w:tr>
      <w:tr>
        <w:tc>
          <w:tcPr>
            <w:tcW w:type="dxa" w:w="2131"/>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pPr>
            <w:r>
              <w:rPr>
                <w:rFonts w:ascii="Arial" w:hAnsi="Arial"/>
                <w:b/>
                <w:sz w:val="20"/>
              </w:rPr>
              <w:t>Population context</w:t>
            </w:r>
          </w:p>
        </w:tc>
        <w:tc>
          <w:tcPr>
            <w:tcW w:type="dxa" w:w="7862"/>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7" w:lineRule="auto"/>
            </w:pPr>
            <w:r>
              <w:rPr>
                <w:rFonts w:ascii="Arial" w:hAnsi="Arial"/>
                <w:sz w:val="20"/>
              </w:rPr>
              <w:t>Population adjustment changes the rankings. Six of the raw Known Replacement top ten remain after normalization, compared with three of the raw Unknown top ten. Illinois remains first for Known Replacement per 10,000 residents, while Pennsylvania leads Unknown per 10,000 residents.</w:t>
            </w:r>
          </w:p>
        </w:tc>
      </w:tr>
    </w:tbl>
    <w:p>
      <w:pPr>
        <w:pStyle w:val="Heading1"/>
      </w:pPr>
      <w:r>
        <w:t>Practical Implication</w:t>
      </w:r>
    </w:p>
    <w:p>
      <w:r>
        <w:rPr>
          <w:rFonts w:ascii="Arial" w:hAnsi="Arial"/>
        </w:rPr>
        <w:t>Raw totals show where the largest overall workloads are concentrated. Population-adjusted measures show where inventories are large relative to state size. Together, these views can indicate where deeper utility-level investigation may be valuable, but they do not establish a direct funding priority.</w:t>
      </w:r>
    </w:p>
    <w:p>
      <w:pPr>
        <w:pStyle w:val="Heading1"/>
      </w:pPr>
      <w:r>
        <w:t>Important Limitation</w:t>
      </w:r>
    </w:p>
    <w:p>
      <w:r>
        <w:rPr>
          <w:rFonts w:ascii="Arial" w:hAnsi="Arial"/>
        </w:rPr>
        <w:t>Lead Status Unknown does not mean lead. The data describe infrastructure inventories rather than household exposure or water quality. The analysis also excludes incomplete-report systems, so some state totals may be understated where reporting gaps are greater.</w:t>
      </w:r>
    </w:p>
    <w:p>
      <w:pPr>
        <w:pStyle w:val="Heading1"/>
      </w:pPr>
      <w:r>
        <w:t>Recommended Next Question</w:t>
      </w:r>
    </w:p>
    <w:p>
      <w:pPr>
        <w:spacing w:after="40"/>
      </w:pPr>
      <w:r>
        <w:rPr>
          <w:rFonts w:ascii="Arial" w:hAnsi="Arial"/>
        </w:rPr>
        <w:t>How do state and utility identification and replacement needs align with available funding and local capacity to complete service-line replacement?</w:t>
      </w:r>
    </w:p>
    <w:p>
      <w:pPr>
        <w:spacing w:before="60" w:after="0"/>
      </w:pPr>
      <w:r>
        <w:rPr>
          <w:rFonts w:ascii="Arial" w:hAnsi="Arial"/>
          <w:color w:val="5A6670"/>
          <w:sz w:val="17"/>
        </w:rPr>
        <w:t>Scope and sources: 43,993 complete-report Community Water Systems across 50 states and DC; U.S. EPA 2026 Q2 Service Line Inventory; U.S. Census Bureau July 1, 2025 resident population estimates.</w:t>
      </w:r>
    </w:p>
    <w:sectPr w:rsidR="00FC693F" w:rsidRPr="0006063C" w:rsidSect="00034616">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20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