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D-SIG — Standard Signal Distillé v0.5</w:t>
      </w:r>
    </w:p>
    <w:p>
      <w:pPr>
        <w:jc w:val="center"/>
      </w:pPr>
      <w:r>
        <w:rPr>
          <w:i/>
        </w:rPr>
        <w:t>Un plan architectural et un document de positionnement</w:t>
        <w:br/>
        <w:t>pour la distillation des signaux de vitalité numériques</w:t>
      </w:r>
    </w:p>
    <w:p/>
    <w:p>
      <w:pPr>
        <w:jc w:val="center"/>
      </w:pPr>
      <w:r>
        <w:t>Domaine public — CC0 — Mars 2026</w:t>
        <w:br/>
      </w:r>
      <w:r>
        <w:t>Implémentation de référence : NetPulse — github.com/dravitch/netpulse</w:t>
        <w:br/>
      </w:r>
      <w:r>
        <w:t>Standard source : github.com/dravitch/dsig-standard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Qu'est-ce que D-SIG</w:t>
      </w:r>
    </w:p>
    <w:p>
      <w:r>
        <w:rPr>
          <w:b w:val="0"/>
          <w:i w:val="0"/>
        </w:rPr>
        <w:t>D-SIG propose un cadre — pas une formule — pour produire, transmettre et consommer des signaux de vitalité unifiés dans les systèmes distribués.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Il ne prétend pas calculer la vérité. Il propose une façon structurée de voir et comprendre différemment l'état opérationnel : par convergence multi-perspectives, confiance cumulative, et distillation sémantiquement riche.</w:t>
      </w:r>
    </w:p>
    <w:p>
      <w:r>
        <w:rPr>
          <w:b w:val="0"/>
          <w:i w:val="0"/>
        </w:rPr>
      </w:r>
    </w:p>
    <w:p>
      <w:pPr>
        <w:pStyle w:val="Quote"/>
      </w:pPr>
      <w:r>
        <w:rPr>
          <w:i/>
        </w:rPr>
        <w:t>Comme TCP/IP ne garantit pas la livraison des paquets mais en maximise la probabilité via un protocole documenté, D-SIG ne calcule pas la vérité mais maximise la probabilité de produire une intelligence opérationnelle actionnable via une architecture de distillation documentée.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2. Le Signal — Structure Minimale</w:t>
      </w:r>
    </w:p>
    <w:p>
      <w:r>
        <w:rPr>
          <w:b w:val="0"/>
          <w:i w:val="0"/>
        </w:rPr>
        <w:t>Chaque signal D-SIG est une Triple-Réduction : trois représentations obligatoires, atomiquement cohérentes, du même état, chacune ciblant un canal cognitif distinct.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Signe (Peirce)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Canal cognitif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Entier 0–100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Analytique — comparaison quantitative, consommation IA</w:t>
            </w:r>
          </w:p>
        </w:tc>
      </w:tr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4 états</w:t>
            </w:r>
          </w:p>
        </w:tc>
        <w:tc>
          <w:tcPr>
            <w:tcW w:type="dxa" w:w="2160"/>
          </w:tcPr>
          <w:p>
            <w:r>
              <w:t>Symbole</w:t>
            </w:r>
          </w:p>
        </w:tc>
        <w:tc>
          <w:tcPr>
            <w:tcW w:type="dxa" w:w="2160"/>
          </w:tcPr>
          <w:p>
            <w:r>
              <w:t>Sémantique — vocabulaire partagé tous niveaux d'expertise</w:t>
            </w:r>
          </w:p>
        </w:tc>
      </w:tr>
      <w:tr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4 états</w:t>
            </w:r>
          </w:p>
        </w:tc>
        <w:tc>
          <w:tcPr>
            <w:tcW w:type="dxa" w:w="2160"/>
          </w:tcPr>
          <w:p>
            <w:r>
              <w:t>Icône</w:t>
            </w:r>
          </w:p>
        </w:tc>
        <w:tc>
          <w:tcPr>
            <w:tcW w:type="dxa" w:w="2160"/>
          </w:tcPr>
          <w:p>
            <w:r>
              <w:t>Limbique — réflexe pré-analytique, priorité visuelle immédiate</w:t>
            </w:r>
          </w:p>
        </w:tc>
      </w:tr>
    </w:tbl>
    <w:p/>
    <w:p>
      <w:r>
        <w:rPr>
          <w:b w:val="0"/>
          <w:i w:val="0"/>
        </w:rPr>
        <w:t>Plus deux champs temporels obligatoires :</w:t>
      </w:r>
    </w:p>
    <w:p>
      <w:r>
        <w:rPr>
          <w:b w:val="0"/>
          <w:i w:val="0"/>
        </w:rPr>
        <w:t>• trend — dérivée temporelle : STABLE | IMPROVING | DEGRADING | CRITICAL_FALL</w:t>
      </w:r>
    </w:p>
    <w:p>
      <w:r>
        <w:rPr>
          <w:b w:val="0"/>
          <w:i w:val="0"/>
        </w:rPr>
        <w:t>• timestamp + ttl — validation de fraîcheur et anti-rejeu</w:t>
      </w:r>
    </w:p>
    <w:p>
      <w:r>
        <w:rPr>
          <w:b w:val="0"/>
          <w:i w:val="0"/>
        </w:rPr>
      </w:r>
    </w:p>
    <w:p>
      <w:r>
        <w:rPr>
          <w:b/>
          <w:i w:val="0"/>
        </w:rPr>
        <w:t>Règle 10 (nouveau v0.5) :</w:t>
      </w:r>
    </w:p>
    <w:p>
      <w:r>
        <w:rPr>
          <w:b w:val="0"/>
          <w:i w:val="0"/>
        </w:rPr>
        <w:t>label est toujours f(score). trend est toujours f(d(score)/dt). Ils sont indépendants. Un label GOOD avec une tendance CRITICAL_FALL ne devient pas DEGRADED — il reste GOOD avec un signal d'urgence séparé.</w:t>
      </w:r>
    </w:p>
    <w:p>
      <w:pPr>
        <w:pStyle w:val="Heading2"/>
      </w:pPr>
      <w:r>
        <w:rPr>
          <w:color w:val="16213E"/>
        </w:rPr>
        <w:t>Table de correspondance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Couleur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160"/>
          </w:tcPr>
          <w:p>
            <w:r>
              <w:t>85–100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VERT</w:t>
            </w:r>
          </w:p>
        </w:tc>
        <w:tc>
          <w:tcPr>
            <w:tcW w:type="dxa" w:w="2160"/>
          </w:tcPr>
          <w:p>
            <w:r>
              <w:t>#2ECC71</w:t>
            </w:r>
          </w:p>
        </w:tc>
      </w:tr>
      <w:tr>
        <w:tc>
          <w:tcPr>
            <w:tcW w:type="dxa" w:w="2160"/>
          </w:tcPr>
          <w:p>
            <w:r>
              <w:t>60–84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JAUNE</w:t>
            </w:r>
          </w:p>
        </w:tc>
        <w:tc>
          <w:tcPr>
            <w:tcW w:type="dxa" w:w="2160"/>
          </w:tcPr>
          <w:p>
            <w:r>
              <w:t>#F4D03F</w:t>
            </w:r>
          </w:p>
        </w:tc>
      </w:tr>
      <w:tr>
        <w:tc>
          <w:tcPr>
            <w:tcW w:type="dxa" w:w="2160"/>
          </w:tcPr>
          <w:p>
            <w:r>
              <w:t>35–59</w:t>
            </w:r>
          </w:p>
        </w:tc>
        <w:tc>
          <w:tcPr>
            <w:tcW w:type="dxa" w:w="2160"/>
          </w:tcPr>
          <w:p>
            <w:r>
              <w:t>DEGRADED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#E67E22</w:t>
            </w:r>
          </w:p>
        </w:tc>
      </w:tr>
      <w:tr>
        <w:tc>
          <w:tcPr>
            <w:tcW w:type="dxa" w:w="2160"/>
          </w:tcPr>
          <w:p>
            <w:r>
              <w:t>0–34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ROUGE</w:t>
            </w:r>
          </w:p>
        </w:tc>
        <w:tc>
          <w:tcPr>
            <w:tcW w:type="dxa" w:w="2160"/>
          </w:tcPr>
          <w:p>
            <w:r>
              <w:t>#E74C3C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3. Champs Requis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"dsig_version": "0.5",</w:t>
        <w:br/>
        <w:t xml:space="preserve">  "score": 82,</w:t>
        <w:br/>
        <w:t xml:space="preserve">  "label": "GOOD",</w:t>
        <w:br/>
        <w:t xml:space="preserve">  "color": "YELLOW",</w:t>
        <w:br/>
        <w:t xml:space="preserve">  "trend": "STABLE",</w:t>
        <w:br/>
        <w:t xml:space="preserve">  "timestamp": "2026-03-09T14:32:00Z",</w:t>
        <w:br/>
        <w:t xml:space="preserve">  "ttl": 900,</w:t>
        <w:br/>
        <w:t xml:space="preserve">  "source_id": "fp:a3:7c:12:...:ed25519",</w:t>
        <w:br/>
        <w:t xml:space="preserve">  "perspective": "LOCAL"</w:t>
        <w:br/>
        <w:t>}</w:t>
      </w:r>
    </w:p>
    <w:p>
      <w:pPr>
        <w:pStyle w:val="Heading2"/>
      </w:pPr>
      <w:r>
        <w:rPr>
          <w:color w:val="16213E"/>
        </w:rPr>
        <w:t>Champs recommandés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"source_sig": "base64(signature_Ed25519)",</w:t>
        <w:br/>
        <w:t xml:space="preserve">  "source_pub": "base64(empreinte_cle_publique)",</w:t>
        <w:br/>
        <w:t xml:space="preserve">  "trust_level": 1,</w:t>
        <w:br/>
        <w:t xml:space="preserve">  "baseline_cycles": 10,</w:t>
        <w:br/>
        <w:t xml:space="preserve">  "dimensions": {</w:t>
        <w:br/>
        <w:t xml:space="preserve">    "vital":      {"score": 1,  "ts": "...", "ttl": 300},</w:t>
        <w:br/>
        <w:t xml:space="preserve">    "local":      {"score": 10, "ts": "...", "ttl": 3600},</w:t>
        <w:br/>
        <w:t xml:space="preserve">    "internet":   {"score": 25, "ts": "...", "ttl": 3600},</w:t>
        <w:br/>
        <w:t xml:space="preserve">    "dns":        {"score": 15, "ts": "...", "ttl": 3600},</w:t>
        <w:br/>
        <w:t xml:space="preserve">    "throughput": {"score": 22, "ts": "...", "ttl": 43200},</w:t>
        <w:br/>
        <w:t xml:space="preserve">    "hub":        {"score": 10, "ts": "...", "ttl": 600}</w:t>
        <w:br/>
        <w:t xml:space="preserve">  },</w:t>
        <w:br/>
        <w:t xml:space="preserve">  "flags": []</w:t>
        <w:br/>
        <w:t>}</w:t>
      </w:r>
    </w:p>
    <w:p>
      <w:r>
        <w:rPr>
          <w:b w:val="0"/>
          <w:i w:val="0"/>
        </w:rPr>
        <w:t>Voir schema/dsig-signal.json pour le validateur JSON Schema complet.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4. Cinq Principes Architecturaux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Principe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Idée centrale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Origine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Triple-Réduction Sémantique</w:t>
            </w:r>
          </w:p>
        </w:tc>
        <w:tc>
          <w:tcPr>
            <w:tcW w:type="dxa" w:w="2160"/>
          </w:tcPr>
          <w:p>
            <w:r>
              <w:t>score + label + color sont obligatoires et atomiquement cohérents</w:t>
            </w:r>
          </w:p>
        </w:tc>
        <w:tc>
          <w:tcPr>
            <w:tcW w:type="dxa" w:w="2160"/>
          </w:tcPr>
          <w:p>
            <w:r>
              <w:t>Sémiologie (Peirce, 1867)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Multi-Perspective Convergente</w:t>
            </w:r>
          </w:p>
        </w:tc>
        <w:tc>
          <w:tcPr>
            <w:tcW w:type="dxa" w:w="2160"/>
          </w:tcPr>
          <w:p>
            <w:r>
              <w:t>N perspectives indépendantes — convergence confirme, divergence diagnostique</w:t>
            </w:r>
          </w:p>
        </w:tc>
        <w:tc>
          <w:tcPr>
            <w:tcW w:type="dxa" w:w="2160"/>
          </w:tcPr>
          <w:p>
            <w:r>
              <w:t>Systèmes distribués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Autonomie de Production</w:t>
            </w:r>
          </w:p>
        </w:tc>
        <w:tc>
          <w:tcPr>
            <w:tcW w:type="dxa" w:w="2160"/>
          </w:tcPr>
          <w:p>
            <w:r>
              <w:t>Un nœud émet même sans réseau. Le silence est sémantiquement chargé.</w:t>
            </w:r>
          </w:p>
        </w:tc>
        <w:tc>
          <w:tcPr>
            <w:tcW w:type="dxa" w:w="2160"/>
          </w:tcPr>
          <w:p>
            <w:r>
              <w:t>Résilience Edge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Absorption Asymétrique du Bruit</w:t>
            </w:r>
          </w:p>
        </w:tc>
        <w:tc>
          <w:tcPr>
            <w:tcW w:type="dxa" w:w="2160"/>
          </w:tcPr>
          <w:p>
            <w:r>
              <w:t>Seules les tendances soutenues déclenchent des changements de label. Le silence est l'état par défaut.</w:t>
            </w:r>
          </w:p>
        </w:tc>
        <w:tc>
          <w:tcPr>
            <w:tcW w:type="dxa" w:w="2160"/>
          </w:tcPr>
          <w:p>
            <w:r>
              <w:t>Traitement du signal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Diffusion Agnostique</w:t>
            </w:r>
          </w:p>
        </w:tc>
        <w:tc>
          <w:tcPr>
            <w:tcW w:type="dxa" w:w="2160"/>
          </w:tcPr>
          <w:p>
            <w:r>
              <w:t>Tout support de transport. Le récepteur n'a pas besoin de connaître les sources sous-jacentes.</w:t>
            </w:r>
          </w:p>
        </w:tc>
        <w:tc>
          <w:tcPr>
            <w:tcW w:type="dxa" w:w="2160"/>
          </w:tcPr>
          <w:p>
            <w:r>
              <w:t>Stigmergie (Grassé, 1959)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5. Deux Propriétés Émergentes</w:t>
      </w:r>
    </w:p>
    <w:p>
      <w:pPr>
        <w:pStyle w:val="Heading2"/>
      </w:pPr>
      <w:r>
        <w:rPr>
          <w:color w:val="16213E"/>
        </w:rPr>
        <w:t>Principe Prusik</w:t>
      </w:r>
    </w:p>
    <w:p>
      <w:r>
        <w:rPr>
          <w:b w:val="0"/>
          <w:i w:val="0"/>
        </w:rPr>
        <w:t>Chaque perspective légitime supplémentaire qui maintient son signal réel augmente la visibilité de la divergence par rapport aux signaux falsifiés. L'attaque amplifie l'alerte qu'elle cherche à masquer. Tolérance byzantine : ⌊(N−1)/3⌋ perspectives corrompues tolérées avec N sources indépendantes.</w:t>
      </w:r>
    </w:p>
    <w:p>
      <w:pPr>
        <w:pStyle w:val="Heading2"/>
      </w:pPr>
      <w:r>
        <w:rPr>
          <w:color w:val="16213E"/>
        </w:rPr>
        <w:t>Principe Phéromone</w:t>
      </w:r>
    </w:p>
    <w:p>
      <w:r>
        <w:rPr>
          <w:b w:val="0"/>
          <w:i w:val="0"/>
        </w:rPr>
        <w:t>Chaque cycle de convergence dépose de la confiance. Une rupture après une convergence soutenue (baseline_cycles élevé) est statistiquement plus significative qu'une rupture dans un nouveau déploiement. La confiance s'accumule ; elle s'évapore aussi sans renouvellement (TTL).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6. Formule de Distillation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score = ( Σ wᵢ × normalize(mᵢ) ) × Π fail_fast_modifier(dⱼ) × precondition_gate(pₖ)</w:t>
      </w:r>
    </w:p>
    <w:p>
      <w:r>
        <w:rPr>
          <w:b w:val="0"/>
          <w:i w:val="0"/>
        </w:rPr>
        <w:t>• wᵢ — poids des dimensions. Somme = 1,0. Défini par l'implémentation.</w:t>
      </w:r>
    </w:p>
    <w:p>
      <w:r>
        <w:rPr>
          <w:b w:val="0"/>
          <w:i w:val="0"/>
        </w:rPr>
        <w:t>• fail_fast_modifier — si une dimension critique = 0, le score s'effondre vers CRITICAL (Règle 1)</w:t>
      </w:r>
    </w:p>
    <w:p>
      <w:r>
        <w:rPr>
          <w:b w:val="0"/>
          <w:i w:val="0"/>
        </w:rPr>
        <w:t>• precondition_gate (nouveau v0.5) — si la précondition échoue, le score est plafonné à ≤ 20, pas zéro (Règle 11)</w:t>
      </w:r>
    </w:p>
    <w:p>
      <w:pPr>
        <w:pStyle w:val="Heading2"/>
      </w:pPr>
      <w:r>
        <w:rPr>
          <w:color w:val="16213E"/>
        </w:rPr>
        <w:t>Profil de référence : Nœud IT (NetPulse)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Collecte</w:t>
            </w:r>
          </w:p>
        </w:tc>
      </w:tr>
      <w:tr>
        <w:tc>
          <w:tcPr>
            <w:tcW w:type="dxa" w:w="2160"/>
          </w:tcPr>
          <w:p>
            <w:r>
              <w:t>vital</w:t>
            </w:r>
          </w:p>
        </w:tc>
        <w:tc>
          <w:tcPr>
            <w:tcW w:type="dxa" w:w="2160"/>
          </w:tcPr>
          <w:p>
            <w:r>
              <w:t>PRÉCONDITION</w:t>
            </w:r>
          </w:p>
        </w:tc>
        <w:tc>
          <w:tcPr>
            <w:tcW w:type="dxa" w:w="2160"/>
          </w:tcPr>
          <w:p>
            <w:r>
              <w:t>precondition_gate</w:t>
            </w:r>
          </w:p>
        </w:tc>
        <w:tc>
          <w:tcPr>
            <w:tcW w:type="dxa" w:w="2160"/>
          </w:tcPr>
          <w:p>
            <w:r>
              <w:t>Chaque cycle</w:t>
            </w:r>
          </w:p>
        </w:tc>
      </w:tr>
      <w:tr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10 pts</w:t>
            </w:r>
          </w:p>
        </w:tc>
        <w:tc>
          <w:tcPr>
            <w:tcW w:type="dxa" w:w="2160"/>
          </w:tcPr>
          <w:p>
            <w:r>
              <w:t>graduel</w:t>
            </w:r>
          </w:p>
        </w:tc>
        <w:tc>
          <w:tcPr>
            <w:tcW w:type="dxa" w:w="2160"/>
          </w:tcPr>
          <w:p>
            <w:r>
              <w:t>Toutes les 6h</w:t>
            </w:r>
          </w:p>
        </w:tc>
      </w:tr>
      <w:tr>
        <w:tc>
          <w:tcPr>
            <w:tcW w:type="dxa" w:w="2160"/>
          </w:tcPr>
          <w:p>
            <w:r>
              <w:t>internet</w:t>
            </w:r>
          </w:p>
        </w:tc>
        <w:tc>
          <w:tcPr>
            <w:tcW w:type="dxa" w:w="2160"/>
          </w:tcPr>
          <w:p>
            <w:r>
              <w:t>25 pts</w:t>
            </w:r>
          </w:p>
        </w:tc>
        <w:tc>
          <w:tcPr>
            <w:tcW w:type="dxa" w:w="2160"/>
          </w:tcPr>
          <w:p>
            <w:r>
              <w:t>binaire</w:t>
            </w:r>
          </w:p>
        </w:tc>
        <w:tc>
          <w:tcPr>
            <w:tcW w:type="dxa" w:w="2160"/>
          </w:tcPr>
          <w:p>
            <w:r>
              <w:t>Toutes les 6h</w:t>
            </w:r>
          </w:p>
        </w:tc>
      </w:tr>
      <w:tr>
        <w:tc>
          <w:tcPr>
            <w:tcW w:type="dxa" w:w="2160"/>
          </w:tcPr>
          <w:p>
            <w:r>
              <w:t>dns</w:t>
            </w:r>
          </w:p>
        </w:tc>
        <w:tc>
          <w:tcPr>
            <w:tcW w:type="dxa" w:w="2160"/>
          </w:tcPr>
          <w:p>
            <w:r>
              <w:t>15 pts</w:t>
            </w:r>
          </w:p>
        </w:tc>
        <w:tc>
          <w:tcPr>
            <w:tcW w:type="dxa" w:w="2160"/>
          </w:tcPr>
          <w:p>
            <w:r>
              <w:t>binaire</w:t>
            </w:r>
          </w:p>
        </w:tc>
        <w:tc>
          <w:tcPr>
            <w:tcW w:type="dxa" w:w="2160"/>
          </w:tcPr>
          <w:p>
            <w:r>
              <w:t>Toutes les 6h</w:t>
            </w:r>
          </w:p>
        </w:tc>
      </w:tr>
      <w:tr>
        <w:tc>
          <w:tcPr>
            <w:tcW w:type="dxa" w:w="2160"/>
          </w:tcPr>
          <w:p>
            <w:r>
              <w:t>throughput</w:t>
            </w:r>
          </w:p>
        </w:tc>
        <w:tc>
          <w:tcPr>
            <w:tcW w:type="dxa" w:w="2160"/>
          </w:tcPr>
          <w:p>
            <w:r>
              <w:t>35 pts</w:t>
            </w:r>
          </w:p>
        </w:tc>
        <w:tc>
          <w:tcPr>
            <w:tcW w:type="dxa" w:w="2160"/>
          </w:tcPr>
          <w:p>
            <w:r>
              <w:t>graduel</w:t>
            </w:r>
          </w:p>
        </w:tc>
        <w:tc>
          <w:tcPr>
            <w:tcW w:type="dxa" w:w="2160"/>
          </w:tcPr>
          <w:p>
            <w:r>
              <w:t>Deux fois par jour</w:t>
            </w:r>
          </w:p>
        </w:tc>
      </w:tr>
      <w:tr>
        <w:tc>
          <w:tcPr>
            <w:tcW w:type="dxa" w:w="2160"/>
          </w:tcPr>
          <w:p>
            <w:r>
              <w:t>hub</w:t>
            </w:r>
          </w:p>
        </w:tc>
        <w:tc>
          <w:tcPr>
            <w:tcW w:type="dxa" w:w="2160"/>
          </w:tcPr>
          <w:p>
            <w:r>
              <w:t>15 pts</w:t>
            </w:r>
          </w:p>
        </w:tc>
        <w:tc>
          <w:tcPr>
            <w:tcW w:type="dxa" w:w="2160"/>
          </w:tcPr>
          <w:p>
            <w:r>
              <w:t>semi-binaire</w:t>
            </w:r>
          </w:p>
        </w:tc>
        <w:tc>
          <w:tcPr>
            <w:tcW w:type="dxa" w:w="2160"/>
          </w:tcPr>
          <w:p>
            <w:r>
              <w:t>Chaque cycle</w:t>
            </w:r>
          </w:p>
        </w:tc>
      </w:tr>
    </w:tbl>
    <w:p/>
    <w:p>
      <w:r>
        <w:rPr>
          <w:b w:val="0"/>
          <w:i w:val="0"/>
        </w:rPr>
        <w:t>Les implémentations DOIVENT documenter leur profil. Des profils standardisés (Infrastructure-Critique, IoT-Edge, Cloud-Native) sont prévus pour v1.0.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7. Résumé des Règles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Fail-Fast sur la Dimension Vitale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Lissage Temporel du Bruit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 Divergence de Perspective est Diagnostique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Autonomie de Production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Immuabilité de la Triple-Réduction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Indépendance des Sources Vérifiable (Byzantin : ⌊(N−1)/3⌋)</w:t>
            </w:r>
          </w:p>
        </w:tc>
        <w:tc>
          <w:tcPr>
            <w:tcW w:type="dxa" w:w="2880"/>
          </w:tcPr>
          <w:p>
            <w:r>
              <w:t>v0.3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Rejet du Signal Contradictoire (incl. saut baseline_cycles)</w:t>
            </w:r>
          </w:p>
        </w:tc>
        <w:tc>
          <w:tcPr>
            <w:tcW w:type="dxa" w:w="2880"/>
          </w:tcPr>
          <w:p>
            <w:r>
              <w:t>v0.3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Signal STALE / Anti-Rejeu (tolérance horloge ±30s)</w:t>
            </w:r>
          </w:p>
        </w:tc>
        <w:tc>
          <w:tcPr>
            <w:tcW w:type="dxa" w:w="2880"/>
          </w:tcPr>
          <w:p>
            <w:r>
              <w:t>v0.3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Historique de Convergence Calculé par le Récepteur</w:t>
            </w:r>
          </w:p>
        </w:tc>
        <w:tc>
          <w:tcPr>
            <w:tcW w:type="dxa" w:w="2880"/>
          </w:tcPr>
          <w:p>
            <w:r>
              <w:t>v0.4, révisé v0.5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Indépendance Label/Tendance (label = f(score) uniquement)</w:t>
            </w:r>
          </w:p>
        </w:tc>
        <w:tc>
          <w:tcPr>
            <w:tcW w:type="dxa" w:w="2880"/>
          </w:tcPr>
          <w:p>
            <w:r>
              <w:t>nouveau v0.5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Dimension Précondition (plafond ≤ 20, pas zéro)</w:t>
            </w:r>
          </w:p>
        </w:tc>
        <w:tc>
          <w:tcPr>
            <w:tcW w:type="dxa" w:w="2880"/>
          </w:tcPr>
          <w:p>
            <w:r>
              <w:t>nouveau v0.5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8. Modèle de Confiance Producteur (D-SIG-PROD)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Résumé</w:t>
            </w:r>
          </w:p>
        </w:tc>
      </w:tr>
      <w:tr>
        <w:tc>
          <w:tcPr>
            <w:tcW w:type="dxa" w:w="2880"/>
          </w:tcPr>
          <w:p>
            <w:r>
              <w:t>PROD-01</w:t>
            </w:r>
          </w:p>
        </w:tc>
        <w:tc>
          <w:tcPr>
            <w:tcW w:type="dxa" w:w="2880"/>
          </w:tcPr>
          <w:p>
            <w:r>
              <w:t>Identité Stable</w:t>
            </w:r>
          </w:p>
        </w:tc>
        <w:tc>
          <w:tcPr>
            <w:tcW w:type="dxa" w:w="2880"/>
          </w:tcPr>
          <w:p>
            <w:r>
              <w:t>source_id = clé cryptographique, pas adresse réseau</w:t>
            </w:r>
          </w:p>
        </w:tc>
      </w:tr>
      <w:tr>
        <w:tc>
          <w:tcPr>
            <w:tcW w:type="dxa" w:w="2880"/>
          </w:tcPr>
          <w:p>
            <w:r>
              <w:t>PROD-02</w:t>
            </w:r>
          </w:p>
        </w:tc>
        <w:tc>
          <w:tcPr>
            <w:tcW w:type="dxa" w:w="2880"/>
          </w:tcPr>
          <w:p>
            <w:r>
              <w:t>Sémantique de l'Absence</w:t>
            </w:r>
          </w:p>
        </w:tc>
        <w:tc>
          <w:tcPr>
            <w:tcW w:type="dxa" w:w="2880"/>
          </w:tcPr>
          <w:p>
            <w:r>
              <w:t>Le silence est un signal, pas un vide</w:t>
            </w:r>
          </w:p>
        </w:tc>
      </w:tr>
      <w:tr>
        <w:tc>
          <w:tcPr>
            <w:tcW w:type="dxa" w:w="2880"/>
          </w:tcPr>
          <w:p>
            <w:r>
              <w:t>PROD-03</w:t>
            </w:r>
          </w:p>
        </w:tc>
        <w:tc>
          <w:tcPr>
            <w:tcW w:type="dxa" w:w="2880"/>
          </w:tcPr>
          <w:p>
            <w:r>
              <w:t>Co-Habitation Supposée</w:t>
            </w:r>
          </w:p>
        </w:tc>
        <w:tc>
          <w:tcPr>
            <w:tcW w:type="dxa" w:w="2880"/>
          </w:tcPr>
          <w:p>
            <w:r>
              <w:t>Contrôle et observation partagent le même réseau par défaut</w:t>
            </w:r>
          </w:p>
        </w:tc>
      </w:tr>
      <w:tr>
        <w:tc>
          <w:tcPr>
            <w:tcW w:type="dxa" w:w="2880"/>
          </w:tcPr>
          <w:p>
            <w:r>
              <w:t>PROD-04</w:t>
            </w:r>
          </w:p>
        </w:tc>
        <w:tc>
          <w:tcPr>
            <w:tcW w:type="dxa" w:w="2880"/>
          </w:tcPr>
          <w:p>
            <w:r>
              <w:t>Authenticité du Signal Distincte du Canal</w:t>
            </w:r>
          </w:p>
        </w:tc>
        <w:tc>
          <w:tcPr>
            <w:tcW w:type="dxa" w:w="2880"/>
          </w:tcPr>
          <w:p>
            <w:r>
              <w:t>source_sig ≠ authentification SSH</w:t>
            </w:r>
          </w:p>
        </w:tc>
      </w:tr>
      <w:tr>
        <w:tc>
          <w:tcPr>
            <w:tcW w:type="dxa" w:w="2880"/>
          </w:tcPr>
          <w:p>
            <w:r>
              <w:t>PROD-05</w:t>
            </w:r>
          </w:p>
        </w:tc>
        <w:tc>
          <w:tcPr>
            <w:tcW w:type="dxa" w:w="2880"/>
          </w:tcPr>
          <w:p>
            <w:r>
              <w:t>Ancre Unique — Invariant Systémique</w:t>
            </w:r>
          </w:p>
        </w:tc>
        <w:tc>
          <w:tcPr>
            <w:tcW w:type="dxa" w:w="2880"/>
          </w:tcPr>
          <w:p>
            <w:r>
              <w:t>La robustesse D-SIG est bornée par la sécurité du mécanisme d'enrôlement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9. Limites Documentées</w:t>
      </w:r>
    </w:p>
    <w:p>
      <w:r>
        <w:rPr>
          <w:b w:val="0"/>
          <w:i w:val="0"/>
        </w:rPr>
        <w:t>1. Risque de sur-distillation — des poids mal calibrés créent une fausse confiance</w:t>
      </w:r>
    </w:p>
    <w:p>
      <w:r>
        <w:rPr>
          <w:b w:val="0"/>
          <w:i w:val="0"/>
        </w:rPr>
        <w:t>2. Effet observateur — la sonde perturbe ce qu'elle mesure (minimisé, non résolu)</w:t>
      </w:r>
    </w:p>
    <w:p>
      <w:r>
        <w:rPr>
          <w:b w:val="0"/>
          <w:i w:val="0"/>
        </w:rPr>
        <w:t>3. Problème de l'oracle — un producteur peut signer des signaux valides avec des données fabriquées ; atténué par la convergence multi-perspectives, non résolu</w:t>
      </w:r>
    </w:p>
    <w:p>
      <w:r>
        <w:rPr>
          <w:b w:val="0"/>
          <w:i w:val="0"/>
        </w:rPr>
        <w:t>4. Ancre unique — toute résistance byzantine échoue si le mécanisme d'enrôlement est compromis</w:t>
      </w:r>
    </w:p>
    <w:p>
      <w:r>
        <w:rPr>
          <w:b w:val="0"/>
          <w:i w:val="0"/>
        </w:rPr>
        <w:t>5. Interopérabilité des pondérations — deux déploiements D-SIG-compatibles avec des profils différents produisent des scores non comparables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10. Généalogie Intellectuelle</w:t>
      </w:r>
    </w:p>
    <w:p>
      <w:r>
        <w:rPr>
          <w:b w:val="0"/>
          <w:i w:val="0"/>
        </w:rPr>
        <w:t>D-SIG applique l'architecture des indicateurs composites du trading algorithmique à l'observabilité IT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QAAF / Trading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D-SIG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t>Métriques brutes prix/volume</w:t>
            </w:r>
          </w:p>
        </w:tc>
        <w:tc>
          <w:tcPr>
            <w:tcW w:type="dxa" w:w="2880"/>
          </w:tcPr>
          <w:p>
            <w:r>
              <w:t>Métriques réseau brutes</w:t>
            </w:r>
          </w:p>
        </w:tc>
        <w:tc>
          <w:tcPr>
            <w:tcW w:type="dxa" w:w="2880"/>
          </w:tcPr>
          <w:p>
            <w:r>
              <w:t>Couche d'entrée</w:t>
            </w:r>
          </w:p>
        </w:tc>
      </w:tr>
      <w:tr>
        <w:tc>
          <w:tcPr>
            <w:tcW w:type="dxa" w:w="2880"/>
          </w:tcPr>
          <w:p>
            <w:r>
              <w:t>Score composite (0–100)</w:t>
            </w:r>
          </w:p>
        </w:tc>
        <w:tc>
          <w:tcPr>
            <w:tcW w:type="dxa" w:w="2880"/>
          </w:tcPr>
          <w:p>
            <w:r>
              <w:t>Score distillé (0–100)</w:t>
            </w:r>
          </w:p>
        </w:tc>
        <w:tc>
          <w:tcPr>
            <w:tcW w:type="dxa" w:w="2880"/>
          </w:tcPr>
          <w:p>
            <w:r>
              <w:t>Vitalité normalisée</w:t>
            </w:r>
          </w:p>
        </w:tc>
      </w:tr>
      <w:tr>
        <w:tc>
          <w:tcPr>
            <w:tcW w:type="dxa" w:w="2880"/>
          </w:tcPr>
          <w:p>
            <w:r>
              <w:t>Signal de tendance MACD, RSI</w:t>
            </w:r>
          </w:p>
        </w:tc>
        <w:tc>
          <w:tcPr>
            <w:tcW w:type="dxa" w:w="2880"/>
          </w:tcPr>
          <w:p>
            <w:r>
              <w:t>trend : IMPROVING / DEGRADING / CRITICAL_FALL</w:t>
            </w:r>
          </w:p>
        </w:tc>
        <w:tc>
          <w:tcPr>
            <w:tcW w:type="dxa" w:w="2880"/>
          </w:tcPr>
          <w:p>
            <w:r>
              <w:t>Dérivée temporelle</w:t>
            </w:r>
          </w:p>
        </w:tc>
      </w:tr>
      <w:tr>
        <w:tc>
          <w:tcPr>
            <w:tcW w:type="dxa" w:w="2880"/>
          </w:tcPr>
          <w:p>
            <w:r>
              <w:t>Déclencheur stop-loss</w:t>
            </w:r>
          </w:p>
        </w:tc>
        <w:tc>
          <w:tcPr>
            <w:tcW w:type="dxa" w:w="2880"/>
          </w:tcPr>
          <w:p>
            <w:r>
              <w:t>Modificateur fail-fast</w:t>
            </w:r>
          </w:p>
        </w:tc>
        <w:tc>
          <w:tcPr>
            <w:tcW w:type="dxa" w:w="2880"/>
          </w:tcPr>
          <w:p>
            <w:r>
              <w:t>Seuil critique</w:t>
            </w:r>
          </w:p>
        </w:tc>
      </w:tr>
      <w:tr>
        <w:tc>
          <w:tcPr>
            <w:tcW w:type="dxa" w:w="2880"/>
          </w:tcPr>
          <w:p>
            <w:r>
              <w:t>Période de référence RSI</w:t>
            </w:r>
          </w:p>
        </w:tc>
        <w:tc>
          <w:tcPr>
            <w:tcW w:type="dxa" w:w="2880"/>
          </w:tcPr>
          <w:p>
            <w:r>
              <w:t>baseline_cycles</w:t>
            </w:r>
          </w:p>
        </w:tc>
        <w:tc>
          <w:tcPr>
            <w:tcW w:type="dxa" w:w="2880"/>
          </w:tcPr>
          <w:p>
            <w:r>
              <w:t>Proxy de confiance accumulée</w:t>
            </w:r>
          </w:p>
        </w:tc>
      </w:tr>
      <w:tr>
        <w:tc>
          <w:tcPr>
            <w:tcW w:type="dxa" w:w="2880"/>
          </w:tcPr>
          <w:p>
            <w:r>
              <w:t>ACHETER / CONSERVER / VENDRE</w:t>
            </w:r>
          </w:p>
        </w:tc>
        <w:tc>
          <w:tcPr>
            <w:tcW w:type="dxa" w:w="2880"/>
          </w:tcPr>
          <w:p>
            <w:r>
              <w:t>EXCELLENT / GOOD / DEGRADED / CRITICAL</w:t>
            </w:r>
          </w:p>
        </w:tc>
        <w:tc>
          <w:tcPr>
            <w:tcW w:type="dxa" w:w="2880"/>
          </w:tcPr>
          <w:p>
            <w:r>
              <w:t>Sortie sémantique actionnable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11. Gouvernance</w:t>
      </w:r>
    </w:p>
    <w:p>
      <w:r>
        <w:rPr>
          <w:b/>
          <w:i w:val="0"/>
        </w:rPr>
        <w:t>Licence : CC0 — Domaine Public. Aucune restriction. Aucune autorité de certification.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Art antérieur : horodatage du commit GitHub + soumission arXiv cs.NI</w:t>
      </w:r>
    </w:p>
    <w:p>
      <w:r>
        <w:rPr>
          <w:b w:val="0"/>
          <w:i w:val="0"/>
        </w:rPr>
        <w:t>Implémentation de référence : NetPulse — copyright auteur, séparé de ce standard</w:t>
      </w:r>
    </w:p>
    <w:p>
      <w:r>
        <w:rPr>
          <w:b w:val="0"/>
          <w:i w:val="0"/>
        </w:rPr>
        <w:t>Compatibilité : implémenter les champs requis + documenter son profil de pondération = D-SIG compatible</w:t>
      </w:r>
    </w:p>
    <w:p/>
    <w:p>
      <w:pPr>
        <w:pStyle w:val="Quote"/>
      </w:pPr>
      <w:r>
        <w:rPr>
          <w:i/>
        </w:rPr>
        <w:t>D-SIG est domaine public (CC0). Publié sur GitHub et arXiv pour établir l'antériorité. Personne ne peut le breveter — y compris son auteur.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D-SIG Standard v0.5 · Domaine Public CC0 · Mars 2026</w:t>
        <w:br/>
      </w:r>
      <w:r>
        <w:t>Implémentation de référence : NetPulse v1.7+ · github.com/dravitch/netpulse</w:t>
        <w:br/>
      </w:r>
      <w:r>
        <w:t>Standard source : github.com/dravitch/dsig-standard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