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t xml:space="preserve"/>
      </w:r>
    </w:p>
    <w:p>
      <w:pPr>
        <w:spacing w:after="40"/>
      </w:pPr>
      <w:r>
        <w:rPr>
          <w:rFonts w:ascii="Arial" w:cs="Arial" w:eastAsia="Arial" w:hAnsi="Arial"/>
          <w:b/>
          <w:bCs/>
          <w:color w:val="1F3864"/>
          <w:sz w:val="120"/>
          <w:szCs w:val="120"/>
        </w:rPr>
        <w:t xml:space="preserve">D-SIG</w:t>
      </w:r>
    </w:p>
    <w:p>
      <w:pPr>
        <w:spacing w:after="80"/>
      </w:pPr>
      <w:r>
        <w:rPr>
          <w:rFonts w:ascii="Arial" w:cs="Arial" w:eastAsia="Arial" w:hAnsi="Arial"/>
          <w:b/>
          <w:bCs/>
          <w:color w:val="2E75B6"/>
          <w:sz w:val="40"/>
          <w:szCs w:val="40"/>
        </w:rPr>
        <w:t xml:space="preserve">STANDARD DU SIGNAL DISTILLÉ</w:t>
      </w:r>
    </w:p>
    <w:p>
      <w:pPr>
        <w:spacing w:after="40"/>
      </w:pPr>
      <w:r>
        <w:rPr>
          <w:rFonts w:ascii="Arial" w:cs="Arial" w:eastAsia="Arial" w:hAnsi="Arial"/>
          <w:i/>
          <w:iCs/>
          <w:color w:val="444444"/>
          <w:sz w:val="28"/>
          <w:szCs w:val="28"/>
        </w:rPr>
        <w:t xml:space="preserve">Standard ouvert pour la distillation de signaux de vitalité numérique</w:t>
      </w:r>
    </w:p>
    <w:p>
      <w:pPr>
        <w:spacing w:after="80"/>
      </w:pPr>
      <w:r>
        <w:rPr>
          <w:rFonts w:ascii="Arial" w:cs="Arial" w:eastAsia="Arial" w:hAnsi="Arial"/>
          <w:i/>
          <w:iCs/>
          <w:color w:val="2E75B6"/>
          <w:sz w:val="24"/>
          <w:szCs w:val="24"/>
        </w:rPr>
        <w:t xml:space="preserve">Un blueprint architectural et document de positionnement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none"/>
              <w:bottom w:val="single" w:color="2E75B6" w:sz="6"/>
              <w:right w:val="none"/>
            </w:tcBorders>
            <w:shd w:fill="FFFFFF" w:val="clear"/>
            <w:tcMar>
              <w:top w:type="dxa" w:w="120"/>
              <w:left w:type="dxa" w:w="120"/>
              <w:bottom w:type="dxa" w:w="120"/>
              <w:right w:type="dxa" w:w="120"/>
            </w:tcMar>
          </w:tcPr>
          <w:p>
            <w:r>
              <w:rPr>
                <w:rFonts w:ascii="Arial" w:cs="Arial" w:eastAsia="Arial" w:hAnsi="Arial"/>
                <w:color w:val="666666"/>
                <w:sz w:val="20"/>
                <w:szCs w:val="20"/>
              </w:rPr>
              <w:t xml:space="preserve">Version 0.5  ·  Mars 2026  ·  Statut : Document de positionnement — Ouvert aux commentaires communautaires  ·  Domaine public (CC0)</w:t>
            </w:r>
          </w:p>
        </w:tc>
      </w:tr>
    </w:tbl>
    <w:p>
      <w:pPr>
        <w:spacing w:after="6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CE6F1" w:val="clear"/>
            <w:tcMar>
              <w:top w:type="dxa" w:w="200"/>
              <w:left w:type="dxa" w:w="240"/>
              <w:bottom w:type="dxa" w:w="200"/>
              <w:right w:type="dxa" w:w="240"/>
            </w:tcMar>
          </w:tcPr>
          <w:p>
            <w:pPr>
              <w:spacing w:after="80"/>
            </w:pPr>
            <w:r>
              <w:rPr>
                <w:rFonts w:ascii="Arial" w:cs="Arial" w:eastAsia="Arial" w:hAnsi="Arial"/>
                <w:b/>
                <w:bCs/>
                <w:color w:val="1F3864"/>
                <w:sz w:val="24"/>
                <w:szCs w:val="24"/>
              </w:rPr>
              <w:t xml:space="preserve">RÉSUMÉ</w:t>
            </w:r>
          </w:p>
          <w:p>
            <w:pPr>
              <w:spacing w:after="100"/>
            </w:pPr>
            <w:r>
              <w:rPr>
                <w:rFonts w:ascii="Arial" w:cs="Arial" w:eastAsia="Arial" w:hAnsi="Arial"/>
                <w:color w:val="222222"/>
                <w:sz w:val="21"/>
                <w:szCs w:val="21"/>
              </w:rPr>
              <w:t xml:space="preserve">Ce document présente D-SIG (Distilled Signal) v0.5 comme un blueprint architectural et un document de positionnement — non comme une norme prescriptive. D-SIG propose un cadre pour produire, transmettre et consommer des signaux de vitalité unifiés dans des systèmes distribués. Il ne prétend pas calculer la vérité. Il propose une façon structurée de voir et de comprendre l'état opérationnel autrement : par convergence multi-perspective, confiance cumulative et distillation sémantiquement riche.</w:t>
            </w:r>
          </w:p>
          <w:p>
            <w:pPr>
              <w:spacing w:after="100"/>
            </w:pPr>
            <w:r>
              <w:rPr>
                <w:rFonts w:ascii="Arial" w:cs="Arial" w:eastAsia="Arial" w:hAnsi="Arial"/>
                <w:color w:val="222222"/>
                <w:sz w:val="21"/>
                <w:szCs w:val="21"/>
              </w:rPr>
              <w:t xml:space="preserve">Le cadre spécifie une structure minimale de signal (Triple-Réduction : score 0–100, label, couleur, tendance), cinq principes architecturaux (P1–P5), onze règles de distillation et de robustesse, et un modèle de confiance du producteur (D-SIG-PROD-01–05). Tous les paramètres de pondération sont définis par l'implémentation. NetPulse est l'implémentation de référence.</w:t>
            </w:r>
          </w:p>
          <w:p>
            <w:r>
              <w:rPr>
                <w:rFonts w:ascii="Arial" w:cs="Arial" w:eastAsia="Arial" w:hAnsi="Arial"/>
                <w:color w:val="222222"/>
                <w:sz w:val="21"/>
                <w:szCs w:val="21"/>
              </w:rPr>
              <w:t xml:space="preserve">La v0.5 résout trois incohérences internes identifiées lors d'une révision par les pairs : la règle d'indépendance label/tendance (déterministe), la circularité de baseline_cycles (calculé par le récepteur), et le concept de dimension précondition (distinct du fail-fast). Elle formalise également la généalogie intellectuelle du cadre — des indicateurs composites du trading algorithmique à l'observabilité IT distribuée.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4A235A" w:sz="4"/>
              <w:left w:val="single" w:color="4A235A" w:sz="4"/>
              <w:bottom w:val="single" w:color="4A235A" w:sz="4"/>
              <w:right w:val="single" w:color="4A235A" w:sz="4"/>
            </w:tcBorders>
            <w:shd w:fill="EAD1DC" w:val="clear"/>
            <w:tcMar>
              <w:top w:type="dxa" w:w="160"/>
              <w:left w:type="dxa" w:w="200"/>
              <w:bottom w:type="dxa" w:w="160"/>
              <w:right w:type="dxa" w:w="200"/>
            </w:tcMar>
          </w:tcPr>
          <w:p>
            <w:pPr>
              <w:spacing w:after="60"/>
            </w:pPr>
            <w:r>
              <w:rPr>
                <w:rFonts w:ascii="Arial" w:cs="Arial" w:eastAsia="Arial" w:hAnsi="Arial"/>
                <w:b/>
                <w:bCs/>
                <w:color w:val="4A235A"/>
                <w:sz w:val="22"/>
                <w:szCs w:val="22"/>
              </w:rPr>
              <w:t xml:space="preserve">STATUT ET INTENTION DU DOCUMENT</w:t>
            </w:r>
          </w:p>
          <w:p>
            <w:pPr>
              <w:spacing w:after="60"/>
            </w:pPr>
            <w:r>
              <w:rPr>
                <w:rFonts w:ascii="Arial" w:cs="Arial" w:eastAsia="Arial" w:hAnsi="Arial"/>
                <w:color w:val="4A235A"/>
                <w:sz w:val="20"/>
                <w:szCs w:val="20"/>
              </w:rPr>
              <w:t xml:space="preserve">D-SIG v0.5 est un document de positionnement et un blueprint architectural. Ce n'est pas une norme aboutie en attente de ratification. Il propose des fondements conceptuels et une implémentation de référence (NetPulse) comme preuve de concept.</w:t>
            </w:r>
          </w:p>
          <w:p>
            <w:pPr>
              <w:spacing w:after="60"/>
            </w:pPr>
            <w:r>
              <w:rPr>
                <w:rFonts w:ascii="Arial" w:cs="Arial" w:eastAsia="Arial" w:hAnsi="Arial"/>
                <w:b/>
                <w:bCs/>
                <w:color w:val="4A235A"/>
                <w:sz w:val="20"/>
                <w:szCs w:val="20"/>
              </w:rPr>
              <w:t xml:space="preserve">Ce que D-SIG affirme : un cadre structuré pour la distillation de l'observabilité, avec des propriétés documentées et des limites documentées.</w:t>
            </w:r>
          </w:p>
          <w:p>
            <w:r>
              <w:rPr>
                <w:rFonts w:ascii="Arial" w:cs="Arial" w:eastAsia="Arial" w:hAnsi="Arial"/>
                <w:color w:val="4A235A"/>
                <w:sz w:val="20"/>
                <w:szCs w:val="20"/>
              </w:rPr>
              <w:t xml:space="preserve">Ce que D-SIG n'affirme pas : des coefficients de pondération universels, une preuve de mesure, ou la résolution du problème de l'oracle. Le cadre est une grille de lecture, pas une formule.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Historique des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7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Modifications principales</w:t>
            </w:r>
          </w:p>
        </w:tc>
      </w:tr>
      <w:tr>
        <w:tc>
          <w:tcPr>
            <w:tcW w:type="dxa" w:w="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v0.1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Mars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Fondation : Triple-Réduction, P1–P5, distillation multi-perspective, gouvernance CC0.</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v0.2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Mars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velocity → trend, table sémiotique Peirce, matrice de divergence.</w:t>
            </w:r>
          </w:p>
        </w:tc>
      </w:tr>
      <w:tr>
        <w:tc>
          <w:tcPr>
            <w:tcW w:type="dxa" w:w="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v0.3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Mars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Modèle de confiance producteur D-SIG-PROD-01–04. Règles de robustesse 6–8. TTL obligatoire.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v0.4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Mars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Principe Prusik. Principe phéromonal. baseline_cycles. Règle 9. Ancre unique.</w:t>
            </w:r>
          </w:p>
        </w:tc>
      </w:tr>
      <w:tr>
        <w:tc>
          <w:tcPr>
            <w:tcW w:type="dxa" w:w="8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v0.5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Mars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Statut document de positionnement formalisé. Règle 10 (indépendance label/tendance). Règle 11 (précondition). baseline_cycles calculé par le récepteur. Généalogie QAAF documentée. Scénario générique.</w:t>
            </w:r>
          </w:p>
        </w:tc>
      </w:tr>
    </w:tbl>
    <w:p>
      <w:pPr>
        <w:spacing w:after="120"/>
      </w:pPr>
      <w:r>
        <w:t xml:space="preserve"/>
      </w:r>
    </w:p>
    <w:p>
      <w:pPr>
        <w:spacing w:before="480" w:after="200"/>
      </w:pPr>
      <w:r>
        <w:rPr>
          <w:rFonts w:ascii="Arial" w:cs="Arial" w:eastAsia="Arial" w:hAnsi="Arial"/>
          <w:b/>
          <w:bCs/>
          <w:color w:val="1F3864"/>
          <w:sz w:val="38"/>
          <w:szCs w:val="38"/>
        </w:rPr>
        <w:t xml:space="preserve">1. Généalogie intellectuelle et motivation</w:t>
      </w:r>
    </w:p>
    <w:p>
      <w:pPr>
        <w:pBdr>
          <w:bottom w:val="single" w:color="2E75B6" w:sz="6" w:space="4"/>
        </w:pBdr>
        <w:spacing w:before="300" w:after="120"/>
      </w:pPr>
      <w:r>
        <w:rPr>
          <w:rFonts w:ascii="Arial" w:cs="Arial" w:eastAsia="Arial" w:hAnsi="Arial"/>
          <w:b/>
          <w:bCs/>
          <w:color w:val="2E75B6"/>
          <w:sz w:val="28"/>
          <w:szCs w:val="28"/>
        </w:rPr>
        <w:t xml:space="preserve">1.1  Du trading algorithmique à l'observabilité IT</w:t>
      </w:r>
    </w:p>
    <w:p>
      <w:pPr>
        <w:spacing w:after="120"/>
      </w:pPr>
      <w:r>
        <w:rPr>
          <w:rFonts w:ascii="Arial" w:cs="Arial" w:eastAsia="Arial" w:hAnsi="Arial"/>
          <w:sz w:val="22"/>
          <w:szCs w:val="22"/>
        </w:rPr>
        <w:t xml:space="preserve">D-SIG n'est pas né dans le domaine de l'observabilité IT. Il est né d'une observation structurelle faite par un praticien du trading algorithmique qui opérait également une infrastructure réseau distribuée : les patterns de traitement du signal qui fonctionnent dans les marchés financiers — indicateurs composites, dérivées temporelles, convergence de perspectives indépendantes — n'avaient jamais été formellement appliqués au monitoring opérationnel IT.</w:t>
      </w:r>
    </w:p>
    <w:p>
      <w:pPr>
        <w:spacing w:after="80"/>
      </w:pPr>
      <w:r>
        <w:t xml:space="preserve"/>
      </w:r>
    </w:p>
    <w:p>
      <w:pPr>
        <w:spacing w:after="120"/>
      </w:pPr>
      <w:r>
        <w:rPr>
          <w:rFonts w:ascii="Arial" w:cs="Arial" w:eastAsia="Arial" w:hAnsi="Arial"/>
          <w:sz w:val="22"/>
          <w:szCs w:val="22"/>
        </w:rPr>
        <w:t xml:space="preserve">Le cadre QAAF (Quantitative Algorithmic Asset Framework) — un système de scoring composite pour l'allocation PAXG/BTC basé sur des métriques de momentum, de volatilité et de corrélation — a fourni le modèle structural :</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QAAF (Trading algorithmique)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D-SIG (Observabilité IT)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Rôle structural</w:t>
            </w:r>
          </w:p>
        </w:tc>
      </w:tr>
      <w:tr>
        <w:tc>
          <w:tcPr>
            <w:tcW w:type="dxa" w:w="22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Métriques brutes prix/volume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Métriques réseau brutes (latence, perte, débit)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Couche d'entrée — observations non traitées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Score composite (0–100)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Score distillé (0–100)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Signal de vitalité normalisé</w:t>
            </w:r>
          </w:p>
        </w:tc>
      </w:tr>
      <w:tr>
        <w:tc>
          <w:tcPr>
            <w:tcW w:type="dxa" w:w="22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MACD, RSI, momentum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trend : IMPROVING / DEGRADING / CRITICAL_FALL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Dérivée temporelle du composite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Déclencheur stop-loss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Modificateur fail-fast (fail_fast_modifier = 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Seuil critique qui effondre le score</w:t>
            </w:r>
          </w:p>
        </w:tc>
      </w:tr>
      <w:tr>
        <w:tc>
          <w:tcPr>
            <w:tcW w:type="dxa" w:w="22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Période de référence RSI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baseline_cycles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Proxy de confiance accumulée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Signal BUY / HOLD / SELL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Label EXCELLENT / GOOD / DEGRADED / CRITICAL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Sortie sémantique actionnelle</w:t>
            </w:r>
          </w:p>
        </w:tc>
      </w:tr>
      <w:tr>
        <w:tc>
          <w:tcPr>
            <w:tcW w:type="dxa" w:w="22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Convergence multi-indicateurs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Convergence multi-perspective (Nœud/Hub/Oracle)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Confirmation de signal indépendante</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DCE6F1" w:val="clear"/>
            <w:tcMar>
              <w:top w:type="dxa" w:w="80"/>
              <w:left w:type="dxa" w:w="120"/>
              <w:bottom w:type="dxa" w:w="80"/>
              <w:right w:type="dxa" w:w="120"/>
            </w:tcMar>
            <w:vAlign w:val="center"/>
          </w:tcPr>
          <w:p>
            <w:pPr>
              <w:jc w:val="center"/>
            </w:pPr>
            <w:r>
              <w:rPr>
                <w:rFonts w:ascii="Arial" w:cs="Arial" w:eastAsia="Arial" w:hAnsi="Arial"/>
                <w:b/>
                <w:bCs/>
                <w:color w:val="1F3864"/>
                <w:sz w:val="20"/>
                <w:szCs w:val="20"/>
              </w:rPr>
              <w:t xml:space="preserve">GÉNÉALOGIE</w:t>
            </w:r>
          </w:p>
        </w:tc>
        <w:tc>
          <w:tcPr>
            <w:tcW w:type="dxa" w:w="7920"/>
            <w:tcBorders>
              <w:top w:val="single" w:color="2E75B6" w:sz="4"/>
              <w:left w:val="single" w:color="2E75B6" w:sz="4"/>
              <w:bottom w:val="single" w:color="2E75B6" w:sz="4"/>
              <w:right w:val="single" w:color="2E75B6" w:sz="4"/>
            </w:tcBorders>
            <w:shd w:fill="DCE6F1" w:val="clear"/>
            <w:tcMar>
              <w:top w:type="dxa" w:w="80"/>
              <w:left w:type="dxa" w:w="160"/>
              <w:bottom w:type="dxa" w:w="80"/>
              <w:right w:type="dxa" w:w="120"/>
            </w:tcMar>
          </w:tcPr>
          <w:p>
            <w:r>
              <w:rPr>
                <w:rFonts w:ascii="Arial" w:cs="Arial" w:eastAsia="Arial" w:hAnsi="Arial"/>
                <w:color w:val="1F3864"/>
                <w:sz w:val="21"/>
                <w:szCs w:val="21"/>
              </w:rPr>
              <w:t xml:space="preserve">D-SIG est une innovation de composition par transfert interdisciplinaire : il applique l'architecture de traitement du signal des indicateurs composites du trading algorithmique à l'observabilité IT distribuée, un domaine où cette formalisation était absente. QAAF est l'ancêtre conceptuel ; D-SIG est la généralisation structurelle.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1.2  Le paradoxe de l'observabilité</w:t>
      </w:r>
    </w:p>
    <w:p>
      <w:pPr>
        <w:spacing w:after="120"/>
      </w:pPr>
      <w:r>
        <w:rPr>
          <w:rFonts w:ascii="Arial" w:cs="Arial" w:eastAsia="Arial" w:hAnsi="Arial"/>
          <w:sz w:val="22"/>
          <w:szCs w:val="22"/>
        </w:rPr>
        <w:t xml:space="preserve">Les systèmes d'observabilité modernes ont atteint une limite structurelle : leur capacité à collecter des données a progressé exponentiellement, mais la capacité des équipes à transformer ce flux en décisions opérationnelles s'est dégradée en proportion. Plus on ajoute de sondes, plus on produit de bruit. Plus on produit de bruit, plus les signaux critiques sont noyés.</w:t>
      </w:r>
    </w:p>
    <w:p>
      <w:pPr>
        <w:spacing w:after="80"/>
      </w:pPr>
      <w:r>
        <w:t xml:space="preserve"/>
      </w:r>
    </w:p>
    <w:p>
      <w:pPr>
        <w:spacing w:after="120"/>
      </w:pPr>
      <w:r>
        <w:rPr>
          <w:rFonts w:ascii="Arial" w:cs="Arial" w:eastAsia="Arial" w:hAnsi="Arial"/>
          <w:sz w:val="22"/>
          <w:szCs w:val="22"/>
        </w:rPr>
        <w:t xml:space="preserve">D-SIG ne propose pas de résoudre cela par de meilleurs algorithmes ou plus de puissance de calcul. Il propose une question différente : au lieu de demander ce qui se passe, demander si le système remplit sa mission pour l'utilisateur final, maintenant. Ce changement de question modifie ce qui doit être mesuré — et comment.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DCE6F1" w:val="clear"/>
            <w:tcMar>
              <w:top w:type="dxa" w:w="80"/>
              <w:left w:type="dxa" w:w="120"/>
              <w:bottom w:type="dxa" w:w="80"/>
              <w:right w:type="dxa" w:w="120"/>
            </w:tcMar>
            <w:vAlign w:val="center"/>
          </w:tcPr>
          <w:p>
            <w:pPr>
              <w:jc w:val="center"/>
            </w:pPr>
            <w:r>
              <w:rPr>
                <w:rFonts w:ascii="Arial" w:cs="Arial" w:eastAsia="Arial" w:hAnsi="Arial"/>
                <w:b/>
                <w:bCs/>
                <w:color w:val="1F3864"/>
                <w:sz w:val="20"/>
                <w:szCs w:val="20"/>
              </w:rPr>
              <w:t xml:space="preserve">LE PROBLÈME EN UNE PHRASE</w:t>
            </w:r>
          </w:p>
        </w:tc>
        <w:tc>
          <w:tcPr>
            <w:tcW w:type="dxa" w:w="7920"/>
            <w:tcBorders>
              <w:top w:val="single" w:color="2E75B6" w:sz="4"/>
              <w:left w:val="single" w:color="2E75B6" w:sz="4"/>
              <w:bottom w:val="single" w:color="2E75B6" w:sz="4"/>
              <w:right w:val="single" w:color="2E75B6" w:sz="4"/>
            </w:tcBorders>
            <w:shd w:fill="DCE6F1" w:val="clear"/>
            <w:tcMar>
              <w:top w:type="dxa" w:w="80"/>
              <w:left w:type="dxa" w:w="160"/>
              <w:bottom w:type="dxa" w:w="80"/>
              <w:right w:type="dxa" w:w="120"/>
            </w:tcMar>
          </w:tcPr>
          <w:p>
            <w:r>
              <w:rPr>
                <w:rFonts w:ascii="Arial" w:cs="Arial" w:eastAsia="Arial" w:hAnsi="Arial"/>
                <w:color w:val="1F3864"/>
                <w:sz w:val="21"/>
                <w:szCs w:val="21"/>
              </w:rPr>
              <w:t xml:space="preserve">Les outils existants vendent de la donnée. D-SIG propose un cadre pour produire une vérité opérationnelle. Ce ne sont pas le même produit.</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1.3  La lacune dans les standards existants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500"/>
        <w:gridCol w:w="1500"/>
        <w:gridCol w:w="19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Domaine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Signal distillé</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Multi-perspective</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Autonome</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 ?</w:t>
            </w:r>
          </w:p>
        </w:tc>
      </w:tr>
      <w:tr>
        <w:tc>
          <w:tcPr>
            <w:tcW w:type="dxa" w:w="22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Triage médical (START)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Balises couleur V/J/R/N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Aviation (horizon artificiel)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Posture synthétique fusionnée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Partielle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22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Sécurité/Industrie (IEC 61508)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Niveaux SIL 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Partielle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220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Monitoring IT (Datadog, etc.)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Aucun — données brutes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Partielle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 → LACUNE</w:t>
            </w:r>
          </w:p>
        </w:tc>
      </w:tr>
      <w:tr>
        <w:tc>
          <w:tcPr>
            <w:tcW w:type="dxa" w:w="22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D-SIG v0.5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Score+Label+Couleur+Trend+Confiance cumulative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 (N perspectives)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Oui → COMBLE LA LACUNE</w:t>
            </w:r>
          </w:p>
        </w:tc>
      </w:tr>
    </w:tbl>
    <w:p>
      <w:pPr>
        <w:spacing w:after="120"/>
      </w:pPr>
      <w:r>
        <w:t xml:space="preserve"/>
      </w:r>
    </w:p>
    <w:p>
      <w:pPr>
        <w:spacing w:before="480" w:after="200"/>
      </w:pPr>
      <w:r>
        <w:rPr>
          <w:rFonts w:ascii="Arial" w:cs="Arial" w:eastAsia="Arial" w:hAnsi="Arial"/>
          <w:b/>
          <w:bCs/>
          <w:color w:val="1F3864"/>
          <w:sz w:val="38"/>
          <w:szCs w:val="38"/>
        </w:rPr>
        <w:t xml:space="preserve">2. Nature du cadre</w:t>
      </w:r>
    </w:p>
    <w:p>
      <w:pPr>
        <w:pBdr>
          <w:bottom w:val="single" w:color="2E75B6" w:sz="6" w:space="4"/>
        </w:pBdr>
        <w:spacing w:before="300" w:after="120"/>
      </w:pPr>
      <w:r>
        <w:rPr>
          <w:rFonts w:ascii="Arial" w:cs="Arial" w:eastAsia="Arial" w:hAnsi="Arial"/>
          <w:b/>
          <w:bCs/>
          <w:color w:val="2E75B6"/>
          <w:sz w:val="28"/>
          <w:szCs w:val="28"/>
        </w:rPr>
        <w:t xml:space="preserve">2.1  Ce que D-SIG n'est pas</w:t>
      </w:r>
    </w:p>
    <w:p>
      <w:pPr>
        <w:pStyle w:val="ListParagraph"/>
        <w:numPr>
          <w:ilvl w:val="0"/>
          <w:numId w:val="2"/>
        </w:numPr>
        <w:spacing w:after="80"/>
      </w:pPr>
      <w:r>
        <w:rPr>
          <w:rFonts w:ascii="Arial" w:cs="Arial" w:eastAsia="Arial" w:hAnsi="Arial"/>
          <w:sz w:val="22"/>
          <w:szCs w:val="22"/>
        </w:rPr>
        <w:t xml:space="preserve">D-SIG n'est pas un outil de monitoring. Il ne collecte pas de données.</w:t>
      </w:r>
    </w:p>
    <w:p>
      <w:pPr>
        <w:pStyle w:val="ListParagraph"/>
        <w:numPr>
          <w:ilvl w:val="0"/>
          <w:numId w:val="2"/>
        </w:numPr>
        <w:spacing w:after="80"/>
      </w:pPr>
      <w:r>
        <w:rPr>
          <w:rFonts w:ascii="Arial" w:cs="Arial" w:eastAsia="Arial" w:hAnsi="Arial"/>
          <w:sz w:val="22"/>
          <w:szCs w:val="22"/>
        </w:rPr>
        <w:t xml:space="preserve">D-SIG n'est pas un algorithme de machine learning. Il ne nécessite pas d'entraînement.</w:t>
      </w:r>
    </w:p>
    <w:p>
      <w:pPr>
        <w:pStyle w:val="ListParagraph"/>
        <w:numPr>
          <w:ilvl w:val="0"/>
          <w:numId w:val="2"/>
        </w:numPr>
        <w:spacing w:after="80"/>
      </w:pPr>
      <w:r>
        <w:rPr>
          <w:rFonts w:ascii="Arial" w:cs="Arial" w:eastAsia="Arial" w:hAnsi="Arial"/>
          <w:sz w:val="22"/>
          <w:szCs w:val="22"/>
        </w:rPr>
        <w:t xml:space="preserve">D-SIG n'est pas une formule universelle à coefficients fixes. Les poids sont définis par l'implémentation.</w:t>
      </w:r>
    </w:p>
    <w:p>
      <w:pPr>
        <w:pStyle w:val="ListParagraph"/>
        <w:numPr>
          <w:ilvl w:val="0"/>
          <w:numId w:val="2"/>
        </w:numPr>
        <w:spacing w:after="80"/>
      </w:pPr>
      <w:r>
        <w:rPr>
          <w:rFonts w:ascii="Arial" w:cs="Arial" w:eastAsia="Arial" w:hAnsi="Arial"/>
          <w:sz w:val="22"/>
          <w:szCs w:val="22"/>
        </w:rPr>
        <w:t xml:space="preserve">D-SIG n'est pas une invention brevetable. C'est un cadre de composition dans le domaine public.</w:t>
      </w:r>
    </w:p>
    <w:p>
      <w:pPr>
        <w:pStyle w:val="ListParagraph"/>
        <w:numPr>
          <w:ilvl w:val="0"/>
          <w:numId w:val="2"/>
        </w:numPr>
        <w:spacing w:after="80"/>
      </w:pPr>
      <w:r>
        <w:rPr>
          <w:rFonts w:ascii="Arial" w:cs="Arial" w:eastAsia="Arial" w:hAnsi="Arial"/>
          <w:sz w:val="22"/>
          <w:szCs w:val="22"/>
        </w:rPr>
        <w:t xml:space="preserve">D-SIG n'est pas une norme prescriptive. C'est un blueprint architectural ouvert à l'enrichissement communautaire.</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2.2  Ce que D-SIG propose</w:t>
      </w:r>
    </w:p>
    <w:p>
      <w:pPr>
        <w:spacing w:after="120"/>
      </w:pPr>
      <w:r>
        <w:rPr>
          <w:rFonts w:ascii="Arial" w:cs="Arial" w:eastAsia="Arial" w:hAnsi="Arial"/>
          <w:sz w:val="22"/>
          <w:szCs w:val="22"/>
        </w:rPr>
        <w:t xml:space="preserve">D-SIG propose un cadre — une façon structurée de voir et de comprendre l'état opérationnel d'un système distribué. Comme TCP/IP ne garantit pas la livraison des paquets mais maximise sa probabilité via un protocole documenté, D-SIG ne calcule pas la vérité mais maximise la probabilité de produire une intelligence opérationnelle actionnelle via une architecture de distillation documentée.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A6B5A" w:sz="4"/>
              <w:left w:val="single" w:color="1A6B5A" w:sz="4"/>
              <w:bottom w:val="single" w:color="1A6B5A" w:sz="4"/>
              <w:right w:val="single" w:color="1A6B5A" w:sz="4"/>
            </w:tcBorders>
            <w:shd w:fill="D9EAD3" w:val="clear"/>
            <w:tcMar>
              <w:top w:type="dxa" w:w="80"/>
              <w:left w:type="dxa" w:w="120"/>
              <w:bottom w:type="dxa" w:w="80"/>
              <w:right w:type="dxa" w:w="120"/>
            </w:tcMar>
            <w:vAlign w:val="center"/>
          </w:tcPr>
          <w:p>
            <w:pPr>
              <w:jc w:val="center"/>
            </w:pPr>
            <w:r>
              <w:rPr>
                <w:rFonts w:ascii="Arial" w:cs="Arial" w:eastAsia="Arial" w:hAnsi="Arial"/>
                <w:b/>
                <w:bCs/>
                <w:color w:val="1A6B5A"/>
                <w:sz w:val="20"/>
                <w:szCs w:val="20"/>
              </w:rPr>
              <w:t xml:space="preserve">AFFIRMATION CENTRALE</w:t>
            </w:r>
          </w:p>
        </w:tc>
        <w:tc>
          <w:tcPr>
            <w:tcW w:type="dxa" w:w="7920"/>
            <w:tcBorders>
              <w:top w:val="single" w:color="1A6B5A" w:sz="4"/>
              <w:left w:val="single" w:color="1A6B5A" w:sz="4"/>
              <w:bottom w:val="single" w:color="1A6B5A" w:sz="4"/>
              <w:right w:val="single" w:color="1A6B5A" w:sz="4"/>
            </w:tcBorders>
            <w:shd w:fill="D9EAD3" w:val="clear"/>
            <w:tcMar>
              <w:top w:type="dxa" w:w="80"/>
              <w:left w:type="dxa" w:w="160"/>
              <w:bottom w:type="dxa" w:w="80"/>
              <w:right w:type="dxa" w:w="120"/>
            </w:tcMar>
          </w:tcPr>
          <w:p>
            <w:r>
              <w:rPr>
                <w:rFonts w:ascii="Arial" w:cs="Arial" w:eastAsia="Arial" w:hAnsi="Arial"/>
                <w:color w:val="1A6B5A"/>
                <w:sz w:val="21"/>
                <w:szCs w:val="21"/>
              </w:rPr>
              <w:t xml:space="preserve">D-SIG propose que : (1) un score + label + couleur + tendance est suffisant pour toute décision opérationnelle si correctement calibré ; (2) trois perspectives indépendantes sont épistémiquement plus robustes qu'une perspective précise ; (3) l'historique de convergence est lui-même un signal. Ce sont des propositions, pas des axiomes. Elles sont falsifiables.</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2.3  Les cinq principes architecturaux fondateurs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600"/>
        <w:gridCol w:w="3440"/>
        <w:gridCol w:w="2800"/>
      </w:tblGrid>
      <w:tr>
        <w:tc>
          <w:tcPr>
            <w:tcW w:type="dxa" w:w="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Principe</w:t>
            </w:r>
          </w:p>
        </w:tc>
        <w:tc>
          <w:tcPr>
            <w:tcW w:type="dxa" w:w="3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Origine disciplinaire</w:t>
            </w:r>
          </w:p>
        </w:tc>
      </w:tr>
      <w:tr>
        <w:tc>
          <w:tcPr>
            <w:tcW w:type="dxa" w:w="52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P1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Triple-Réduction sémantique</w:t>
            </w:r>
          </w:p>
        </w:tc>
        <w:tc>
          <w:tcPr>
            <w:tcW w:type="dxa" w:w="3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Tout signal D-SIG exprime simultanément un nombre (0–100), un label (4 états) et une couleur. Les trois sont obligatoires et atomiquement cohérents. La redondance est intentionnelle — chaque composant cible un canal cognitif distinct.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Sémiologie (Peirce, 1867)</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Multi-perspective convergente</w:t>
            </w:r>
          </w:p>
        </w:tc>
        <w:tc>
          <w:tcPr>
            <w:tcW w:type="dxa" w:w="3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 signal final émerge de la confrontation de N perspectives indépendantes. La convergence confirme. La divergence diagnostique. La valeur diagnostique est proportionnelle à l'indépendance des sources.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Théorie des systèmes distribués</w:t>
            </w:r>
          </w:p>
        </w:tc>
      </w:tr>
      <w:tr>
        <w:tc>
          <w:tcPr>
            <w:tcW w:type="dxa" w:w="52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P3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Autonomie de production</w:t>
            </w:r>
          </w:p>
        </w:tc>
        <w:tc>
          <w:tcPr>
            <w:tcW w:type="dxa" w:w="3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Chaque entité produit son signal sans dépendance réseau. Un réseau défaillant produit un signal — il ne le supprime pas. Le silence est sémantiquement chargé, pas un manque à compenser.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Résilience Edge / Aviation</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Absorption asymétrique du bruit</w:t>
            </w:r>
          </w:p>
        </w:tc>
        <w:tc>
          <w:tcPr>
            <w:tcW w:type="dxa" w:w="3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Les micro-variations sont absorbées dans le score. Seule une tendance durable ou une divergence de perspectives déclenche un changement de label. Le silence est l'état par défaut, pas l'alerte.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Traitement du signal / HSE</w:t>
            </w:r>
          </w:p>
        </w:tc>
      </w:tr>
      <w:tr>
        <w:tc>
          <w:tcPr>
            <w:tcW w:type="dxa" w:w="52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P5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Diffusion agnostique</w:t>
            </w:r>
          </w:p>
        </w:tc>
        <w:tc>
          <w:tcPr>
            <w:tcW w:type="dxa" w:w="3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 signal D-SIG transite par tout support (JSON, MQTT, SMS, afficheur physique). Le récepteur n'a pas besoin de connaître les sources ou outils sous-jacents.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Stigmergie (Grassé, 1959)</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2.4  Deux propriétés émergentes de l'architecture distribuée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DCE6F1" w:val="clear"/>
            <w:tcMar>
              <w:top w:type="dxa" w:w="160"/>
              <w:left w:type="dxa" w:w="120"/>
              <w:bottom w:type="dxa" w:w="160"/>
              <w:right w:type="dxa" w:w="120"/>
            </w:tcMar>
            <w:vAlign w:val="center"/>
          </w:tcPr>
          <w:p>
            <w:pPr>
              <w:jc w:val="center"/>
            </w:pPr>
            <w:r>
              <w:rPr>
                <w:rFonts w:ascii="Arial" w:cs="Arial" w:eastAsia="Arial" w:hAnsi="Arial"/>
                <w:b/>
                <w:bCs/>
                <w:color w:val="1F3864"/>
                <w:sz w:val="52"/>
                <w:szCs w:val="52"/>
              </w:rPr>
              <w:t xml:space="preserve">⛰</w:t>
            </w:r>
          </w:p>
        </w:tc>
        <w:tc>
          <w:tcPr>
            <w:tcW w:type="dxa" w:w="8460"/>
            <w:tcBorders>
              <w:top w:val="single" w:color="CCCCCC" w:sz="1"/>
              <w:left w:val="single" w:color="CCCCCC" w:sz="1"/>
              <w:bottom w:val="single" w:color="CCCCCC" w:sz="1"/>
              <w:right w:val="single" w:color="CCCCCC" w:sz="1"/>
            </w:tcBorders>
            <w:shd w:fill="DCE6F1" w:val="clear"/>
            <w:tcMar>
              <w:top w:type="dxa" w:w="160"/>
              <w:left w:type="dxa" w:w="200"/>
              <w:bottom w:type="dxa" w:w="160"/>
              <w:right w:type="dxa" w:w="120"/>
            </w:tcMar>
          </w:tcPr>
          <w:p>
            <w:pPr>
              <w:spacing w:after="60"/>
            </w:pPr>
            <w:r>
              <w:rPr>
                <w:rFonts w:ascii="Arial" w:cs="Arial" w:eastAsia="Arial" w:hAnsi="Arial"/>
                <w:b/>
                <w:bCs/>
                <w:color w:val="1F3864"/>
                <w:sz w:val="24"/>
                <w:szCs w:val="24"/>
              </w:rPr>
              <w:t xml:space="preserve">Principe Prusik — Résistance auto-renforçante</w:t>
            </w:r>
          </w:p>
          <w:p>
            <w:r>
              <w:rPr>
                <w:rFonts w:ascii="Arial" w:cs="Arial" w:eastAsia="Arial" w:hAnsi="Arial"/>
                <w:color w:val="1F3864"/>
                <w:sz w:val="21"/>
                <w:szCs w:val="21"/>
              </w:rPr>
              <w:t xml:space="preserve">Un nœud autobloquant ne résiste pas à la charge par rigidité externe — la charge elle-même resserre la prise. Dans un déploiement D-SIG multi-perspectives, chaque perspective légitime supplémentaire qui maintient son signal réel augmente la visibilité de la divergence avec les signaux falsifiés. L'attaque amplifie le signal d'alerte qu'elle cherche à masquer. Tolérance byzantine : ⌊(N−1)/3⌋ perspectives corrompues tolérées avec N sources indépendantes.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D9EAD3" w:val="clear"/>
            <w:tcMar>
              <w:top w:type="dxa" w:w="160"/>
              <w:left w:type="dxa" w:w="120"/>
              <w:bottom w:type="dxa" w:w="160"/>
              <w:right w:type="dxa" w:w="120"/>
            </w:tcMar>
            <w:vAlign w:val="center"/>
          </w:tcPr>
          <w:p>
            <w:pPr>
              <w:jc w:val="center"/>
            </w:pPr>
            <w:r>
              <w:rPr>
                <w:rFonts w:ascii="Arial" w:cs="Arial" w:eastAsia="Arial" w:hAnsi="Arial"/>
                <w:b/>
                <w:bCs/>
                <w:color w:val="1A6B5A"/>
                <w:sz w:val="52"/>
                <w:szCs w:val="52"/>
              </w:rPr>
              <w:t xml:space="preserve">🐜</w:t>
            </w:r>
          </w:p>
        </w:tc>
        <w:tc>
          <w:tcPr>
            <w:tcW w:type="dxa" w:w="8460"/>
            <w:tcBorders>
              <w:top w:val="single" w:color="CCCCCC" w:sz="1"/>
              <w:left w:val="single" w:color="CCCCCC" w:sz="1"/>
              <w:bottom w:val="single" w:color="CCCCCC" w:sz="1"/>
              <w:right w:val="single" w:color="CCCCCC" w:sz="1"/>
            </w:tcBorders>
            <w:shd w:fill="D9EAD3" w:val="clear"/>
            <w:tcMar>
              <w:top w:type="dxa" w:w="160"/>
              <w:left w:type="dxa" w:w="200"/>
              <w:bottom w:type="dxa" w:w="160"/>
              <w:right w:type="dxa" w:w="120"/>
            </w:tcMar>
          </w:tcPr>
          <w:p>
            <w:pPr>
              <w:spacing w:after="60"/>
            </w:pPr>
            <w:r>
              <w:rPr>
                <w:rFonts w:ascii="Arial" w:cs="Arial" w:eastAsia="Arial" w:hAnsi="Arial"/>
                <w:b/>
                <w:bCs/>
                <w:color w:val="1A6B5A"/>
                <w:sz w:val="24"/>
                <w:szCs w:val="24"/>
              </w:rPr>
              <w:t xml:space="preserve">Principe phéromonal — Confiance cumulative par convergence temporelle</w:t>
            </w:r>
          </w:p>
          <w:p>
            <w:r>
              <w:rPr>
                <w:rFonts w:ascii="Arial" w:cs="Arial" w:eastAsia="Arial" w:hAnsi="Arial"/>
                <w:color w:val="1A6B5A"/>
                <w:sz w:val="21"/>
                <w:szCs w:val="21"/>
              </w:rPr>
              <w:t xml:space="preserve">Dans une colonie de fourmis, les chemins courts se renforcent plus vite parce que les fourmis y déposent des phéromones plus fréquemment. Aucune décision centrale — propriété émergente de la répétition. Chaque cycle de convergence est un dépôt phéromonal qui renforce la baseline de confiance du groupe. Une rupture soudaine après une convergence soutenue (baseline_cycles élevé) est statistiquement plus significative qu'une rupture dans un déploiement récent. La confiance s'accumule ; elle s'évapore aussi sans renouvellement (TTL).</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2.5  Positionnement académique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CE6F1" w:val="clear"/>
            <w:tcMar>
              <w:top w:type="dxa" w:w="120"/>
              <w:left w:type="dxa" w:w="160"/>
              <w:bottom w:type="dxa" w:w="120"/>
              <w:right w:type="dxa" w:w="120"/>
            </w:tcMar>
          </w:tcPr>
          <w:p>
            <w:pPr>
              <w:spacing w:after="120"/>
            </w:pPr>
            <w:r>
              <w:rPr>
                <w:rFonts w:ascii="Arial" w:cs="Arial" w:eastAsia="Arial" w:hAnsi="Arial"/>
                <w:b/>
                <w:bCs/>
                <w:sz w:val="22"/>
                <w:szCs w:val="22"/>
              </w:rPr>
              <w:t xml:space="preserve">Théorie de l'information (Shannon, 1948)</w:t>
            </w:r>
          </w:p>
          <w:p>
            <w:pPr>
              <w:spacing w:after="120"/>
            </w:pPr>
            <w:r>
              <w:rPr>
                <w:rFonts w:ascii="Arial" w:cs="Arial" w:eastAsia="Arial" w:hAnsi="Arial"/>
                <w:sz w:val="20"/>
                <w:szCs w:val="20"/>
              </w:rPr>
              <w:t xml:space="preserve">La distillation D-SIG est une réduction d'entropie contrôlée : N métriques brutes → 1 score + 1 label + 1 couleur, sans perte d'information décisionnelle.</w:t>
            </w:r>
          </w:p>
          <w:p>
            <w:pPr>
              <w:spacing w:after="80"/>
            </w:pPr>
            <w:r>
              <w:t xml:space="preserve"/>
            </w:r>
          </w:p>
          <w:p>
            <w:pPr>
              <w:spacing w:after="120"/>
            </w:pPr>
            <w:r>
              <w:rPr>
                <w:rFonts w:ascii="Arial" w:cs="Arial" w:eastAsia="Arial" w:hAnsi="Arial"/>
                <w:b/>
                <w:bCs/>
                <w:sz w:val="22"/>
                <w:szCs w:val="22"/>
              </w:rPr>
              <w:t xml:space="preserve">Tolérance aux fautes byzantines (Lamport et al., 1982)</w:t>
            </w:r>
          </w:p>
          <w:p>
            <w:pPr>
              <w:spacing w:after="120"/>
            </w:pPr>
            <w:r>
              <w:rPr>
                <w:rFonts w:ascii="Arial" w:cs="Arial" w:eastAsia="Arial" w:hAnsi="Arial"/>
                <w:sz w:val="20"/>
                <w:szCs w:val="20"/>
              </w:rPr>
              <w:t xml:space="preserve">Le Principe Prusik transpose la tolérance byzantine à l'observabilité. Un déploiement D-SIG avec N perspectives indépendantes tolère ⌊(N−1)/3⌋ perspectives corrompues simultanément.</w:t>
            </w:r>
          </w:p>
        </w:tc>
        <w:tc>
          <w:tcPr>
            <w:tcW w:type="dxa" w:w="4680"/>
            <w:tcBorders>
              <w:top w:val="single" w:color="CCCCCC" w:sz="1"/>
              <w:left w:val="single" w:color="CCCCCC" w:sz="1"/>
              <w:bottom w:val="single" w:color="CCCCCC" w:sz="1"/>
              <w:right w:val="single" w:color="CCCCCC" w:sz="1"/>
            </w:tcBorders>
            <w:shd w:fill="F2F2F2" w:val="clear"/>
            <w:tcMar>
              <w:top w:type="dxa" w:w="120"/>
              <w:left w:type="dxa" w:w="160"/>
              <w:bottom w:type="dxa" w:w="120"/>
              <w:right w:type="dxa" w:w="120"/>
            </w:tcMar>
          </w:tcPr>
          <w:p>
            <w:pPr>
              <w:spacing w:after="120"/>
            </w:pPr>
            <w:r>
              <w:rPr>
                <w:rFonts w:ascii="Arial" w:cs="Arial" w:eastAsia="Arial" w:hAnsi="Arial"/>
                <w:b/>
                <w:bCs/>
                <w:sz w:val="22"/>
                <w:szCs w:val="22"/>
              </w:rPr>
              <w:t xml:space="preserve">Sémiologie (Peirce, 1867)</w:t>
            </w:r>
          </w:p>
          <w:p>
            <w:pPr>
              <w:spacing w:after="120"/>
            </w:pPr>
            <w:r>
              <w:rPr>
                <w:rFonts w:ascii="Arial" w:cs="Arial" w:eastAsia="Arial" w:hAnsi="Arial"/>
                <w:sz w:val="20"/>
                <w:szCs w:val="20"/>
              </w:rPr>
              <w:t xml:space="preserve">La Triple-Réduction correspond aux trois types de signes : Nombre = Indice (analytique), Label = Symbole (sémantique), Couleur = Icône (réflexe limbique). La redondance est sémiotique, pas esthétique.</w:t>
            </w:r>
          </w:p>
          <w:p>
            <w:pPr>
              <w:spacing w:after="80"/>
            </w:pPr>
            <w:r>
              <w:t xml:space="preserve"/>
            </w:r>
          </w:p>
          <w:p>
            <w:pPr>
              <w:spacing w:after="120"/>
            </w:pPr>
            <w:r>
              <w:rPr>
                <w:rFonts w:ascii="Arial" w:cs="Arial" w:eastAsia="Arial" w:hAnsi="Arial"/>
                <w:b/>
                <w:bCs/>
                <w:sz w:val="22"/>
                <w:szCs w:val="22"/>
              </w:rPr>
              <w:t xml:space="preserve">Stigmergie (Grassé, 1959)</w:t>
            </w:r>
          </w:p>
          <w:p>
            <w:pPr>
              <w:spacing w:after="120"/>
            </w:pPr>
            <w:r>
              <w:rPr>
                <w:rFonts w:ascii="Arial" w:cs="Arial" w:eastAsia="Arial" w:hAnsi="Arial"/>
                <w:sz w:val="20"/>
                <w:szCs w:val="20"/>
              </w:rPr>
              <w:t xml:space="preserve">Le Principe phéromonal est une instance de stigmergie : la coordination émerge des traces dans l'environnement, pas de la communication directe. baseline_cycles est la formalisation de cette trace.</w:t>
            </w:r>
          </w:p>
        </w:tc>
      </w:tr>
    </w:tbl>
    <w:p>
      <w:pPr>
        <w:spacing w:after="120"/>
      </w:pPr>
      <w:r>
        <w:t xml:space="preserve"/>
      </w:r>
    </w:p>
    <w:p>
      <w:pPr>
        <w:spacing w:before="480" w:after="200"/>
      </w:pPr>
      <w:r>
        <w:rPr>
          <w:rFonts w:ascii="Arial" w:cs="Arial" w:eastAsia="Arial" w:hAnsi="Arial"/>
          <w:b/>
          <w:bCs/>
          <w:color w:val="1F3864"/>
          <w:sz w:val="38"/>
          <w:szCs w:val="38"/>
        </w:rPr>
        <w:t xml:space="preserve">3. Spécification formelle D-SIG v0.5</w:t>
      </w:r>
    </w:p>
    <w:p>
      <w:pPr>
        <w:pBdr>
          <w:bottom w:val="single" w:color="2E75B6" w:sz="6" w:space="4"/>
        </w:pBdr>
        <w:spacing w:before="300" w:after="120"/>
      </w:pPr>
      <w:r>
        <w:rPr>
          <w:rFonts w:ascii="Arial" w:cs="Arial" w:eastAsia="Arial" w:hAnsi="Arial"/>
          <w:b/>
          <w:bCs/>
          <w:color w:val="2E75B6"/>
          <w:sz w:val="28"/>
          <w:szCs w:val="28"/>
        </w:rPr>
        <w:t xml:space="preserve">3.1  La Triple-Réduction — fondement sémiotique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800"/>
        <w:gridCol w:w="2200"/>
        <w:gridCol w:w="206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Composant</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Forme technique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Signe (Peirce)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Canal cognitif</w:t>
            </w:r>
          </w:p>
        </w:tc>
        <w:tc>
          <w:tcPr>
            <w:tcW w:type="dxa" w:w="2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Usage primaire</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bCs/>
                <w:sz w:val="20"/>
                <w:szCs w:val="20"/>
              </w:rPr>
              <w:t xml:space="preserve">LE NOMBRE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Entier 0–100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Indice (Index)</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Cortex analytique — traitement quantitatif, comparaison temporelle, stockage algorithmique</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Analyse rétrospective, tendance, consommation IA</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LE LABEL</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Mot unique — 4 états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Symbole (Symbol)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Compréhension sémantique — vocabulaire partagé à tous les niveaux d'expertise</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Communication inter-niveaux, rapport, décision managériale</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bCs/>
                <w:sz w:val="20"/>
                <w:szCs w:val="20"/>
              </w:rPr>
              <w:t xml:space="preserve">LA COULEUR</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Code couleur — 4 états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Icône (Icon)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Cerveau limbique — réflexe pré-analytique, priorité visuelle immédiate</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Tableau de bord, détection d'urgence sous stress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FCE4D6" w:val="clear"/>
            <w:tcMar>
              <w:top w:type="dxa" w:w="80"/>
              <w:left w:type="dxa" w:w="120"/>
              <w:bottom w:type="dxa" w:w="80"/>
              <w:right w:type="dxa" w:w="120"/>
            </w:tcMar>
            <w:vAlign w:val="center"/>
          </w:tcPr>
          <w:p>
            <w:pPr>
              <w:jc w:val="center"/>
            </w:pPr>
            <w:r>
              <w:rPr>
                <w:rFonts w:ascii="Arial" w:cs="Arial" w:eastAsia="Arial" w:hAnsi="Arial"/>
                <w:b/>
                <w:bCs/>
                <w:color w:val="7F4F24"/>
                <w:sz w:val="20"/>
                <w:szCs w:val="20"/>
              </w:rPr>
              <w:t xml:space="preserve">RÈGLE D'OR</w:t>
            </w:r>
          </w:p>
        </w:tc>
        <w:tc>
          <w:tcPr>
            <w:tcW w:type="dxa" w:w="7920"/>
            <w:tcBorders>
              <w:top w:val="single" w:color="2E75B6" w:sz="4"/>
              <w:left w:val="single" w:color="2E75B6" w:sz="4"/>
              <w:bottom w:val="single" w:color="2E75B6" w:sz="4"/>
              <w:right w:val="single" w:color="2E75B6" w:sz="4"/>
            </w:tcBorders>
            <w:shd w:fill="FCE4D6" w:val="clear"/>
            <w:tcMar>
              <w:top w:type="dxa" w:w="80"/>
              <w:left w:type="dxa" w:w="160"/>
              <w:bottom w:type="dxa" w:w="80"/>
              <w:right w:type="dxa" w:w="120"/>
            </w:tcMar>
          </w:tcPr>
          <w:p>
            <w:r>
              <w:rPr>
                <w:rFonts w:ascii="Arial" w:cs="Arial" w:eastAsia="Arial" w:hAnsi="Arial"/>
                <w:color w:val="7F4F24"/>
                <w:sz w:val="21"/>
                <w:szCs w:val="21"/>
              </w:rPr>
              <w:t xml:space="preserve">Le Nombre, le Label et la Couleur forment une unité atomique cohérente selon §3.3. Un signal avec label EXCELLENT et couleur RED est invalide et DOIT être rejeté par tout récepteur conforme.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3.2  Structure complète d'un signal D-SIG v0.5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480"/>
        <w:gridCol w:w="1320"/>
        <w:gridCol w:w="4800"/>
      </w:tblGrid>
      <w:tr>
        <w:tc>
          <w:tcPr>
            <w:tcW w:type="dxa" w:w="1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3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Statut</w:t>
            </w:r>
          </w:p>
        </w:tc>
        <w:tc>
          <w:tcPr>
            <w:tcW w:type="dxa" w:w="4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76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score</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integer [0–100]</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Vitalité normalisée. 100 = optimal, 0 = défaillance totale.</w:t>
            </w:r>
          </w:p>
        </w:tc>
      </w:tr>
      <w:tr>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label</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enum 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Sémantique humaine : EXCELLENT | GOOD | DEGRADED | CRITICAL. Dérivé du score uniquement — voir §3.3 et Règle 10.</w:t>
            </w:r>
          </w:p>
        </w:tc>
      </w:tr>
      <w:tr>
        <w:tc>
          <w:tcPr>
            <w:tcW w:type="dxa" w:w="176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color</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enum 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Code couleur : GREEN | YELLOW | ORANGE | RED. Cohérent avec le label.</w:t>
            </w:r>
          </w:p>
        </w:tc>
      </w:tr>
      <w:tr>
        <w:tc>
          <w:tcPr>
            <w:tcW w:type="dxa" w:w="176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trend</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enum 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Dérivée temporelle du score : STABLE | IMPROVING | DEGRADING | CRITICAL_FALL. Indépendant du label — voir Règle 10.</w:t>
            </w:r>
          </w:p>
        </w:tc>
      </w:tr>
      <w:tr>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timestamp</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ISO 8601</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Horodatage de production. Base de validation anti-replay et d'analyse temporelle.</w:t>
            </w:r>
          </w:p>
        </w:tc>
      </w:tr>
      <w:tr>
        <w:tc>
          <w:tcPr>
            <w:tcW w:type="dxa" w:w="176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ttl</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integer (s)</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Durée de validité. Max recommandé : 600s. Au-delà : état STALE.</w:t>
            </w:r>
          </w:p>
        </w:tc>
      </w:tr>
      <w:tr>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source_id</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Identifiant stable ancré sur une clé cryptographique persistante. NE DOIT PAS être une adresse réseau éphémère.</w:t>
            </w:r>
          </w:p>
        </w:tc>
      </w:tr>
      <w:tr>
        <w:tc>
          <w:tcPr>
            <w:tcW w:type="dxa" w:w="176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perspective</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enum 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OBLIGATOIRE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 de perspective : LOCAL | CENTRAL | EXTERNAL</w:t>
            </w:r>
          </w:p>
        </w:tc>
      </w:tr>
      <w:tr>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source_sig</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RECOMMANDÉ</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Signature Ed25519 du payload (base64). Obligatoire pour trust_level ≥ 1.</w:t>
            </w:r>
          </w:p>
        </w:tc>
      </w:tr>
      <w:tr>
        <w:tc>
          <w:tcPr>
            <w:tcW w:type="dxa" w:w="176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source_pub</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RECOMMANDÉ</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Empreinte de la clé publique du producteur.</w:t>
            </w:r>
          </w:p>
        </w:tc>
      </w:tr>
      <w:tr>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trust_level</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integer</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RECOMMANDÉ</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 (non signé) | 1 (Ed25519) | 2 (mTLS CA org) | 3 (CA D-SIG déléguée)</w:t>
            </w:r>
          </w:p>
        </w:tc>
      </w:tr>
      <w:tr>
        <w:tc>
          <w:tcPr>
            <w:tcW w:type="dxa" w:w="176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baseline_cycles</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integer</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RECOMMANDÉ</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Compteur de cycles de convergence consécutifs calculé par le récepteur. La valeur déclarée par le producteur est une INDICATION de synchronisation uniquement. Le récepteur DOIT calculer indépendamment. Un saut discontinu est traité selon la Règle 7.</w:t>
            </w:r>
          </w:p>
        </w:tc>
      </w:tr>
      <w:tr>
        <w:tc>
          <w:tcPr>
            <w:tcW w:type="dxa" w:w="176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dimensions</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object</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RECOMMANDÉ</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Scores intermédiaires par dimension. Chaque entrée DEVRAIT inclure score, timestamp et ttl pour le suivi individuel de fraîcheur.</w:t>
            </w:r>
          </w:p>
        </w:tc>
      </w:tr>
    </w:tbl>
    <w:p>
      <w:pPr>
        <w:spacing w:after="80"/>
      </w:pPr>
      <w:r>
        <w:t xml:space="preserve"/>
      </w:r>
    </w:p>
    <w:p>
      <w:pPr>
        <w:spacing w:after="120"/>
      </w:pPr>
      <w:r>
        <w:rPr>
          <w:rFonts w:ascii="Arial" w:cs="Arial" w:eastAsia="Arial" w:hAnsi="Arial"/>
          <w:i/>
          <w:iCs/>
          <w:color w:val="555555"/>
          <w:sz w:val="22"/>
          <w:szCs w:val="22"/>
        </w:rPr>
        <w:t xml:space="preserve">Sur baseline_cycles : la valeur déclarée par le producteur est une indication de synchronisation, pas une autorité. La valeur calculée indépendamment par le récepteur fait foi. Un producteur qui déclare baseline_cycles = 10000 à sa première émission DOIT être traité selon la Règle 7.</w:t>
      </w:r>
    </w:p>
    <w:p>
      <w:pPr>
        <w:spacing w:after="120"/>
      </w:pPr>
      <w:r>
        <w:t xml:space="preserve"/>
      </w:r>
    </w:p>
    <w:p>
      <w:pPr>
        <w:spacing w:after="120"/>
      </w:pPr>
      <w:r>
        <w:rPr>
          <w:rFonts w:ascii="Arial" w:cs="Arial" w:eastAsia="Arial" w:hAnsi="Arial"/>
          <w:sz w:val="22"/>
          <w:szCs w:val="22"/>
        </w:rPr>
        <w:t xml:space="preserve">Exemple JSON conforme D-SIG v0.5 :</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0"/>
            </w:pPr>
            <w:r>
              <w:rPr>
                <w:rFonts w:ascii="Courier New" w:cs="Courier New" w:eastAsia="Courier New" w:hAnsi="Courier New"/>
                <w:color w:val="A8E6CF"/>
                <w:sz w:val="18"/>
                <w:szCs w:val="18"/>
              </w:rPr>
              <w:t xml:space="preserve">{</w:t>
            </w:r>
          </w:p>
          <w:p>
            <w:pPr>
              <w:spacing w:after="0"/>
            </w:pPr>
            <w:r>
              <w:rPr>
                <w:rFonts w:ascii="Courier New" w:cs="Courier New" w:eastAsia="Courier New" w:hAnsi="Courier New"/>
                <w:color w:val="A8E6CF"/>
                <w:sz w:val="18"/>
                <w:szCs w:val="18"/>
              </w:rPr>
              <w:t xml:space="preserve">  "dsig_version": "0.5",</w:t>
            </w:r>
          </w:p>
          <w:p>
            <w:pPr>
              <w:spacing w:after="0"/>
            </w:pPr>
            <w:r>
              <w:rPr>
                <w:rFonts w:ascii="Courier New" w:cs="Courier New" w:eastAsia="Courier New" w:hAnsi="Courier New"/>
                <w:color w:val="A8E6CF"/>
                <w:sz w:val="18"/>
                <w:szCs w:val="18"/>
              </w:rPr>
              <w:t xml:space="preserve">  "score": 82,</w:t>
            </w:r>
          </w:p>
          <w:p>
            <w:pPr>
              <w:spacing w:after="0"/>
            </w:pPr>
            <w:r>
              <w:rPr>
                <w:rFonts w:ascii="Courier New" w:cs="Courier New" w:eastAsia="Courier New" w:hAnsi="Courier New"/>
                <w:color w:val="A8E6CF"/>
                <w:sz w:val="18"/>
                <w:szCs w:val="18"/>
              </w:rPr>
              <w:t xml:space="preserve">  "label": "GOOD",</w:t>
            </w:r>
          </w:p>
          <w:p>
            <w:pPr>
              <w:spacing w:after="0"/>
            </w:pPr>
            <w:r>
              <w:rPr>
                <w:rFonts w:ascii="Courier New" w:cs="Courier New" w:eastAsia="Courier New" w:hAnsi="Courier New"/>
                <w:color w:val="A8E6CF"/>
                <w:sz w:val="18"/>
                <w:szCs w:val="18"/>
              </w:rPr>
              <w:t xml:space="preserve">  "color": "YELLOW",</w:t>
            </w:r>
          </w:p>
          <w:p>
            <w:pPr>
              <w:spacing w:after="0"/>
            </w:pPr>
            <w:r>
              <w:rPr>
                <w:rFonts w:ascii="Courier New" w:cs="Courier New" w:eastAsia="Courier New" w:hAnsi="Courier New"/>
                <w:color w:val="A8E6CF"/>
                <w:sz w:val="18"/>
                <w:szCs w:val="18"/>
              </w:rPr>
              <w:t xml:space="preserve">  "trend": "STABLE",</w:t>
            </w:r>
          </w:p>
          <w:p>
            <w:pPr>
              <w:spacing w:after="0"/>
            </w:pPr>
            <w:r>
              <w:rPr>
                <w:rFonts w:ascii="Courier New" w:cs="Courier New" w:eastAsia="Courier New" w:hAnsi="Courier New"/>
                <w:color w:val="A8E6CF"/>
                <w:sz w:val="18"/>
                <w:szCs w:val="18"/>
              </w:rPr>
              <w:t xml:space="preserve">  "timestamp": "2026-03-09T14:32:00Z",</w:t>
            </w:r>
          </w:p>
          <w:p>
            <w:pPr>
              <w:spacing w:after="0"/>
            </w:pPr>
            <w:r>
              <w:rPr>
                <w:rFonts w:ascii="Courier New" w:cs="Courier New" w:eastAsia="Courier New" w:hAnsi="Courier New"/>
                <w:color w:val="A8E6CF"/>
                <w:sz w:val="18"/>
                <w:szCs w:val="18"/>
              </w:rPr>
              <w:t xml:space="preserve">  "ttl": 900,</w:t>
            </w:r>
          </w:p>
          <w:p>
            <w:pPr>
              <w:spacing w:after="0"/>
            </w:pPr>
            <w:r>
              <w:rPr>
                <w:rFonts w:ascii="Courier New" w:cs="Courier New" w:eastAsia="Courier New" w:hAnsi="Courier New"/>
                <w:color w:val="A8E6CF"/>
                <w:sz w:val="18"/>
                <w:szCs w:val="18"/>
              </w:rPr>
              <w:t xml:space="preserve">  "source_id": "fp:a3:7c:12:...:ed25519",</w:t>
            </w:r>
          </w:p>
          <w:p>
            <w:pPr>
              <w:spacing w:after="0"/>
            </w:pPr>
            <w:r>
              <w:rPr>
                <w:rFonts w:ascii="Courier New" w:cs="Courier New" w:eastAsia="Courier New" w:hAnsi="Courier New"/>
                <w:color w:val="A8E6CF"/>
                <w:sz w:val="18"/>
                <w:szCs w:val="18"/>
              </w:rPr>
              <w:t xml:space="preserve">  "source_sig": "base64(signature_Ed25519_du_payload)",</w:t>
            </w:r>
          </w:p>
          <w:p>
            <w:pPr>
              <w:spacing w:after="0"/>
            </w:pPr>
            <w:r>
              <w:rPr>
                <w:rFonts w:ascii="Courier New" w:cs="Courier New" w:eastAsia="Courier New" w:hAnsi="Courier New"/>
                <w:color w:val="A8E6CF"/>
                <w:sz w:val="18"/>
                <w:szCs w:val="18"/>
              </w:rPr>
              <w:t xml:space="preserve">  "source_pub": "base64(empreinte_cle_publique)",</w:t>
            </w:r>
          </w:p>
          <w:p>
            <w:pPr>
              <w:spacing w:after="0"/>
            </w:pPr>
            <w:r>
              <w:rPr>
                <w:rFonts w:ascii="Courier New" w:cs="Courier New" w:eastAsia="Courier New" w:hAnsi="Courier New"/>
                <w:color w:val="A8E6CF"/>
                <w:sz w:val="18"/>
                <w:szCs w:val="18"/>
              </w:rPr>
              <w:t xml:space="preserve">  "trust_level": 1,</w:t>
            </w:r>
          </w:p>
          <w:p>
            <w:pPr>
              <w:spacing w:after="0"/>
            </w:pPr>
            <w:r>
              <w:rPr>
                <w:rFonts w:ascii="Courier New" w:cs="Courier New" w:eastAsia="Courier New" w:hAnsi="Courier New"/>
                <w:color w:val="A8E6CF"/>
                <w:sz w:val="18"/>
                <w:szCs w:val="18"/>
              </w:rPr>
              <w:t xml:space="preserve">  "baseline_cycles": 10,</w:t>
            </w:r>
          </w:p>
          <w:p>
            <w:pPr>
              <w:spacing w:after="0"/>
            </w:pPr>
            <w:r>
              <w:rPr>
                <w:rFonts w:ascii="Courier New" w:cs="Courier New" w:eastAsia="Courier New" w:hAnsi="Courier New"/>
                <w:color w:val="A8E6CF"/>
                <w:sz w:val="18"/>
                <w:szCs w:val="18"/>
              </w:rPr>
              <w:t xml:space="preserve">  "perspective": "LOCAL",</w:t>
            </w:r>
          </w:p>
          <w:p>
            <w:pPr>
              <w:spacing w:after="0"/>
            </w:pPr>
            <w:r>
              <w:rPr>
                <w:rFonts w:ascii="Courier New" w:cs="Courier New" w:eastAsia="Courier New" w:hAnsi="Courier New"/>
                <w:color w:val="A8E6CF"/>
                <w:sz w:val="18"/>
                <w:szCs w:val="18"/>
              </w:rPr>
              <w:t xml:space="preserve">  "dimensions": {</w:t>
            </w:r>
          </w:p>
          <w:p>
            <w:pPr>
              <w:spacing w:after="0"/>
            </w:pPr>
            <w:r>
              <w:rPr>
                <w:rFonts w:ascii="Courier New" w:cs="Courier New" w:eastAsia="Courier New" w:hAnsi="Courier New"/>
                <w:color w:val="A8E6CF"/>
                <w:sz w:val="18"/>
                <w:szCs w:val="18"/>
              </w:rPr>
              <w:t xml:space="preserve">    "vital":      {"score": 1,  "ts": "2026-03-09T14:32:00Z", "ttl": 300},</w:t>
            </w:r>
          </w:p>
          <w:p>
            <w:pPr>
              <w:spacing w:after="0"/>
            </w:pPr>
            <w:r>
              <w:rPr>
                <w:rFonts w:ascii="Courier New" w:cs="Courier New" w:eastAsia="Courier New" w:hAnsi="Courier New"/>
                <w:color w:val="A8E6CF"/>
                <w:sz w:val="18"/>
                <w:szCs w:val="18"/>
              </w:rPr>
              <w:t xml:space="preserve">    "local":      {"score": 10, "ts": "2026-03-09T14:31:00Z", "ttl": 3600},</w:t>
            </w:r>
          </w:p>
          <w:p>
            <w:pPr>
              <w:spacing w:after="0"/>
            </w:pPr>
            <w:r>
              <w:rPr>
                <w:rFonts w:ascii="Courier New" w:cs="Courier New" w:eastAsia="Courier New" w:hAnsi="Courier New"/>
                <w:color w:val="A8E6CF"/>
                <w:sz w:val="18"/>
                <w:szCs w:val="18"/>
              </w:rPr>
              <w:t xml:space="preserve">    "internet":   {"score": 25, "ts": "2026-03-09T14:31:00Z", "ttl": 3600},</w:t>
            </w:r>
          </w:p>
          <w:p>
            <w:pPr>
              <w:spacing w:after="0"/>
            </w:pPr>
            <w:r>
              <w:rPr>
                <w:rFonts w:ascii="Courier New" w:cs="Courier New" w:eastAsia="Courier New" w:hAnsi="Courier New"/>
                <w:color w:val="A8E6CF"/>
                <w:sz w:val="18"/>
                <w:szCs w:val="18"/>
              </w:rPr>
              <w:t xml:space="preserve">    "dns":        {"score": 15, "ts": "2026-03-09T14:31:00Z", "ttl": 3600},</w:t>
            </w:r>
          </w:p>
          <w:p>
            <w:pPr>
              <w:spacing w:after="0"/>
            </w:pPr>
            <w:r>
              <w:rPr>
                <w:rFonts w:ascii="Courier New" w:cs="Courier New" w:eastAsia="Courier New" w:hAnsi="Courier New"/>
                <w:color w:val="A8E6CF"/>
                <w:sz w:val="18"/>
                <w:szCs w:val="18"/>
              </w:rPr>
              <w:t xml:space="preserve">    "throughput": {"score": 22, "ts": "2026-03-09T08:04:00Z", "ttl": 43200},</w:t>
            </w:r>
          </w:p>
          <w:p>
            <w:pPr>
              <w:spacing w:after="0"/>
            </w:pPr>
            <w:r>
              <w:rPr>
                <w:rFonts w:ascii="Courier New" w:cs="Courier New" w:eastAsia="Courier New" w:hAnsi="Courier New"/>
                <w:color w:val="A8E6CF"/>
                <w:sz w:val="18"/>
                <w:szCs w:val="18"/>
              </w:rPr>
              <w:t xml:space="preserve">    "hub":        {"score": 10, "ts": "2026-03-09T14:32:00Z", "ttl": 600}</w:t>
            </w:r>
          </w:p>
          <w:p>
            <w:pPr>
              <w:spacing w:after="0"/>
            </w:pPr>
            <w:r>
              <w:rPr>
                <w:rFonts w:ascii="Courier New" w:cs="Courier New" w:eastAsia="Courier New" w:hAnsi="Courier New"/>
                <w:color w:val="A8E6CF"/>
                <w:sz w:val="18"/>
                <w:szCs w:val="18"/>
              </w:rPr>
              <w:t xml:space="preserve">  }</w:t>
            </w:r>
          </w:p>
          <w:p>
            <w:pPr>
              <w:spacing w:after="0"/>
            </w:pPr>
            <w:r>
              <w:rPr>
                <w:rFonts w:ascii="Courier New" w:cs="Courier New" w:eastAsia="Courier New" w:hAnsi="Courier New"/>
                <w:color w:val="A8E6CF"/>
                <w:sz w:val="18"/>
                <w:szCs w:val="18"/>
              </w:rPr>
              <w:t xml:space="preserv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3.3  Table de correspondance Triple-Réduction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1500"/>
        <w:gridCol w:w="3960"/>
      </w:tblGrid>
      <w:t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Couleur</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Hex suggéré</w:t>
            </w:r>
          </w:p>
        </w:tc>
        <w:tc>
          <w:tcPr>
            <w:tcW w:type="dxa" w:w="3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Interprétation opérationnelle</w:t>
            </w:r>
          </w:p>
        </w:tc>
      </w:tr>
      <w:tr>
        <w:tc>
          <w:tcPr>
            <w:tcW w:type="dxa" w:w="15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85–100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GREEN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#2ECC71</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Aucune action. Le système remplit sa mission à pleine capacité.</w:t>
            </w:r>
          </w:p>
        </w:tc>
      </w:tr>
      <w:tr>
        <w:tc>
          <w:tcPr>
            <w:tcW w:type="dxa" w:w="1500"/>
            <w:tcBorders>
              <w:top w:val="single" w:color="CCCCCC" w:sz="1"/>
              <w:left w:val="single" w:color="CCCCCC" w:sz="1"/>
              <w:bottom w:val="single" w:color="CCCCCC" w:sz="1"/>
              <w:right w:val="single" w:color="CCCCCC" w:sz="1"/>
            </w:tcBorders>
            <w:shd w:fill="FDFDC9" w:val="clear"/>
            <w:tcMar>
              <w:top w:type="dxa" w:w="80"/>
              <w:left w:type="dxa" w:w="120"/>
              <w:bottom w:type="dxa" w:w="80"/>
              <w:right w:type="dxa" w:w="120"/>
            </w:tcMar>
          </w:tcPr>
          <w:p>
            <w:r>
              <w:rPr>
                <w:rFonts w:ascii="Arial" w:cs="Arial" w:eastAsia="Arial" w:hAnsi="Arial"/>
                <w:b w:val="false"/>
                <w:bCs w:val="false"/>
                <w:sz w:val="20"/>
                <w:szCs w:val="20"/>
              </w:rPr>
              <w:t xml:space="preserve">60–84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YELLOW</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#F4D03F</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Surveillance normale. Observer le trend. Aucune interruption requise.</w:t>
            </w:r>
          </w:p>
        </w:tc>
      </w:tr>
      <w:tr>
        <w:tc>
          <w:tcPr>
            <w:tcW w:type="dxa" w:w="1500"/>
            <w:tcBorders>
              <w:top w:val="single" w:color="CCCCCC" w:sz="1"/>
              <w:left w:val="single" w:color="CCCCCC" w:sz="1"/>
              <w:bottom w:val="single" w:color="CCCCCC" w:sz="1"/>
              <w:right w:val="single" w:color="CCCCCC" w:sz="1"/>
            </w:tcBorders>
            <w:shd w:fill="FAD7A0" w:val="clear"/>
            <w:tcMar>
              <w:top w:type="dxa" w:w="80"/>
              <w:left w:type="dxa" w:w="120"/>
              <w:bottom w:type="dxa" w:w="80"/>
              <w:right w:type="dxa" w:w="120"/>
            </w:tcMar>
          </w:tcPr>
          <w:p>
            <w:r>
              <w:rPr>
                <w:rFonts w:ascii="Arial" w:cs="Arial" w:eastAsia="Arial" w:hAnsi="Arial"/>
                <w:b w:val="false"/>
                <w:bCs w:val="false"/>
                <w:sz w:val="20"/>
                <w:szCs w:val="20"/>
              </w:rPr>
              <w:t xml:space="preserve">35–59</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DEGRADED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ORANGE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#E67E22</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Action recommandée. Inspecter le champ dimensions.</w:t>
            </w:r>
          </w:p>
        </w:tc>
      </w:tr>
      <w:tr>
        <w:tc>
          <w:tcPr>
            <w:tcW w:type="dxa" w:w="150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0–34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#E74C3C</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Action immédiate requise. Incident probable ou confirmé.</w:t>
            </w:r>
          </w:p>
        </w:tc>
      </w:tr>
    </w:tbl>
    <w:p>
      <w:pPr>
        <w:spacing w:after="60"/>
      </w:pPr>
      <w:r>
        <w:t xml:space="preserve"/>
      </w:r>
    </w:p>
    <w:p>
      <w:pPr>
        <w:spacing w:after="120"/>
      </w:pPr>
      <w:r>
        <w:rPr>
          <w:rFonts w:ascii="Arial" w:cs="Arial" w:eastAsia="Arial" w:hAnsi="Arial"/>
          <w:i/>
          <w:iCs/>
          <w:color w:val="555555"/>
          <w:sz w:val="22"/>
          <w:szCs w:val="22"/>
        </w:rPr>
        <w:t xml:space="preserve">Le label et la couleur sont toujours dérivés du score. Un score GOOD avec trend CRITICAL_FALL ne devient pas DEGRADED — il reste GOOD avec un signal d'urgence indépendant. Voir Règle 10.</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3.4  Formule de distillation et profil de référence</w:t>
      </w:r>
    </w:p>
    <w:p>
      <w:pPr>
        <w:spacing w:after="120"/>
      </w:pPr>
      <w:r>
        <w:rPr>
          <w:rFonts w:ascii="Arial" w:cs="Arial" w:eastAsia="Arial" w:hAnsi="Arial"/>
          <w:sz w:val="22"/>
          <w:szCs w:val="22"/>
        </w:rPr>
        <w:t xml:space="preserve">La formule de distillation est un cadre, pas une prescription universelle. Les implémentations DOIVENT documenter leur profil de pondération.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DCE6F1" w:val="clear"/>
            <w:tcMar>
              <w:top w:type="dxa" w:w="160"/>
              <w:left w:type="dxa" w:w="120"/>
              <w:bottom w:type="dxa" w:w="160"/>
              <w:right w:type="dxa" w:w="120"/>
            </w:tcMar>
          </w:tcPr>
          <w:p>
            <w:pPr>
              <w:jc w:val="center"/>
            </w:pPr>
            <w:r>
              <w:rPr>
                <w:rFonts w:ascii="Courier New" w:cs="Courier New" w:eastAsia="Courier New" w:hAnsi="Courier New"/>
                <w:b/>
                <w:bCs/>
                <w:color w:val="1F3864"/>
                <w:sz w:val="26"/>
                <w:szCs w:val="26"/>
              </w:rPr>
              <w:t xml:space="preserve">score  =  ( Σ  wᵢ × normalize(mᵢ) )  ×  Π  fail_fast_modifier(dⱼ)  ×  precondition_gate(pₖ)</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120"/>
              <w:jc w:val="center"/>
            </w:pPr>
            <w:r>
              <w:rPr>
                <w:rFonts w:ascii="Courier New" w:cs="Courier New" w:eastAsia="Courier New" w:hAnsi="Courier New"/>
                <w:b/>
                <w:bCs/>
                <w:color w:val="FFFFFF"/>
                <w:sz w:val="22"/>
                <w:szCs w:val="22"/>
              </w:rPr>
              <w:t xml:space="preserve">wᵢ</w:t>
            </w:r>
          </w:p>
        </w:tc>
        <w:tc>
          <w:tcPr>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pPr>
              <w:spacing w:after="120"/>
            </w:pPr>
            <w:r>
              <w:rPr>
                <w:rFonts w:ascii="Arial" w:cs="Arial" w:eastAsia="Arial" w:hAnsi="Arial"/>
                <w:sz w:val="20"/>
                <w:szCs w:val="20"/>
              </w:rPr>
              <w:t xml:space="preserve">Poids de chaque dimension. Somme = 1,0. Défini par le profil de déploiement.</w:t>
            </w:r>
          </w:p>
        </w:tc>
      </w:tr>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120"/>
              <w:jc w:val="center"/>
            </w:pPr>
            <w:r>
              <w:rPr>
                <w:rFonts w:ascii="Courier New" w:cs="Courier New" w:eastAsia="Courier New" w:hAnsi="Courier New"/>
                <w:b/>
                <w:bCs/>
                <w:color w:val="FFFFFF"/>
                <w:sz w:val="19"/>
                <w:szCs w:val="19"/>
              </w:rPr>
              <w:t xml:space="preserve">normalize(mᵢ)</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20"/>
            </w:pPr>
            <w:r>
              <w:rPr>
                <w:rFonts w:ascii="Arial" w:cs="Arial" w:eastAsia="Arial" w:hAnsi="Arial"/>
                <w:sz w:val="20"/>
                <w:szCs w:val="20"/>
              </w:rPr>
              <w:t xml:space="preserve">Normalisation de la métrique brute mᵢ vers [0, 1]. Spécifique à chaque dimension.</w:t>
            </w:r>
          </w:p>
        </w:tc>
      </w:tr>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120"/>
              <w:jc w:val="center"/>
            </w:pPr>
            <w:r>
              <w:rPr>
                <w:rFonts w:ascii="Courier New" w:cs="Courier New" w:eastAsia="Courier New" w:hAnsi="Courier New"/>
                <w:b/>
                <w:bCs/>
                <w:color w:val="FFFFFF"/>
                <w:sz w:val="17"/>
                <w:szCs w:val="17"/>
              </w:rPr>
              <w:t xml:space="preserve">fail_fast_modifier(dⱼ)</w:t>
            </w:r>
          </w:p>
        </w:tc>
        <w:tc>
          <w:tcPr>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pPr>
              <w:spacing w:after="120"/>
            </w:pPr>
            <w:r>
              <w:rPr>
                <w:rFonts w:ascii="Arial" w:cs="Arial" w:eastAsia="Arial" w:hAnsi="Arial"/>
                <w:sz w:val="20"/>
                <w:szCs w:val="20"/>
              </w:rPr>
              <w:t xml:space="preserve">Modificateur de criticité multiplicatif. Si la dimension vitale dⱼ = 0, le modificateur = 0 : le score s'effondre vers CRITICAL indépendamment des autres dimensions.</w:t>
            </w:r>
          </w:p>
        </w:tc>
      </w:tr>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120"/>
              <w:jc w:val="center"/>
            </w:pPr>
            <w:r>
              <w:rPr>
                <w:rFonts w:ascii="Courier New" w:cs="Courier New" w:eastAsia="Courier New" w:hAnsi="Courier New"/>
                <w:b/>
                <w:bCs/>
                <w:color w:val="FFFFFF"/>
                <w:sz w:val="17"/>
                <w:szCs w:val="17"/>
              </w:rPr>
              <w:t xml:space="preserve">precondition_gate(pₖ)</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20"/>
            </w:pPr>
            <w:r>
              <w:rPr>
                <w:rFonts w:ascii="Arial" w:cs="Arial" w:eastAsia="Arial" w:hAnsi="Arial"/>
                <w:b/>
                <w:bCs/>
                <w:sz w:val="20"/>
                <w:szCs w:val="20"/>
              </w:rPr>
              <w:t xml:space="preserve">Nouveau en v0.5. Si la précondition pₖ = 0, le score est borné à ≤ 20 (plafond CRITICAL). Les autres dimensions restent informatives mais ne peuvent pas dépasser ce plafond. Distinct du fail-fast : une précondition échouée plafonne le score, elle ne le réduit pas à zéro.</w:t>
            </w:r>
          </w:p>
        </w:tc>
      </w:tr>
    </w:tbl>
    <w:p>
      <w:pPr>
        <w:spacing w:after="80"/>
      </w:pPr>
      <w:r>
        <w:t xml:space="preserve"/>
      </w:r>
    </w:p>
    <w:p>
      <w:pPr>
        <w:spacing w:before="200" w:after="80"/>
      </w:pPr>
      <w:r>
        <w:rPr>
          <w:rFonts w:ascii="Arial" w:cs="Arial" w:eastAsia="Arial" w:hAnsi="Arial"/>
          <w:b/>
          <w:bCs/>
          <w:color w:val="7F4F24"/>
          <w:sz w:val="24"/>
          <w:szCs w:val="24"/>
        </w:rPr>
        <w:t xml:space="preserve">Profil de référence — IT-Node (implémentation NetPulse)</w:t>
      </w:r>
    </w:p>
    <w:p>
      <w:pPr>
        <w:spacing w:after="40"/>
      </w:pPr>
      <w:r>
        <w:t xml:space="preserve"/>
      </w:r>
    </w:p>
    <w:p>
      <w:pPr>
        <w:spacing w:after="120"/>
      </w:pPr>
      <w:r>
        <w:rPr>
          <w:rFonts w:ascii="Arial" w:cs="Arial" w:eastAsia="Arial" w:hAnsi="Arial"/>
          <w:sz w:val="22"/>
          <w:szCs w:val="22"/>
        </w:rPr>
        <w:t xml:space="preserve">Le profil suivant est l'implémentation de référence issue de NetPulse Node Signal v2.0. Ce n'est pas une valeur par défaut — c'est un exemple de profil correctement spécifié pour un nœud de monitoring réseau dans un déploiement campus multi-bâtiment.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400"/>
        <w:gridCol w:w="376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Poids</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Fréquence collecte</w:t>
            </w:r>
          </w:p>
        </w:tc>
        <w:tc>
          <w:tcPr>
            <w:tcW w:type="dxa" w:w="3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sz w:val="20"/>
                <w:szCs w:val="20"/>
              </w:rPr>
              <w:t xml:space="preserve">vital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PRÉCONDITION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precondition_gate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Chaque cycle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Services NetPulse actifs + adresse IP assignée. Si faux : score ≤ 20 quelle que soit la valeur des autres dimensions.</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local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pts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graduel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Toutes les 6h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Passerelle joignable par ping. Distingue la panne du nœud de la panne ISP.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internet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25 pts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binaire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Toutes les 6h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8.8.8.8 ET 1.1.1.1 joignables. Double cible = résilience contre une panne DNS unique.</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dns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 pts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binaire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Toutes les 6h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Résolution DNS via résolveur local ET direct. Distingue la panne Pi-hole de la panne DNS complète.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throughput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35 pts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graduel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Bi-quotidien 04h + 16h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iPerf3 vs baseline personnelle P50 sur 30j. Upload pondéré 60% (priorité remontée monitoring).</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hub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 pts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semi-binaire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Chaque cycle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Hub joignable + âge du scrape. Distingue la panne Hub de la panne réseau par corrélation avec la dimension internet.</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3.5  Règles de distillation et de robustesse</w:t>
      </w:r>
    </w:p>
    <w:p>
      <w:pPr>
        <w:spacing w:before="200" w:after="80"/>
      </w:pPr>
      <w:r>
        <w:rPr>
          <w:rFonts w:ascii="Arial" w:cs="Arial" w:eastAsia="Arial" w:hAnsi="Arial"/>
          <w:b/>
          <w:bCs/>
          <w:color w:val="1A6B5A"/>
          <w:sz w:val="24"/>
          <w:szCs w:val="24"/>
        </w:rPr>
        <w:t xml:space="preserve">Règles fondamentales (v0.1–v0.3)</w:t>
      </w:r>
    </w:p>
    <w:p>
      <w:pPr>
        <w:spacing w:after="40"/>
      </w:pPr>
      <w:r>
        <w:t xml:space="preserve"/>
      </w:r>
    </w:p>
    <w:p>
      <w:pPr>
        <w:spacing w:after="120"/>
      </w:pPr>
      <w:r>
        <w:rPr>
          <w:rFonts w:ascii="Arial" w:cs="Arial" w:eastAsia="Arial" w:hAnsi="Arial"/>
          <w:b/>
          <w:bCs/>
          <w:sz w:val="22"/>
          <w:szCs w:val="22"/>
        </w:rPr>
        <w:t xml:space="preserve">Règle 1 — Fail-Fast sur dimension vitale</w:t>
      </w:r>
    </w:p>
    <w:p>
      <w:pPr>
        <w:spacing w:after="120"/>
      </w:pPr>
      <w:r>
        <w:rPr>
          <w:rFonts w:ascii="Arial" w:cs="Arial" w:eastAsia="Arial" w:hAnsi="Arial"/>
          <w:sz w:val="22"/>
          <w:szCs w:val="22"/>
        </w:rPr>
        <w:t xml:space="preserve">Si une dimension critique atteint zéro, le score global s'effondre vers CRITICAL (≤ 20) quelle que soit la valeur des autres dimensions.</w:t>
      </w:r>
    </w:p>
    <w:p>
      <w:pPr>
        <w:spacing w:after="60"/>
      </w:pPr>
      <w:r>
        <w:t xml:space="preserve"/>
      </w:r>
    </w:p>
    <w:p>
      <w:pPr>
        <w:spacing w:after="120"/>
      </w:pPr>
      <w:r>
        <w:rPr>
          <w:rFonts w:ascii="Arial" w:cs="Arial" w:eastAsia="Arial" w:hAnsi="Arial"/>
          <w:b/>
          <w:bCs/>
          <w:sz w:val="22"/>
          <w:szCs w:val="22"/>
        </w:rPr>
        <w:t xml:space="preserve">Règle 2 — Lissage temporel du bruit</w:t>
      </w:r>
    </w:p>
    <w:p>
      <w:pPr>
        <w:spacing w:after="120"/>
      </w:pPr>
      <w:r>
        <w:rPr>
          <w:rFonts w:ascii="Arial" w:cs="Arial" w:eastAsia="Arial" w:hAnsi="Arial"/>
          <w:sz w:val="22"/>
          <w:szCs w:val="22"/>
        </w:rPr>
        <w:t xml:space="preserve">Les micro-variations (durée &lt; seuil_bruit, typiquement &lt; 120s) ne modifient pas le label. Seule une tendance durable ou une variation &gt; 15 points sur la fenêtre d'observation déclenche un changement de label. Le silence est l'état par défaut.</w:t>
      </w:r>
    </w:p>
    <w:p>
      <w:pPr>
        <w:spacing w:after="60"/>
      </w:pPr>
      <w:r>
        <w:t xml:space="preserve"/>
      </w:r>
    </w:p>
    <w:p>
      <w:pPr>
        <w:spacing w:after="120"/>
      </w:pPr>
      <w:r>
        <w:rPr>
          <w:rFonts w:ascii="Arial" w:cs="Arial" w:eastAsia="Arial" w:hAnsi="Arial"/>
          <w:b/>
          <w:bCs/>
          <w:sz w:val="22"/>
          <w:szCs w:val="22"/>
        </w:rPr>
        <w:t xml:space="preserve">Règle 3 — La divergence de perspectives est un signal diagnostique</w:t>
      </w:r>
    </w:p>
    <w:p>
      <w:pPr>
        <w:spacing w:after="120"/>
      </w:pPr>
      <w:r>
        <w:rPr>
          <w:rFonts w:ascii="Arial" w:cs="Arial" w:eastAsia="Arial" w:hAnsi="Arial"/>
          <w:sz w:val="22"/>
          <w:szCs w:val="22"/>
        </w:rPr>
        <w:t xml:space="preserve">Lorsque deux perspectives divergent de plus de 30 points, cette divergence est informationnelle et DOIT être exposée. Voir matrice de diagnostic §3.5.</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0"/>
        <w:gridCol w:w="1840"/>
        <w:gridCol w:w="1840"/>
        <w:gridCol w:w="3840"/>
      </w:tblGrid>
      <w:tr>
        <w:tc>
          <w:tcPr>
            <w:tcW w:type="dxa" w:w="18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NODE (Local)</w:t>
            </w:r>
          </w:p>
        </w:tc>
        <w:tc>
          <w:tcPr>
            <w:tcW w:type="dxa" w:w="18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ORACLE (Externe)</w:t>
            </w:r>
          </w:p>
        </w:tc>
        <w:tc>
          <w:tcPr>
            <w:tcW w:type="dxa" w:w="18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HUB (Historique)</w:t>
            </w:r>
          </w:p>
        </w:tc>
        <w:tc>
          <w:tcPr>
            <w:tcW w:type="dxa" w:w="38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Diagnostic immédiat</w:t>
            </w:r>
          </w:p>
        </w:tc>
      </w:tr>
      <w:tr>
        <w:tc>
          <w:tcPr>
            <w:tcW w:type="dxa" w:w="184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184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Panne interne au site. Internet fonctionne ailleurs. Agir sur l'infrastructure locale.</w:t>
            </w:r>
          </w:p>
        </w:tc>
      </w:tr>
      <w:tr>
        <w:tc>
          <w:tcPr>
            <w:tcW w:type="dxa" w:w="184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184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1840"/>
            <w:tcBorders>
              <w:top w:val="single" w:color="CCCCCC" w:sz="1"/>
              <w:left w:val="single" w:color="CCCCCC" w:sz="1"/>
              <w:bottom w:val="single" w:color="CCCCCC" w:sz="1"/>
              <w:right w:val="single" w:color="CCCCCC" w:sz="1"/>
            </w:tcBorders>
            <w:shd w:fill="FDFDC9" w:val="clear"/>
            <w:tcMar>
              <w:top w:type="dxa" w:w="80"/>
              <w:left w:type="dxa" w:w="120"/>
              <w:bottom w:type="dxa" w:w="80"/>
              <w:right w:type="dxa" w:w="120"/>
            </w:tcMar>
          </w:tcPr>
          <w:p>
            <w:r>
              <w:rPr>
                <w:rFonts w:ascii="Arial" w:cs="Arial" w:eastAsia="Arial" w:hAnsi="Arial"/>
                <w:b w:val="false"/>
                <w:bCs w:val="false"/>
                <w:sz w:val="20"/>
                <w:szCs w:val="20"/>
              </w:rPr>
              <w:t xml:space="preserve">DEGRADED</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Panne externe. ISP ou infrastructure régionale. Contacter le fournisseur.</w:t>
            </w:r>
          </w:p>
        </w:tc>
      </w:tr>
      <w:tr>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1840"/>
            <w:tcBorders>
              <w:top w:val="single" w:color="CCCCCC" w:sz="1"/>
              <w:left w:val="single" w:color="CCCCCC" w:sz="1"/>
              <w:bottom w:val="single" w:color="CCCCCC" w:sz="1"/>
              <w:right w:val="single" w:color="CCCCCC" w:sz="1"/>
            </w:tcBorders>
            <w:shd w:fill="FAD7A0" w:val="clear"/>
            <w:tcMar>
              <w:top w:type="dxa" w:w="80"/>
              <w:left w:type="dxa" w:w="120"/>
              <w:bottom w:type="dxa" w:w="80"/>
              <w:right w:type="dxa" w:w="120"/>
            </w:tcMar>
          </w:tcPr>
          <w:p>
            <w:r>
              <w:rPr>
                <w:rFonts w:ascii="Arial" w:cs="Arial" w:eastAsia="Arial" w:hAnsi="Arial"/>
                <w:b w:val="false"/>
                <w:bCs w:val="false"/>
                <w:sz w:val="20"/>
                <w:szCs w:val="20"/>
              </w:rPr>
              <w:t xml:space="preserve">DEGRADED</w:t>
            </w:r>
          </w:p>
        </w:tc>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Dégradation externe en cours. Le site résiste. Observer le trend.</w:t>
            </w:r>
          </w:p>
        </w:tc>
      </w:tr>
      <w:tr>
        <w:tc>
          <w:tcPr>
            <w:tcW w:type="dxa" w:w="1840"/>
            <w:tcBorders>
              <w:top w:val="single" w:color="CCCCCC" w:sz="1"/>
              <w:left w:val="single" w:color="CCCCCC" w:sz="1"/>
              <w:bottom w:val="single" w:color="CCCCCC" w:sz="1"/>
              <w:right w:val="single" w:color="CCCCCC" w:sz="1"/>
            </w:tcBorders>
            <w:shd w:fill="FAD7A0" w:val="clear"/>
            <w:tcMar>
              <w:top w:type="dxa" w:w="80"/>
              <w:left w:type="dxa" w:w="120"/>
              <w:bottom w:type="dxa" w:w="80"/>
              <w:right w:type="dxa" w:w="120"/>
            </w:tcMar>
          </w:tcPr>
          <w:p>
            <w:r>
              <w:rPr>
                <w:rFonts w:ascii="Arial" w:cs="Arial" w:eastAsia="Arial" w:hAnsi="Arial"/>
                <w:b w:val="false"/>
                <w:bCs w:val="false"/>
                <w:sz w:val="20"/>
                <w:szCs w:val="20"/>
              </w:rPr>
              <w:t xml:space="preserve">DEGRADED</w:t>
            </w:r>
          </w:p>
        </w:tc>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184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Régression vs historique. Vérifier les changements de configuration récents.</w:t>
            </w:r>
          </w:p>
        </w:tc>
      </w:tr>
      <w:tr>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184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EXCELLENT</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Convergence positive. Silence justifié. Aucune action.</w:t>
            </w:r>
          </w:p>
        </w:tc>
      </w:tr>
    </w:tbl>
    <w:p>
      <w:pPr>
        <w:spacing w:after="60"/>
      </w:pPr>
      <w:r>
        <w:t xml:space="preserve"/>
      </w:r>
    </w:p>
    <w:p>
      <w:pPr>
        <w:spacing w:after="120"/>
      </w:pPr>
      <w:r>
        <w:rPr>
          <w:rFonts w:ascii="Arial" w:cs="Arial" w:eastAsia="Arial" w:hAnsi="Arial"/>
          <w:b/>
          <w:bCs/>
          <w:sz w:val="22"/>
          <w:szCs w:val="22"/>
        </w:rPr>
        <w:t xml:space="preserve">Règle 4 — Autonomie de production</w:t>
      </w:r>
    </w:p>
    <w:p>
      <w:pPr>
        <w:spacing w:after="120"/>
      </w:pPr>
      <w:r>
        <w:rPr>
          <w:rFonts w:ascii="Arial" w:cs="Arial" w:eastAsia="Arial" w:hAnsi="Arial"/>
          <w:sz w:val="22"/>
          <w:szCs w:val="22"/>
        </w:rPr>
        <w:t xml:space="preserve">Un producteur D-SIG conforme DOIT émettre son signal même sans connectivité réseau. Le signal hors-ligne est valide et horodaté.</w:t>
      </w:r>
    </w:p>
    <w:p>
      <w:pPr>
        <w:spacing w:after="60"/>
      </w:pPr>
      <w:r>
        <w:t xml:space="preserve"/>
      </w:r>
    </w:p>
    <w:p>
      <w:pPr>
        <w:spacing w:after="120"/>
      </w:pPr>
      <w:r>
        <w:rPr>
          <w:rFonts w:ascii="Arial" w:cs="Arial" w:eastAsia="Arial" w:hAnsi="Arial"/>
          <w:b/>
          <w:bCs/>
          <w:sz w:val="22"/>
          <w:szCs w:val="22"/>
        </w:rPr>
        <w:t xml:space="preserve">Règle 5 — Immutabilité de la Triple-Réduction</w:t>
      </w:r>
    </w:p>
    <w:p>
      <w:pPr>
        <w:spacing w:after="120"/>
      </w:pPr>
      <w:r>
        <w:rPr>
          <w:rFonts w:ascii="Arial" w:cs="Arial" w:eastAsia="Arial" w:hAnsi="Arial"/>
          <w:sz w:val="22"/>
          <w:szCs w:val="22"/>
        </w:rPr>
        <w:t xml:space="preserve">Le score, le label et la couleur forment une unité atomique. Toute combinaison contradictoire invalide le signal. DOIT être rejeté par les récepteurs conformes.</w:t>
      </w:r>
    </w:p>
    <w:p>
      <w:pPr>
        <w:spacing w:after="120"/>
      </w:pPr>
      <w:r>
        <w:t xml:space="preserve"/>
      </w:r>
    </w:p>
    <w:p>
      <w:pPr>
        <w:spacing w:before="200" w:after="80"/>
      </w:pPr>
      <w:r>
        <w:rPr>
          <w:rFonts w:ascii="Arial" w:cs="Arial" w:eastAsia="Arial" w:hAnsi="Arial"/>
          <w:b/>
          <w:bCs/>
          <w:color w:val="4A235A"/>
          <w:sz w:val="24"/>
          <w:szCs w:val="24"/>
        </w:rPr>
        <w:t xml:space="preserve">Règles de robustesse (v0.3 — anti-spoofing, anti-replay)</w:t>
      </w:r>
    </w:p>
    <w:p>
      <w:pPr>
        <w:spacing w:after="40"/>
      </w:pPr>
      <w:r>
        <w:t xml:space="preserve"/>
      </w:r>
    </w:p>
    <w:p>
      <w:pPr>
        <w:spacing w:after="120"/>
      </w:pPr>
      <w:r>
        <w:rPr>
          <w:rFonts w:ascii="Arial" w:cs="Arial" w:eastAsia="Arial" w:hAnsi="Arial"/>
          <w:b/>
          <w:bCs/>
          <w:sz w:val="22"/>
          <w:szCs w:val="22"/>
        </w:rPr>
        <w:t xml:space="preserve">Règle 6 — Indépendance vérifiable des sources de convergence</w:t>
      </w:r>
    </w:p>
    <w:p>
      <w:pPr>
        <w:spacing w:after="120"/>
      </w:pPr>
      <w:r>
        <w:rPr>
          <w:rFonts w:ascii="Arial" w:cs="Arial" w:eastAsia="Arial" w:hAnsi="Arial"/>
          <w:sz w:val="22"/>
          <w:szCs w:val="22"/>
        </w:rPr>
        <w:t xml:space="preserve">Un agrégateur conforme NE DOIT PAS traiter une convergence comme une vérité renforcée si les sources partagent la même clé de signature, la même infrastructure réseau ou le même opérateur de déploiement. La force de la convergence est proportionnelle à l'indépendance vérifiable des sources. Tolérance byzantine : ⌊(N−1)/3⌋ perspectives corrompues tolérées.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DCE6F1" w:val="clear"/>
            <w:tcMar>
              <w:top w:type="dxa" w:w="80"/>
              <w:left w:type="dxa" w:w="120"/>
              <w:bottom w:type="dxa" w:w="80"/>
              <w:right w:type="dxa" w:w="120"/>
            </w:tcMar>
            <w:vAlign w:val="center"/>
          </w:tcPr>
          <w:p>
            <w:pPr>
              <w:jc w:val="center"/>
            </w:pPr>
            <w:r>
              <w:rPr>
                <w:rFonts w:ascii="Arial" w:cs="Arial" w:eastAsia="Arial" w:hAnsi="Arial"/>
                <w:b/>
                <w:bCs/>
                <w:color w:val="1F3864"/>
                <w:sz w:val="20"/>
                <w:szCs w:val="20"/>
              </w:rPr>
              <w:t xml:space="preserve">PRINCIPE PRUSIK</w:t>
            </w:r>
          </w:p>
        </w:tc>
        <w:tc>
          <w:tcPr>
            <w:tcW w:type="dxa" w:w="7920"/>
            <w:tcBorders>
              <w:top w:val="single" w:color="2E75B6" w:sz="4"/>
              <w:left w:val="single" w:color="2E75B6" w:sz="4"/>
              <w:bottom w:val="single" w:color="2E75B6" w:sz="4"/>
              <w:right w:val="single" w:color="2E75B6" w:sz="4"/>
            </w:tcBorders>
            <w:shd w:fill="DCE6F1" w:val="clear"/>
            <w:tcMar>
              <w:top w:type="dxa" w:w="80"/>
              <w:left w:type="dxa" w:w="160"/>
              <w:bottom w:type="dxa" w:w="80"/>
              <w:right w:type="dxa" w:w="120"/>
            </w:tcMar>
          </w:tcPr>
          <w:p>
            <w:r>
              <w:rPr>
                <w:rFonts w:ascii="Arial" w:cs="Arial" w:eastAsia="Arial" w:hAnsi="Arial"/>
                <w:color w:val="1F3864"/>
                <w:sz w:val="21"/>
                <w:szCs w:val="21"/>
              </w:rPr>
              <w:t xml:space="preserve">Chaque perspective légitime qui maintient son signal réel contre un signal falsifié augmente la visibilité de la divergence. L'attaque amplifie le signal d'alerte qu'elle cherche à masquer.</w:t>
            </w:r>
          </w:p>
        </w:tc>
      </w:tr>
    </w:tbl>
    <w:p>
      <w:pPr>
        <w:spacing w:after="60"/>
      </w:pPr>
      <w:r>
        <w:t xml:space="preserve"/>
      </w:r>
    </w:p>
    <w:p>
      <w:pPr>
        <w:spacing w:after="120"/>
      </w:pPr>
      <w:r>
        <w:rPr>
          <w:rFonts w:ascii="Arial" w:cs="Arial" w:eastAsia="Arial" w:hAnsi="Arial"/>
          <w:b/>
          <w:bCs/>
          <w:sz w:val="22"/>
          <w:szCs w:val="22"/>
        </w:rPr>
        <w:t xml:space="preserve">Règle 7 — Rejet du signal contradictoire</w:t>
      </w:r>
    </w:p>
    <w:p>
      <w:pPr>
        <w:spacing w:after="120"/>
      </w:pPr>
      <w:r>
        <w:rPr>
          <w:rFonts w:ascii="Arial" w:cs="Arial" w:eastAsia="Arial" w:hAnsi="Arial"/>
          <w:sz w:val="22"/>
          <w:szCs w:val="22"/>
        </w:rPr>
        <w:t xml:space="preserve">Si un agrégateur reçoit deux signaux avec le même source_id dans la même fenêtre TTL avec des scores contradictoires (divergence &gt; 30 points), il DOIT suspendre cette source et émettre une alerte CRITICAL. Un saut discontinu dans baseline_cycles est traité comme un signal contradictoire. La contradiction est un signal d'intégrité, pas une valeur à moyenner.</w:t>
      </w:r>
    </w:p>
    <w:p>
      <w:pPr>
        <w:spacing w:after="60"/>
      </w:pPr>
      <w:r>
        <w:t xml:space="preserve"/>
      </w:r>
    </w:p>
    <w:p>
      <w:pPr>
        <w:spacing w:after="120"/>
      </w:pPr>
      <w:r>
        <w:rPr>
          <w:rFonts w:ascii="Arial" w:cs="Arial" w:eastAsia="Arial" w:hAnsi="Arial"/>
          <w:b/>
          <w:bCs/>
          <w:sz w:val="22"/>
          <w:szCs w:val="22"/>
        </w:rPr>
        <w:t xml:space="preserve">Règle 8 — Signal STALE et rejet anti-replay</w:t>
      </w:r>
    </w:p>
    <w:p>
      <w:pPr>
        <w:spacing w:after="120"/>
      </w:pPr>
      <w:r>
        <w:rPr>
          <w:rFonts w:ascii="Arial" w:cs="Arial" w:eastAsia="Arial" w:hAnsi="Arial"/>
          <w:sz w:val="22"/>
          <w:szCs w:val="22"/>
        </w:rPr>
        <w:t xml:space="preserve">Un signal dont le timestamp dépasse now − ttl est STALE. DOIT être traité comme UNKNOWN avec trend CRITICAL_FALL. Tolérance de dérive d'horloge : ±30 secondes.</w:t>
      </w:r>
    </w:p>
    <w:p>
      <w:pPr>
        <w:spacing w:after="120"/>
      </w:pPr>
      <w:r>
        <w:t xml:space="preserve"/>
      </w:r>
    </w:p>
    <w:p>
      <w:pPr>
        <w:spacing w:before="200" w:after="80"/>
      </w:pPr>
      <w:r>
        <w:rPr>
          <w:rFonts w:ascii="Arial" w:cs="Arial" w:eastAsia="Arial" w:hAnsi="Arial"/>
          <w:b/>
          <w:bCs/>
          <w:color w:val="4A235A"/>
          <w:sz w:val="24"/>
          <w:szCs w:val="24"/>
        </w:rPr>
        <w:t xml:space="preserve">Règle de confiance cumulative (v0.4)</w:t>
      </w:r>
    </w:p>
    <w:p>
      <w:pPr>
        <w:spacing w:after="40"/>
      </w:pPr>
      <w:r>
        <w:t xml:space="preserve"/>
      </w:r>
    </w:p>
    <w:p>
      <w:pPr>
        <w:spacing w:after="120"/>
      </w:pPr>
      <w:r>
        <w:rPr>
          <w:rFonts w:ascii="Arial" w:cs="Arial" w:eastAsia="Arial" w:hAnsi="Arial"/>
          <w:b/>
          <w:bCs/>
          <w:sz w:val="22"/>
          <w:szCs w:val="22"/>
        </w:rPr>
        <w:t xml:space="preserve">Règle 9 — Historique de convergence calculé par le récepteur [révisée v0.5]</w:t>
      </w:r>
    </w:p>
    <w:p>
      <w:pPr>
        <w:spacing w:after="120"/>
      </w:pPr>
      <w:r>
        <w:rPr>
          <w:rFonts w:ascii="Arial" w:cs="Arial" w:eastAsia="Arial" w:hAnsi="Arial"/>
          <w:sz w:val="22"/>
          <w:szCs w:val="22"/>
        </w:rPr>
        <w:t xml:space="preserve">Un récepteur D-SIG v0.5 conforme DOIT calculer baseline_cycles indépendamment à partir de son propre historique d'observation. La valeur déclarée par le producteur est une indication de synchronisation uniquement. Un saut discontinu dans la valeur déclarée (ex. 10 → 10000 en un cycle) DOIT être traité selon la Règle 7.</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baseline_cycles</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Interprétation</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Poids épistémique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Analogie phéromonale</w:t>
            </w:r>
          </w:p>
        </w:tc>
      </w:tr>
      <w:tr>
        <w:tc>
          <w:tcPr>
            <w:tcW w:type="dxa" w:w="1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Première émission ou rupture récente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Neutre — pas d'historique accumulé</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Fourmi sur chemin inconnu</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Convergence récente, courte durée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Modéré — cohérence naissante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Chemin partiellement balisé</w:t>
            </w:r>
          </w:p>
        </w:tc>
      </w:tr>
      <w:tr>
        <w:tc>
          <w:tcPr>
            <w:tcW w:type="dxa" w:w="18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101–1000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Convergence établie (heures à jours)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Fort — baseline de confiance stable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Chemin renforcé</w:t>
            </w:r>
          </w:p>
        </w:tc>
      </w:tr>
      <w:tr>
        <w:tc>
          <w:tcPr>
            <w:tcW w:type="dxa" w:w="18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&gt; 1000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Convergence longue durée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Très fort — divergence soudaine = alerte d'intégrité</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Autoroute phéromonale</w:t>
            </w:r>
          </w:p>
        </w:tc>
      </w:tr>
      <w:tr>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sz w:val="20"/>
                <w:szCs w:val="20"/>
              </w:rPr>
              <w:t xml:space="preserve">RESET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Divergence récente détectée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Retour à 0 — la confiance accumulée s'évapore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Évaporation phéromonale</w:t>
            </w:r>
          </w:p>
        </w:tc>
      </w:tr>
    </w:tbl>
    <w:p>
      <w:pPr>
        <w:spacing w:after="120"/>
      </w:pPr>
      <w:r>
        <w:t xml:space="preserve"/>
      </w:r>
    </w:p>
    <w:p>
      <w:pPr>
        <w:spacing w:before="200" w:after="80"/>
      </w:pPr>
      <w:r>
        <w:rPr>
          <w:rFonts w:ascii="Arial" w:cs="Arial" w:eastAsia="Arial" w:hAnsi="Arial"/>
          <w:b/>
          <w:bCs/>
          <w:color w:val="7F4F24"/>
          <w:sz w:val="24"/>
          <w:szCs w:val="24"/>
        </w:rPr>
        <w:t xml:space="preserve">Nouvelles règles (v0.5)</w:t>
      </w:r>
    </w:p>
    <w:p>
      <w:pPr>
        <w:spacing w:after="40"/>
      </w:pPr>
      <w:r>
        <w:t xml:space="preserve"/>
      </w:r>
    </w:p>
    <w:p>
      <w:pPr>
        <w:spacing w:after="120"/>
      </w:pPr>
      <w:r>
        <w:rPr>
          <w:rFonts w:ascii="Arial" w:cs="Arial" w:eastAsia="Arial" w:hAnsi="Arial"/>
          <w:b/>
          <w:bCs/>
          <w:sz w:val="22"/>
          <w:szCs w:val="22"/>
        </w:rPr>
        <w:t xml:space="preserve">Règle 10 — Indépendance label/tendance [nouvelle v0.5]</w:t>
      </w:r>
    </w:p>
    <w:p>
      <w:pPr>
        <w:spacing w:after="120"/>
      </w:pPr>
      <w:r>
        <w:rPr>
          <w:rFonts w:ascii="Arial" w:cs="Arial" w:eastAsia="Arial" w:hAnsi="Arial"/>
          <w:sz w:val="22"/>
          <w:szCs w:val="22"/>
        </w:rPr>
        <w:t xml:space="preserve">Le label est une fonction déterministe du score uniquement, selon §3.3. La tendance est une fonction déterministe de la dérivée temporelle du score. Les deux champs sont indépendants et NE DOIVENT PAS se substituer l'un à l'autre.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Trend</w:t>
            </w:r>
          </w:p>
        </w:tc>
        <w:tc>
          <w:tcPr>
            <w:tcW w:type="dxa" w:w="3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Interprétation correcte</w:t>
            </w:r>
          </w:p>
        </w:tc>
      </w:tr>
      <w:tr>
        <w:tc>
          <w:tcPr>
            <w:tcW w:type="dxa" w:w="1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84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CRITICAL_FALL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Système actuellement bon mais se dégradant rapidement. Intervenir maintenant — ne pas attendre le changement de label.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DEGRADED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IMPROVING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Système dégradé mais en récupération. Surveiller — ne pas escalader.</w:t>
            </w:r>
          </w:p>
        </w:tc>
      </w:tr>
      <w:tr>
        <w:tc>
          <w:tcPr>
            <w:tcW w:type="dxa" w:w="18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62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Système bon et stable. Surveillance normale.</w:t>
            </w:r>
          </w:p>
        </w:tc>
      </w:tr>
      <w:tr>
        <w:tc>
          <w:tcPr>
            <w:tcW w:type="dxa" w:w="180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IMPROVING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Système critique mais en récupération. Action immédiate toujours requise.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FCE4D6" w:val="clear"/>
            <w:tcMar>
              <w:top w:type="dxa" w:w="80"/>
              <w:left w:type="dxa" w:w="120"/>
              <w:bottom w:type="dxa" w:w="80"/>
              <w:right w:type="dxa" w:w="120"/>
            </w:tcMar>
            <w:vAlign w:val="center"/>
          </w:tcPr>
          <w:p>
            <w:pPr>
              <w:jc w:val="center"/>
            </w:pPr>
            <w:r>
              <w:rPr>
                <w:rFonts w:ascii="Arial" w:cs="Arial" w:eastAsia="Arial" w:hAnsi="Arial"/>
                <w:b/>
                <w:bCs/>
                <w:color w:val="7F4F24"/>
                <w:sz w:val="20"/>
                <w:szCs w:val="20"/>
              </w:rPr>
              <w:t xml:space="preserve">RÉSUMÉ RÈGLE 10</w:t>
            </w:r>
          </w:p>
        </w:tc>
        <w:tc>
          <w:tcPr>
            <w:tcW w:type="dxa" w:w="7920"/>
            <w:tcBorders>
              <w:top w:val="single" w:color="2E75B6" w:sz="4"/>
              <w:left w:val="single" w:color="2E75B6" w:sz="4"/>
              <w:bottom w:val="single" w:color="2E75B6" w:sz="4"/>
              <w:right w:val="single" w:color="2E75B6" w:sz="4"/>
            </w:tcBorders>
            <w:shd w:fill="FCE4D6" w:val="clear"/>
            <w:tcMar>
              <w:top w:type="dxa" w:w="80"/>
              <w:left w:type="dxa" w:w="160"/>
              <w:bottom w:type="dxa" w:w="80"/>
              <w:right w:type="dxa" w:w="120"/>
            </w:tcMar>
          </w:tcPr>
          <w:p>
            <w:r>
              <w:rPr>
                <w:rFonts w:ascii="Arial" w:cs="Arial" w:eastAsia="Arial" w:hAnsi="Arial"/>
                <w:color w:val="7F4F24"/>
                <w:sz w:val="21"/>
                <w:szCs w:val="21"/>
              </w:rPr>
              <w:t xml:space="preserve">label = f(score). trend = f(d(score)/dt). Ils sont orthogonaux. Un label GOOD avec trend CRITICAL_FALL ne devient pas DEGRADED — il reste GOOD avec un signal d'urgence indépendant. C'est le même principe que RSI (état courant) et MACD (momentum directionnel) en trading : deux signaux, aucun ne prime sur l'autre.</w:t>
            </w:r>
          </w:p>
        </w:tc>
      </w:tr>
    </w:tbl>
    <w:p>
      <w:pPr>
        <w:spacing w:after="120"/>
      </w:pPr>
      <w:r>
        <w:t xml:space="preserve"/>
      </w:r>
    </w:p>
    <w:p>
      <w:pPr>
        <w:spacing w:after="120"/>
      </w:pPr>
      <w:r>
        <w:rPr>
          <w:rFonts w:ascii="Arial" w:cs="Arial" w:eastAsia="Arial" w:hAnsi="Arial"/>
          <w:b/>
          <w:bCs/>
          <w:sz w:val="22"/>
          <w:szCs w:val="22"/>
        </w:rPr>
        <w:t xml:space="preserve">Règle 11 — Dimension précondition [nouvelle v0.5]</w:t>
      </w:r>
    </w:p>
    <w:p>
      <w:pPr>
        <w:spacing w:after="120"/>
      </w:pPr>
      <w:r>
        <w:rPr>
          <w:rFonts w:ascii="Arial" w:cs="Arial" w:eastAsia="Arial" w:hAnsi="Arial"/>
          <w:sz w:val="22"/>
          <w:szCs w:val="22"/>
        </w:rPr>
        <w:t xml:space="preserve">Une dimension précondition est distincte d'une dimension fail-fast. Une précondition échouée (valeur = 0) ne réduit pas le score à zéro — elle le plafonne à ≤ 20 (CRITICAL). Les autres dimensions continuent de contribuer de l'information dans ce plafond, permettant au récepteur de comprendre la nature de l'état critique.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CE6F1" w:val="clear"/>
            <w:tcMar>
              <w:top w:type="dxa" w:w="120"/>
              <w:left w:type="dxa" w:w="160"/>
              <w:bottom w:type="dxa" w:w="120"/>
              <w:right w:type="dxa" w:w="120"/>
            </w:tcMar>
          </w:tcPr>
          <w:p>
            <w:pPr>
              <w:spacing w:after="120"/>
            </w:pPr>
            <w:r>
              <w:rPr>
                <w:rFonts w:ascii="Arial" w:cs="Arial" w:eastAsia="Arial" w:hAnsi="Arial"/>
                <w:b/>
                <w:bCs/>
                <w:sz w:val="22"/>
                <w:szCs w:val="22"/>
              </w:rPr>
              <w:t xml:space="preserve">Dimension fail-fast (Règle 1)</w:t>
            </w:r>
          </w:p>
          <w:p>
            <w:pPr>
              <w:spacing w:after="120"/>
            </w:pPr>
            <w:r>
              <w:rPr>
                <w:rFonts w:ascii="Arial" w:cs="Arial" w:eastAsia="Arial" w:hAnsi="Arial"/>
                <w:sz w:val="20"/>
                <w:szCs w:val="20"/>
              </w:rPr>
              <w:t xml:space="preserve">Un sous-système critique est tombé. Le score s'effondre à quasi-zéro. Les autres dimensions sont non pertinentes car le système ne peut pas fonctionner de toute façon.</w:t>
            </w:r>
          </w:p>
          <w:p>
            <w:pPr>
              <w:spacing w:after="80"/>
            </w:pPr>
            <w:r>
              <w:t xml:space="preserve"/>
            </w:r>
          </w:p>
          <w:p>
            <w:pPr>
              <w:spacing w:after="120"/>
            </w:pPr>
            <w:r>
              <w:rPr>
                <w:rFonts w:ascii="Arial" w:cs="Arial" w:eastAsia="Arial" w:hAnsi="Arial"/>
                <w:i/>
                <w:iCs/>
                <w:sz w:val="20"/>
                <w:szCs w:val="20"/>
              </w:rPr>
              <w:t xml:space="preserve">Exemple : interface réseau down → packet_loss = 100% → score s'effondre.</w:t>
            </w:r>
          </w:p>
        </w:tc>
        <w:tc>
          <w:tcPr>
            <w:tcW w:type="dxa" w:w="4680"/>
            <w:tcBorders>
              <w:top w:val="single" w:color="CCCCCC" w:sz="1"/>
              <w:left w:val="single" w:color="CCCCCC" w:sz="1"/>
              <w:bottom w:val="single" w:color="CCCCCC" w:sz="1"/>
              <w:right w:val="single" w:color="CCCCCC" w:sz="1"/>
            </w:tcBorders>
            <w:shd w:fill="F2F2F2" w:val="clear"/>
            <w:tcMar>
              <w:top w:type="dxa" w:w="120"/>
              <w:left w:type="dxa" w:w="160"/>
              <w:bottom w:type="dxa" w:w="120"/>
              <w:right w:type="dxa" w:w="120"/>
            </w:tcMar>
          </w:tcPr>
          <w:p>
            <w:pPr>
              <w:spacing w:after="120"/>
            </w:pPr>
            <w:r>
              <w:rPr>
                <w:rFonts w:ascii="Arial" w:cs="Arial" w:eastAsia="Arial" w:hAnsi="Arial"/>
                <w:b/>
                <w:bCs/>
                <w:sz w:val="22"/>
                <w:szCs w:val="22"/>
              </w:rPr>
              <w:t xml:space="preserve">Dimension précondition (Règle 11)</w:t>
            </w:r>
          </w:p>
          <w:p>
            <w:pPr>
              <w:spacing w:after="120"/>
            </w:pPr>
            <w:r>
              <w:rPr>
                <w:rFonts w:ascii="Arial" w:cs="Arial" w:eastAsia="Arial" w:hAnsi="Arial"/>
                <w:sz w:val="20"/>
                <w:szCs w:val="20"/>
              </w:rPr>
              <w:t xml:space="preserve">La stack de monitoring elle-même ne tourne pas. Les autres dimensions reflètent encore partiellement la réalité. Le score est plafonné à CRITICAL mais non nul — l'information partielle est préservée.</w:t>
            </w:r>
          </w:p>
          <w:p>
            <w:pPr>
              <w:spacing w:after="80"/>
            </w:pPr>
            <w:r>
              <w:t xml:space="preserve"/>
            </w:r>
          </w:p>
          <w:p>
            <w:pPr>
              <w:spacing w:after="120"/>
            </w:pPr>
            <w:r>
              <w:rPr>
                <w:rFonts w:ascii="Arial" w:cs="Arial" w:eastAsia="Arial" w:hAnsi="Arial"/>
                <w:i/>
                <w:iCs/>
                <w:sz w:val="20"/>
                <w:szCs w:val="20"/>
              </w:rPr>
              <w:t xml:space="preserve">Exemple : service netpulse-agent arrêté, mais la passerelle répond toujours → score = min(20, contribution_passerelle).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3.6  Fraîcheur individuelle des dimensions [nouvelle v0.5]</w:t>
      </w:r>
    </w:p>
    <w:p>
      <w:pPr>
        <w:spacing w:after="120"/>
      </w:pPr>
      <w:r>
        <w:rPr>
          <w:rFonts w:ascii="Arial" w:cs="Arial" w:eastAsia="Arial" w:hAnsi="Arial"/>
          <w:sz w:val="22"/>
          <w:szCs w:val="22"/>
        </w:rPr>
        <w:t xml:space="preserve">Les différentes dimensions ont des fréquences de collecte différentes. Une mesure de débit collectée deux fois par jour a un TTL de 12h+ ; une mesure ping a un TTL de quelques minutes. Le champ dimensions DEVRAIT inclure des timestamps et TTL par dimension pour permettre aux récepteurs d'évaluer la fraîcheur de chaque composant indépendamment.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596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de dimension</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Fréquence typique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TTL suggéré</w:t>
            </w:r>
          </w:p>
        </w:tc>
        <w:tc>
          <w:tcPr>
            <w:tcW w:type="dxa" w:w="5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Comportement en cas de STALE</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Précondition (vital)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Chaque cycle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TTL du signal</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Vital STALE → traiter comme précondition échouée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Connectivité (local, internet, dns)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Toutes les 6h (ou à la demande)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3600–21600s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STALE → utiliser dernières valeurs connues + flag DIMENSION_STALE</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Débit (iPerf)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Bi-quotidien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43200s (12h)</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STALE → contribution neutre + flag CALIBRATING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Connectivité Hub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Chaque cycle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TTL du signal</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STALE → traiter comme Hub injoignable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3.7  Modèle de confiance du producteur (D-SIG-PROD)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Principe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Nom</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Définition</w:t>
            </w:r>
          </w:p>
        </w:tc>
      </w:tr>
      <w:tr>
        <w:tc>
          <w:tcPr>
            <w:tcW w:type="dxa" w:w="14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D-SIG-PROD-01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Identité stable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 producteur D-SIG DOIT être identifiable par une clé cryptographique persistante (source_id), indépendante de son adresse réseau.</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D-SIG-PROD-02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Sémantique de l'absence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L'absence de signal d'un producteur est une information valide. DOIT être traitée comme un état potentiellement informatif (silence justifié), pas une erreur d'infrastructure.</w:t>
            </w:r>
          </w:p>
        </w:tc>
      </w:tr>
      <w:tr>
        <w:tc>
          <w:tcPr>
            <w:tcW w:type="dxa" w:w="14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D-SIG-PROD-03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Co-habitation assumée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 transport de signal partage le même réseau que les phénomènes observés par défaut. Toute déviation vers un transport privilégié DOIT être documentée et son impact assumé.</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D-SIG-PROD-04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Authenticité distincte du canal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L'authentification du canal (SSH, TLS) ne garantit pas que les métriques proviennent du point d'observation déclaré. L'authenticité du contenu (source_sig) est un mécanisme distinct.</w:t>
            </w:r>
          </w:p>
        </w:tc>
      </w:tr>
      <w:tr>
        <w:tc>
          <w:tcPr>
            <w:tcW w:type="dxa" w:w="1400"/>
            <w:tcBorders>
              <w:top w:val="single" w:color="CCCCCC" w:sz="1"/>
              <w:left w:val="single" w:color="CCCCCC" w:sz="1"/>
              <w:bottom w:val="single" w:color="CCCCCC" w:sz="1"/>
              <w:right w:val="single" w:color="CCCCCC" w:sz="1"/>
            </w:tcBorders>
            <w:shd w:fill="FFC7CE" w:val="clear"/>
            <w:tcMar>
              <w:top w:type="dxa" w:w="80"/>
              <w:left w:type="dxa" w:w="120"/>
              <w:bottom w:type="dxa" w:w="80"/>
              <w:right w:type="dxa" w:w="120"/>
            </w:tcMar>
          </w:tcPr>
          <w:p>
            <w:r>
              <w:rPr>
                <w:rFonts w:ascii="Arial" w:cs="Arial" w:eastAsia="Arial" w:hAnsi="Arial"/>
                <w:b w:val="false"/>
                <w:bCs w:val="false"/>
                <w:sz w:val="20"/>
                <w:szCs w:val="20"/>
              </w:rPr>
              <w:t xml:space="preserve">D-SIG-PROD-05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Ancre unique — invariant systémique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 robustesse byzantine de l'ensemble du réseau D-SIG est bornée par la sécurité du mécanisme d'enrôlement des producteurs. Cet invariant est explicitement délégué à l'implémentation.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FFC7CE" w:val="clear"/>
            <w:tcMar>
              <w:top w:type="dxa" w:w="80"/>
              <w:left w:type="dxa" w:w="120"/>
              <w:bottom w:type="dxa" w:w="80"/>
              <w:right w:type="dxa" w:w="120"/>
            </w:tcMar>
            <w:vAlign w:val="center"/>
          </w:tcPr>
          <w:p>
            <w:pPr>
              <w:jc w:val="center"/>
            </w:pPr>
            <w:r>
              <w:rPr>
                <w:rFonts w:ascii="Arial" w:cs="Arial" w:eastAsia="Arial" w:hAnsi="Arial"/>
                <w:b/>
                <w:bCs/>
                <w:color w:val="9C0006"/>
                <w:sz w:val="20"/>
                <w:szCs w:val="20"/>
              </w:rPr>
              <w:t xml:space="preserve">L'ANCRE UNIQUE</w:t>
            </w:r>
          </w:p>
        </w:tc>
        <w:tc>
          <w:tcPr>
            <w:tcW w:type="dxa" w:w="7920"/>
            <w:tcBorders>
              <w:top w:val="single" w:color="2E75B6" w:sz="4"/>
              <w:left w:val="single" w:color="2E75B6" w:sz="4"/>
              <w:bottom w:val="single" w:color="2E75B6" w:sz="4"/>
              <w:right w:val="single" w:color="2E75B6" w:sz="4"/>
            </w:tcBorders>
            <w:shd w:fill="FFC7CE" w:val="clear"/>
            <w:tcMar>
              <w:top w:type="dxa" w:w="80"/>
              <w:left w:type="dxa" w:w="160"/>
              <w:bottom w:type="dxa" w:w="80"/>
              <w:right w:type="dxa" w:w="120"/>
            </w:tcMar>
          </w:tcPr>
          <w:p>
            <w:r>
              <w:rPr>
                <w:rFonts w:ascii="Arial" w:cs="Arial" w:eastAsia="Arial" w:hAnsi="Arial"/>
                <w:color w:val="9C0006"/>
                <w:sz w:val="21"/>
                <w:szCs w:val="21"/>
              </w:rPr>
              <w:t xml:space="preserve">La robustesse de D-SIG est exactement aussi forte que la protection de son mécanisme d'enrôlement. Le Prusik peut serrer dans le mauvais sens. Les phéromones peuvent s'accumuler sur de faux chemins. C'est documenté, pas caché.</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3.8  Exigences du récepteur conforme</w:t>
      </w:r>
    </w:p>
    <w:p>
      <w:pPr>
        <w:pStyle w:val="ListParagraph"/>
        <w:numPr>
          <w:ilvl w:val="0"/>
          <w:numId w:val="3"/>
        </w:numPr>
        <w:spacing w:after="80"/>
      </w:pPr>
      <w:r>
        <w:rPr>
          <w:rFonts w:ascii="Arial" w:cs="Arial" w:eastAsia="Arial" w:hAnsi="Arial"/>
          <w:sz w:val="22"/>
          <w:szCs w:val="22"/>
        </w:rPr>
        <w:t xml:space="preserve">Vérifier la cohérence Triple-Réduction selon §3.3. DOIT rejeter les signaux incohérents.</w:t>
      </w:r>
    </w:p>
    <w:p>
      <w:pPr>
        <w:pStyle w:val="ListParagraph"/>
        <w:numPr>
          <w:ilvl w:val="0"/>
          <w:numId w:val="3"/>
        </w:numPr>
        <w:spacing w:after="80"/>
      </w:pPr>
      <w:r>
        <w:rPr>
          <w:rFonts w:ascii="Arial" w:cs="Arial" w:eastAsia="Arial" w:hAnsi="Arial"/>
          <w:sz w:val="22"/>
          <w:szCs w:val="22"/>
        </w:rPr>
        <w:t xml:space="preserve">Vérifier timestamp + ttl &gt; now. DOIT rejeter ou marquer STALE les signaux périmés. Tolérance de dérive : ±30s.</w:t>
      </w:r>
    </w:p>
    <w:p>
      <w:pPr>
        <w:pStyle w:val="ListParagraph"/>
        <w:numPr>
          <w:ilvl w:val="0"/>
          <w:numId w:val="3"/>
        </w:numPr>
        <w:spacing w:after="80"/>
      </w:pPr>
      <w:r>
        <w:rPr>
          <w:rFonts w:ascii="Arial" w:cs="Arial" w:eastAsia="Arial" w:hAnsi="Arial"/>
          <w:sz w:val="22"/>
          <w:szCs w:val="22"/>
        </w:rPr>
        <w:t xml:space="preserve">Si source_sig présent et trust_level ≥ 1 : vérifier la signature Ed25519. DOIT rejeter les signatures invalides.</w:t>
      </w:r>
    </w:p>
    <w:p>
      <w:pPr>
        <w:pStyle w:val="ListParagraph"/>
        <w:numPr>
          <w:ilvl w:val="0"/>
          <w:numId w:val="3"/>
        </w:numPr>
        <w:spacing w:after="80"/>
      </w:pPr>
      <w:r>
        <w:rPr>
          <w:rFonts w:ascii="Arial" w:cs="Arial" w:eastAsia="Arial" w:hAnsi="Arial"/>
          <w:sz w:val="22"/>
          <w:szCs w:val="22"/>
        </w:rPr>
        <w:t xml:space="preserve">Appliquer Règle 6 : NE DOIT PAS traiter une convergence comme renforcée si les sources ne sont pas indépendantes.</w:t>
      </w:r>
    </w:p>
    <w:p>
      <w:pPr>
        <w:pStyle w:val="ListParagraph"/>
        <w:numPr>
          <w:ilvl w:val="0"/>
          <w:numId w:val="3"/>
        </w:numPr>
        <w:spacing w:after="80"/>
      </w:pPr>
      <w:r>
        <w:rPr>
          <w:rFonts w:ascii="Arial" w:cs="Arial" w:eastAsia="Arial" w:hAnsi="Arial"/>
          <w:sz w:val="22"/>
          <w:szCs w:val="22"/>
        </w:rPr>
        <w:t xml:space="preserve">Appliquer Règle 7 : DOIT suspendre les sources émettant des signaux contradictoires. DOIT détecter les sauts discontinus de baseline_cycles.</w:t>
      </w:r>
    </w:p>
    <w:p>
      <w:pPr>
        <w:pStyle w:val="ListParagraph"/>
        <w:numPr>
          <w:ilvl w:val="0"/>
          <w:numId w:val="3"/>
        </w:numPr>
        <w:spacing w:after="80"/>
      </w:pPr>
      <w:r>
        <w:rPr>
          <w:rFonts w:ascii="Arial" w:cs="Arial" w:eastAsia="Arial" w:hAnsi="Arial"/>
          <w:sz w:val="22"/>
          <w:szCs w:val="22"/>
        </w:rPr>
        <w:t xml:space="preserve">Appliquer Règle 8 : DOIT traiter les signaux STALE comme UNKNOWN / trend CRITICAL_FALL.</w:t>
      </w:r>
    </w:p>
    <w:p>
      <w:pPr>
        <w:pStyle w:val="ListParagraph"/>
        <w:numPr>
          <w:ilvl w:val="0"/>
          <w:numId w:val="3"/>
        </w:numPr>
        <w:spacing w:after="80"/>
      </w:pPr>
      <w:r>
        <w:rPr>
          <w:rFonts w:ascii="Arial" w:cs="Arial" w:eastAsia="Arial" w:hAnsi="Arial"/>
          <w:sz w:val="22"/>
          <w:szCs w:val="22"/>
        </w:rPr>
        <w:t xml:space="preserve">Appliquer Règle 9 : DOIT calculer baseline_cycles indépendamment. DEVRAIT pondérer le poids épistémique en conséquence.</w:t>
      </w:r>
    </w:p>
    <w:p>
      <w:pPr>
        <w:pStyle w:val="ListParagraph"/>
        <w:numPr>
          <w:ilvl w:val="0"/>
          <w:numId w:val="3"/>
        </w:numPr>
        <w:spacing w:after="80"/>
      </w:pPr>
      <w:r>
        <w:rPr>
          <w:rFonts w:ascii="Arial" w:cs="Arial" w:eastAsia="Arial" w:hAnsi="Arial"/>
          <w:sz w:val="22"/>
          <w:szCs w:val="22"/>
        </w:rPr>
        <w:t xml:space="preserve">Appliquer Règle 10 : DOIT interpréter label et trend comme des signaux indépendants. NE DOIT PAS utiliser le trend pour modifier le label.</w:t>
      </w:r>
    </w:p>
    <w:p>
      <w:pPr>
        <w:pStyle w:val="ListParagraph"/>
        <w:numPr>
          <w:ilvl w:val="0"/>
          <w:numId w:val="3"/>
        </w:numPr>
        <w:spacing w:after="80"/>
      </w:pPr>
      <w:r>
        <w:rPr>
          <w:rFonts w:ascii="Arial" w:cs="Arial" w:eastAsia="Arial" w:hAnsi="Arial"/>
          <w:sz w:val="22"/>
          <w:szCs w:val="22"/>
        </w:rPr>
        <w:t xml:space="preserve">Appliquer Règle 11 : DOIT traiter l'échec d'une précondition comme un plafonnement du score à ≤ 20, pas comme un score zéro.</w:t>
      </w:r>
    </w:p>
    <w:p>
      <w:pPr>
        <w:pStyle w:val="ListParagraph"/>
        <w:numPr>
          <w:ilvl w:val="0"/>
          <w:numId w:val="3"/>
        </w:numPr>
        <w:spacing w:after="80"/>
      </w:pPr>
      <w:r>
        <w:rPr>
          <w:rFonts w:ascii="Arial" w:cs="Arial" w:eastAsia="Arial" w:hAnsi="Arial"/>
          <w:sz w:val="22"/>
          <w:szCs w:val="22"/>
        </w:rPr>
        <w:t xml:space="preserve">DEVRAIT exposer la fraîcheur par dimension lorsque les dimensions incluent timestamps et TTL.</w:t>
      </w:r>
    </w:p>
    <w:p>
      <w:pPr>
        <w:spacing w:after="120"/>
      </w:pPr>
      <w:r>
        <w:t xml:space="preserve"/>
      </w:r>
    </w:p>
    <w:p>
      <w:pPr>
        <w:spacing w:before="480" w:after="200"/>
      </w:pPr>
      <w:r>
        <w:rPr>
          <w:rFonts w:ascii="Arial" w:cs="Arial" w:eastAsia="Arial" w:hAnsi="Arial"/>
          <w:b/>
          <w:bCs/>
          <w:color w:val="1F3864"/>
          <w:sz w:val="38"/>
          <w:szCs w:val="38"/>
        </w:rPr>
        <w:t xml:space="preserve">4. Valeur ajoutée</w:t>
      </w:r>
    </w:p>
    <w:p>
      <w:pPr>
        <w:pBdr>
          <w:bottom w:val="single" w:color="2E75B6" w:sz="6" w:space="4"/>
        </w:pBdr>
        <w:spacing w:before="300" w:after="120"/>
      </w:pPr>
      <w:r>
        <w:rPr>
          <w:rFonts w:ascii="Arial" w:cs="Arial" w:eastAsia="Arial" w:hAnsi="Arial"/>
          <w:b/>
          <w:bCs/>
          <w:color w:val="2E75B6"/>
          <w:sz w:val="28"/>
          <w:szCs w:val="28"/>
        </w:rPr>
        <w:t xml:space="preserve">4.1  Un cadre pour voir autrement</w:t>
      </w:r>
    </w:p>
    <w:p>
      <w:pPr>
        <w:spacing w:after="120"/>
      </w:pPr>
      <w:r>
        <w:rPr>
          <w:rFonts w:ascii="Arial" w:cs="Arial" w:eastAsia="Arial" w:hAnsi="Arial"/>
          <w:sz w:val="22"/>
          <w:szCs w:val="22"/>
        </w:rPr>
        <w:t xml:space="preserve">La valeur primaire de D-SIG n'est pas computationnelle — elle est perceptuelle. Il propose une façon de voir l'état opérationnel qui est simultanément lisible par un technicien terrain (couleur, décision en 3 secondes), un manager (label, sans vocabulaire technique), et un agent IA (nombre + tendance + dimensions, entrée structurée pour le raisonnement autonome).</w:t>
      </w:r>
    </w:p>
    <w:p>
      <w:pPr>
        <w:spacing w:after="80"/>
      </w:pPr>
      <w:r>
        <w:t xml:space="preserve"/>
      </w:r>
    </w:p>
    <w:p>
      <w:pPr>
        <w:spacing w:after="120"/>
      </w:pPr>
      <w:r>
        <w:rPr>
          <w:rFonts w:ascii="Arial" w:cs="Arial" w:eastAsia="Arial" w:hAnsi="Arial"/>
          <w:sz w:val="22"/>
          <w:szCs w:val="22"/>
        </w:rPr>
        <w:t xml:space="preserve">Cette lisibilité multi-registre n'est pas obtenue par simplification — elle est obtenue par l'architecture Triple-Réduction, qui préserve toute l'information à différents niveaux d'abstraction simultanément. Aucune information n'est perdue entre les dimensions brutes et le label distillé ; elle est seulement exprimée différemment.</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4.2  Scénario illustratif — Dégradation en cascade</w:t>
      </w:r>
    </w:p>
    <w:p>
      <w:pPr>
        <w:spacing w:after="120"/>
      </w:pPr>
      <w:r>
        <w:rPr>
          <w:rFonts w:ascii="Arial" w:cs="Arial" w:eastAsia="Arial" w:hAnsi="Arial"/>
          <w:sz w:val="22"/>
          <w:szCs w:val="22"/>
        </w:rPr>
        <w:t xml:space="preserve">Considérons un déploiement de monitoring réseau avec deux nœuds (perspective LOCAL), un hub (CENTRAL) et un oracle (EXTERNAL). À 14h32, les signaux suivants sont reçus :</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200"/>
        <w:gridCol w:w="1200"/>
        <w:gridCol w:w="376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Producteur</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Trend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baseline_cycles</w:t>
            </w:r>
          </w:p>
        </w:tc>
        <w:tc>
          <w:tcPr>
            <w:tcW w:type="dxa" w:w="3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Diagnostic</w:t>
            </w:r>
          </w:p>
        </w:tc>
      </w:tr>
      <w:tr>
        <w:tc>
          <w:tcPr>
            <w:tcW w:type="dxa" w:w="1600"/>
            <w:tcBorders>
              <w:top w:val="single" w:color="CCCCCC" w:sz="1"/>
              <w:left w:val="single" w:color="CCCCCC" w:sz="1"/>
              <w:bottom w:val="single" w:color="CCCCCC" w:sz="1"/>
              <w:right w:val="single" w:color="CCCCCC" w:sz="1"/>
            </w:tcBorders>
            <w:shd w:fill="FDFDC9" w:val="clear"/>
            <w:tcMar>
              <w:top w:type="dxa" w:w="80"/>
              <w:left w:type="dxa" w:w="120"/>
              <w:bottom w:type="dxa" w:w="80"/>
              <w:right w:type="dxa" w:w="120"/>
            </w:tcMar>
          </w:tcPr>
          <w:p>
            <w:r>
              <w:rPr>
                <w:rFonts w:ascii="Arial" w:cs="Arial" w:eastAsia="Arial" w:hAnsi="Arial"/>
                <w:b w:val="false"/>
                <w:bCs w:val="false"/>
                <w:sz w:val="20"/>
                <w:szCs w:val="20"/>
              </w:rPr>
              <w:t xml:space="preserve">Nœud M-20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DEGRADING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 dégrade depuis une baseline établie — investigation locale recommandée</w:t>
            </w:r>
          </w:p>
        </w:tc>
      </w:tr>
      <w:tr>
        <w:tc>
          <w:tcPr>
            <w:tcW w:type="dxa" w:w="1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b w:val="false"/>
                <w:bCs w:val="false"/>
                <w:sz w:val="20"/>
                <w:szCs w:val="20"/>
              </w:rPr>
              <w:t xml:space="preserve">Nœud M-24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890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Stable — pas la source</w:t>
            </w:r>
          </w:p>
        </w:tc>
      </w:tr>
      <w:tr>
        <w:tc>
          <w:tcPr>
            <w:tcW w:type="dxa" w:w="1600"/>
            <w:tcBorders>
              <w:top w:val="single" w:color="CCCCCC" w:sz="1"/>
              <w:left w:val="single" w:color="CCCCCC" w:sz="1"/>
              <w:bottom w:val="single" w:color="CCCCCC" w:sz="1"/>
              <w:right w:val="single" w:color="CCCCCC" w:sz="1"/>
            </w:tcBorders>
            <w:shd w:fill="FDFDC9" w:val="clear"/>
            <w:tcMar>
              <w:top w:type="dxa" w:w="80"/>
              <w:left w:type="dxa" w:w="120"/>
              <w:bottom w:type="dxa" w:w="80"/>
              <w:right w:type="dxa" w:w="120"/>
            </w:tcMar>
          </w:tcPr>
          <w:p>
            <w:r>
              <w:rPr>
                <w:rFonts w:ascii="Arial" w:cs="Arial" w:eastAsia="Arial" w:hAnsi="Arial"/>
                <w:b w:val="false"/>
                <w:bCs w:val="false"/>
                <w:sz w:val="20"/>
                <w:szCs w:val="20"/>
              </w:rPr>
              <w:t xml:space="preserve">Oracle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GOOD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DEGRADING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2400</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Dégradation externe confirmée — ISP ou amont</w:t>
            </w:r>
          </w:p>
        </w:tc>
      </w:tr>
      <w:tr>
        <w:tc>
          <w:tcPr>
            <w:tcW w:type="dxa" w:w="16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Hub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AGRÉGÉ</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M-20 se dégrade, Oracle se dégrade → cause externe probable. M-24 stable confirme l'absence de panne généralisée du site.</w:t>
            </w:r>
          </w:p>
        </w:tc>
      </w:tr>
    </w:tbl>
    <w:p>
      <w:pPr>
        <w:spacing w:after="60"/>
      </w:pPr>
      <w:r>
        <w:t xml:space="preserve"/>
      </w:r>
    </w:p>
    <w:p>
      <w:pPr>
        <w:spacing w:after="120"/>
      </w:pPr>
      <w:r>
        <w:rPr>
          <w:rFonts w:ascii="Arial" w:cs="Arial" w:eastAsia="Arial" w:hAnsi="Arial"/>
          <w:sz w:val="22"/>
          <w:szCs w:val="22"/>
        </w:rPr>
        <w:t xml:space="preserve">La lecture composite du hub : M-20 et Oracle se dégradent simultanément (signal phéromonal — deux sources avec un long historique rompent en même temps). M-24 stable (signal Prusik — une perspective qui tient élimine l'hypothèse d'une panne généralisée). Action recommandée : contacter l'ISP, pas d'intervention terrain.</w:t>
      </w:r>
    </w:p>
    <w:p>
      <w:pPr>
        <w:spacing w:after="80"/>
      </w:pPr>
      <w:r>
        <w:t xml:space="preserve"/>
      </w:r>
    </w:p>
    <w:p>
      <w:pPr>
        <w:spacing w:after="120"/>
      </w:pPr>
      <w:r>
        <w:rPr>
          <w:rFonts w:ascii="Arial" w:cs="Arial" w:eastAsia="Arial" w:hAnsi="Arial"/>
          <w:sz w:val="22"/>
          <w:szCs w:val="22"/>
        </w:rPr>
        <w:t xml:space="preserve">Ce diagnostic émerge du cadre en moins de 30 secondes, sans aucune connaissance de la topologie réseau sous-jacente.</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4.3  La confiance cumulative comme actif opérationnel</w:t>
      </w:r>
    </w:p>
    <w:p>
      <w:pPr>
        <w:spacing w:after="120"/>
      </w:pPr>
      <w:r>
        <w:rPr>
          <w:rFonts w:ascii="Arial" w:cs="Arial" w:eastAsia="Arial" w:hAnsi="Arial"/>
          <w:sz w:val="22"/>
          <w:szCs w:val="22"/>
        </w:rPr>
        <w:t xml:space="preserve">Le champ baseline_cycles formalise une propriété que les équipes opérationnelles connaissent intuitivement mais n'avaient pas de façon structurée d'exprimer : un système stable depuis 72 heures qui rompt à 14h32 est d'une classe d'événement différente d'un système instable depuis 3 cycles.</w:t>
      </w:r>
    </w:p>
    <w:p>
      <w:pPr>
        <w:spacing w:after="80"/>
      </w:pPr>
      <w:r>
        <w:t xml:space="preserve"/>
      </w:r>
    </w:p>
    <w:p>
      <w:pPr>
        <w:spacing w:after="120"/>
      </w:pPr>
      <w:r>
        <w:rPr>
          <w:rFonts w:ascii="Arial" w:cs="Arial" w:eastAsia="Arial" w:hAnsi="Arial"/>
          <w:sz w:val="22"/>
          <w:szCs w:val="22"/>
        </w:rPr>
        <w:t xml:space="preserve">La combinaison score + trend + baseline_cycles donne à tout consommateur du signal — humain ou IA — trois lectures orthogonales du même événement : état courant, direction du changement, et poids historique de la rupture.</w:t>
      </w:r>
    </w:p>
    <w:p>
      <w:pPr>
        <w:spacing w:after="120"/>
      </w:pPr>
      <w:r>
        <w:t xml:space="preserve"/>
      </w:r>
    </w:p>
    <w:p>
      <w:pPr>
        <w:spacing w:before="480" w:after="200"/>
      </w:pPr>
      <w:r>
        <w:rPr>
          <w:rFonts w:ascii="Arial" w:cs="Arial" w:eastAsia="Arial" w:hAnsi="Arial"/>
          <w:b/>
          <w:bCs/>
          <w:color w:val="1F3864"/>
          <w:sz w:val="38"/>
          <w:szCs w:val="38"/>
        </w:rPr>
        <w:t xml:space="preserve">5. Positionnement dans l'écosystème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2680"/>
        <w:gridCol w:w="2880"/>
      </w:tblGrid>
      <w:tr>
        <w:tc>
          <w:tcPr>
            <w:tcW w:type="dxa" w:w="2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Ce qu'elle produit</w:t>
            </w:r>
          </w:p>
        </w:tc>
        <w:tc>
          <w:tcPr>
            <w:tcW w:type="dxa" w:w="2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Relation à D-SIG</w:t>
            </w:r>
          </w:p>
        </w:tc>
        <w:tc>
          <w:tcPr>
            <w:tcW w:type="dxa" w:w="28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Valeur conservée</w:t>
            </w:r>
          </w:p>
        </w:tc>
      </w:tr>
      <w:tr>
        <w:tc>
          <w:tcPr>
            <w:tcW w:type="dxa" w:w="21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Datadog / New Relic</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Métriques + Logs + Traces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Fournisseur de données brutes → input D-SIG</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Profondeur forensique post-incident</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Prometheus / Grafana</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Métriques time-series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Transport D-SIG natif + stockage baseline_cycles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Persistance + visualisation</w:t>
            </w:r>
          </w:p>
        </w:tc>
      </w:tr>
      <w:tr>
        <w:tc>
          <w:tcPr>
            <w:tcW w:type="dxa" w:w="21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SolarWinds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Statut équipements (UP/DOWN)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Fournisseur binaire → une dimension D-SIG</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Inventaire réseau</w:t>
            </w:r>
          </w:p>
        </w:tc>
      </w:tr>
      <w:tr>
        <w:tc>
          <w:tcPr>
            <w:tcW w:type="dxa" w:w="21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NetPulse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Signal distillé multi-perspective</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Implémentation de référence D-SIG (profil IT-Node)</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Distillation + résilience + KeyMaster</w:t>
            </w:r>
          </w:p>
        </w:tc>
      </w:tr>
    </w:tbl>
    <w:p>
      <w:pPr>
        <w:spacing w:after="120"/>
      </w:pPr>
      <w:r>
        <w:t xml:space="preserve"/>
      </w:r>
    </w:p>
    <w:p>
      <w:pPr>
        <w:spacing w:before="480" w:after="200"/>
      </w:pPr>
      <w:r>
        <w:rPr>
          <w:rFonts w:ascii="Arial" w:cs="Arial" w:eastAsia="Arial" w:hAnsi="Arial"/>
          <w:b/>
          <w:bCs/>
          <w:color w:val="1F3864"/>
          <w:sz w:val="38"/>
          <w:szCs w:val="38"/>
        </w:rPr>
        <w:t xml:space="preserve">6. Analyse critique et limites</w:t>
      </w:r>
    </w:p>
    <w:p>
      <w:pPr>
        <w:spacing w:after="120"/>
      </w:pPr>
      <w:r>
        <w:rPr>
          <w:rFonts w:ascii="Arial" w:cs="Arial" w:eastAsia="Arial" w:hAnsi="Arial"/>
          <w:i/>
          <w:iCs/>
          <w:color w:val="555555"/>
          <w:sz w:val="22"/>
          <w:szCs w:val="22"/>
        </w:rPr>
        <w:t xml:space="preserve">Un cadre intellectuellement honnête documente ses propres limites avec la même rigueur que ses propriétés.</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6.1  Le risque de sur-distillation</w:t>
      </w:r>
    </w:p>
    <w:p>
      <w:pPr>
        <w:spacing w:after="120"/>
      </w:pPr>
      <w:r>
        <w:rPr>
          <w:rFonts w:ascii="Arial" w:cs="Arial" w:eastAsia="Arial" w:hAnsi="Arial"/>
          <w:sz w:val="22"/>
          <w:szCs w:val="22"/>
        </w:rPr>
        <w:t xml:space="preserve">Réduire un système complexe à un score de 0 à 100 comporte un risque réel : un profil de pondération mal calibré peut noyer une défaillance critique mais subtile dans la masse des dimensions saines. Un D-SIG mal calibré est plus dangereux qu'un monitoring bruyant — il crée une fausse confiance tout en paraissant rigoureux.</w:t>
      </w:r>
    </w:p>
    <w:p>
      <w:pPr>
        <w:spacing w:after="80"/>
      </w:pPr>
      <w:r>
        <w:t xml:space="preserve"/>
      </w:r>
    </w:p>
    <w:p>
      <w:pPr>
        <w:spacing w:after="120"/>
      </w:pPr>
      <w:r>
        <w:rPr>
          <w:rFonts w:ascii="Arial" w:cs="Arial" w:eastAsia="Arial" w:hAnsi="Arial"/>
          <w:sz w:val="22"/>
          <w:szCs w:val="22"/>
        </w:rPr>
        <w:t xml:space="preserve">Mitigations intégrées au cadre : la Règle 1 (fail-fast) et la Règle 11 (précondition) protègent les conditions structurelles critiques. Le champ dimensions permet l'inspection de premier niveau. La tendance expose la dynamique même quand le score absolu paraît acceptable.</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6.2  L'effet observateur</w:t>
      </w:r>
    </w:p>
    <w:p>
      <w:pPr>
        <w:spacing w:after="120"/>
      </w:pPr>
      <w:r>
        <w:rPr>
          <w:rFonts w:ascii="Arial" w:cs="Arial" w:eastAsia="Arial" w:hAnsi="Arial"/>
          <w:sz w:val="22"/>
          <w:szCs w:val="22"/>
        </w:rPr>
        <w:t xml:space="preserve">D-SIG ne résout pas le problème de l'observateur — il le minimise. Un nœud consomme du CPU, génère du trafic réseau, et peut lui-même introduire les latences qu'il mesure. La co-habitation des plans de contrôle et d'observation (D-SIG-PROD-03) est un choix de conception délibéré qui préserve la fidélité de la perspective utilisateur au prix d'une perturbation minimale (~200 octets de JSON vs mégaoctets de streams bruts).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DCE6F1" w:val="clear"/>
            <w:tcMar>
              <w:top w:type="dxa" w:w="80"/>
              <w:left w:type="dxa" w:w="120"/>
              <w:bottom w:type="dxa" w:w="80"/>
              <w:right w:type="dxa" w:w="120"/>
            </w:tcMar>
            <w:vAlign w:val="center"/>
          </w:tcPr>
          <w:p>
            <w:pPr>
              <w:jc w:val="center"/>
            </w:pPr>
            <w:r>
              <w:rPr>
                <w:rFonts w:ascii="Arial" w:cs="Arial" w:eastAsia="Arial" w:hAnsi="Arial"/>
                <w:b/>
                <w:bCs/>
                <w:color w:val="1F3864"/>
                <w:sz w:val="20"/>
                <w:szCs w:val="20"/>
              </w:rPr>
              <w:t xml:space="preserve">LIMITE FONDAMENTALE</w:t>
            </w:r>
          </w:p>
        </w:tc>
        <w:tc>
          <w:tcPr>
            <w:tcW w:type="dxa" w:w="7920"/>
            <w:tcBorders>
              <w:top w:val="single" w:color="2E75B6" w:sz="4"/>
              <w:left w:val="single" w:color="2E75B6" w:sz="4"/>
              <w:bottom w:val="single" w:color="2E75B6" w:sz="4"/>
              <w:right w:val="single" w:color="2E75B6" w:sz="4"/>
            </w:tcBorders>
            <w:shd w:fill="DCE6F1" w:val="clear"/>
            <w:tcMar>
              <w:top w:type="dxa" w:w="80"/>
              <w:left w:type="dxa" w:w="160"/>
              <w:bottom w:type="dxa" w:w="80"/>
              <w:right w:type="dxa" w:w="120"/>
            </w:tcMar>
          </w:tcPr>
          <w:p>
            <w:r>
              <w:rPr>
                <w:rFonts w:ascii="Arial" w:cs="Arial" w:eastAsia="Arial" w:hAnsi="Arial"/>
                <w:color w:val="1F3864"/>
                <w:sz w:val="21"/>
                <w:szCs w:val="21"/>
              </w:rPr>
              <w:t xml:space="preserve">D-SIG est un cadre de réduction de l'incertitude, pas d'élimination de l'incertitude. Il produit une vérité opérationnelle suffisante pour agir — pas une vérité absolue.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6.3  Le problème de l'oracle — la faille structurelle au point de contact physique</w:t>
      </w:r>
    </w:p>
    <w:p>
      <w:pPr>
        <w:spacing w:after="120"/>
      </w:pPr>
      <w:r>
        <w:rPr>
          <w:rFonts w:ascii="Arial" w:cs="Arial" w:eastAsia="Arial" w:hAnsi="Arial"/>
          <w:sz w:val="22"/>
          <w:szCs w:val="22"/>
        </w:rPr>
        <w:t xml:space="preserve">La limite la plus profonde de D-SIG : un producteur peut signer un signal valide dont les données n'ont jamais été mesurées. La chaîne cryptographique est impeccable de l'intérieur. Mais D-SIG postule que ses producteurs mesurent quelque chose. Il n'a aucun mécanisme pour prouver qu'un score a été calculé depuis des observations réelles plutôt qu'écrit dans un fichier.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Système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Problème de l'oracle</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Résolution</w:t>
            </w:r>
          </w:p>
        </w:tc>
      </w:tr>
      <w:tr>
        <w:tc>
          <w:tcPr>
            <w:tcW w:type="dxa" w:w="2400"/>
            <w:tcBorders>
              <w:top w:val="single" w:color="CCCCCC" w:sz="1"/>
              <w:left w:val="single" w:color="CCCCCC" w:sz="1"/>
              <w:bottom w:val="single" w:color="CCCCCC" w:sz="1"/>
              <w:right w:val="single" w:color="CCCCCC" w:sz="1"/>
            </w:tcBorders>
            <w:shd w:fill="DCE6F1" w:val="clear"/>
            <w:tcMar>
              <w:top w:type="dxa" w:w="80"/>
              <w:left w:type="dxa" w:w="120"/>
              <w:bottom w:type="dxa" w:w="80"/>
              <w:right w:type="dxa" w:w="120"/>
            </w:tcMar>
          </w:tcPr>
          <w:p>
            <w:r>
              <w:rPr>
                <w:rFonts w:ascii="Arial" w:cs="Arial" w:eastAsia="Arial" w:hAnsi="Arial"/>
                <w:b w:val="false"/>
                <w:bCs w:val="false"/>
                <w:sz w:val="20"/>
                <w:szCs w:val="20"/>
              </w:rPr>
              <w:t xml:space="preserve">Blockchain (Ethereum)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Les smart contracts ne peuvent pas vérifier les données du monde réel.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Protocoles oracle décentralisés (Chainlink). Coût élevé. Non transposable.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Bitcoin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N/A — la Preuve de Travail est l'ancrage physique.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PoW rend la simulation d'un bloc physiquement coûteuse. Non transposable.</w:t>
            </w:r>
          </w:p>
        </w:tc>
      </w:tr>
      <w:tr>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rFonts w:ascii="Arial" w:cs="Arial" w:eastAsia="Arial" w:hAnsi="Arial"/>
                <w:b w:val="false"/>
                <w:bCs w:val="false"/>
                <w:sz w:val="20"/>
                <w:szCs w:val="20"/>
              </w:rPr>
              <w:t xml:space="preserve">D-SIG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 producteur peut signer un signal valide avec des données fabriquées.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 convergence multi-perspective indépendante (Règle 6 + Principe Prusik). Statistique et architecturale, pas cryptographique.</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A6B5A" w:sz="4"/>
              <w:left w:val="single" w:color="1A6B5A" w:sz="4"/>
              <w:bottom w:val="single" w:color="1A6B5A" w:sz="4"/>
              <w:right w:val="single" w:color="1A6B5A" w:sz="4"/>
            </w:tcBorders>
            <w:shd w:fill="D9EAD3" w:val="clear"/>
            <w:tcMar>
              <w:top w:type="dxa" w:w="80"/>
              <w:left w:type="dxa" w:w="120"/>
              <w:bottom w:type="dxa" w:w="80"/>
              <w:right w:type="dxa" w:w="120"/>
            </w:tcMar>
            <w:vAlign w:val="center"/>
          </w:tcPr>
          <w:p>
            <w:pPr>
              <w:jc w:val="center"/>
            </w:pPr>
            <w:r>
              <w:rPr>
                <w:rFonts w:ascii="Arial" w:cs="Arial" w:eastAsia="Arial" w:hAnsi="Arial"/>
                <w:b/>
                <w:bCs/>
                <w:color w:val="1A6B5A"/>
                <w:sz w:val="20"/>
                <w:szCs w:val="20"/>
              </w:rPr>
              <w:t xml:space="preserve">RÉPONSE ÉPISTÉMOLOGIQUE</w:t>
            </w:r>
          </w:p>
        </w:tc>
        <w:tc>
          <w:tcPr>
            <w:tcW w:type="dxa" w:w="7920"/>
            <w:tcBorders>
              <w:top w:val="single" w:color="1A6B5A" w:sz="4"/>
              <w:left w:val="single" w:color="1A6B5A" w:sz="4"/>
              <w:bottom w:val="single" w:color="1A6B5A" w:sz="4"/>
              <w:right w:val="single" w:color="1A6B5A" w:sz="4"/>
            </w:tcBorders>
            <w:shd w:fill="D9EAD3" w:val="clear"/>
            <w:tcMar>
              <w:top w:type="dxa" w:w="80"/>
              <w:left w:type="dxa" w:w="160"/>
              <w:bottom w:type="dxa" w:w="80"/>
              <w:right w:type="dxa" w:w="120"/>
            </w:tcMar>
          </w:tcPr>
          <w:p>
            <w:r>
              <w:rPr>
                <w:rFonts w:ascii="Arial" w:cs="Arial" w:eastAsia="Arial" w:hAnsi="Arial"/>
                <w:color w:val="1A6B5A"/>
                <w:sz w:val="21"/>
                <w:szCs w:val="21"/>
              </w:rPr>
              <w:t xml:space="preserve">D-SIG ne résout pas le problème de l'oracle. Il le minimise : trois sources indépendantes ne peuvent pas simultanément fabriquer le même mensonge sans que la divergence éventuelle de l'une d'elles ne le révèle. C'est l'équivalent fonctionnel de la preuve de mesure — statistique, pas cryptographique.</w:t>
            </w:r>
          </w:p>
        </w:tc>
      </w:tr>
    </w:tbl>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6.4  L'ancre unique — l'invariant non-résolu</w:t>
      </w:r>
    </w:p>
    <w:p>
      <w:pPr>
        <w:spacing w:after="120"/>
      </w:pPr>
      <w:r>
        <w:rPr>
          <w:rFonts w:ascii="Arial" w:cs="Arial" w:eastAsia="Arial" w:hAnsi="Arial"/>
          <w:sz w:val="22"/>
          <w:szCs w:val="22"/>
        </w:rPr>
        <w:t xml:space="preserve">Toute la résistance byzantine de D-SIG repose sur l'indépendance vérifiable des producteurs. Cette indépendance est garantie par le mécanisme d'enrôlement. Si ce mécanisme est compromis, un producteur frauduleux est indiscernable d'un producteur légitime — vraie clé, vrai baseline_cycles croissant, vrais signaux signés, données fabriquées.</w:t>
      </w:r>
    </w:p>
    <w:p>
      <w:pPr>
        <w:spacing w:after="80"/>
      </w:pPr>
      <w:r>
        <w:t xml:space="preserve"/>
      </w:r>
    </w:p>
    <w:p>
      <w:pPr>
        <w:spacing w:after="120"/>
      </w:pPr>
      <w:r>
        <w:rPr>
          <w:rFonts w:ascii="Arial" w:cs="Arial" w:eastAsia="Arial" w:hAnsi="Arial"/>
          <w:sz w:val="22"/>
          <w:szCs w:val="22"/>
        </w:rPr>
        <w:t xml:space="preserve">Ce n'est pas une faiblesse à cacher. C'est la contrainte architecturale que tout déploiement DOIT traiter comme sa priorité de sécurité la plus haute. D-SIG délègue explicitement la protection du mécanisme d'enrôlement à l'implémentation. NetPulse répond par KeyMaster Tiers 0–3.</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6.5  Le problème de l'interopérabilité des profils</w:t>
      </w:r>
    </w:p>
    <w:p>
      <w:pPr>
        <w:spacing w:after="120"/>
      </w:pPr>
      <w:r>
        <w:rPr>
          <w:rFonts w:ascii="Arial" w:cs="Arial" w:eastAsia="Arial" w:hAnsi="Arial"/>
          <w:sz w:val="22"/>
          <w:szCs w:val="22"/>
        </w:rPr>
        <w:t xml:space="preserve">D-SIG ne prescrit délibérément pas de poids universels. C'est philosophiquement honnête — les bons poids pour un capteur réseau d'hôpital sont différents de ceux d'un nœud edge de salle de marché. Mais cela crée un risque d'interopérabilité communautaire : deux organisations toutes deux conformes D-SIG peuvent produire des signaux structurellement identiques mais sémantiquement incomparables.</w:t>
      </w:r>
    </w:p>
    <w:p>
      <w:pPr>
        <w:spacing w:after="80"/>
      </w:pPr>
      <w:r>
        <w:t xml:space="preserve"/>
      </w:r>
    </w:p>
    <w:p>
      <w:pPr>
        <w:spacing w:after="120"/>
      </w:pPr>
      <w:r>
        <w:rPr>
          <w:rFonts w:ascii="Arial" w:cs="Arial" w:eastAsia="Arial" w:hAnsi="Arial"/>
          <w:sz w:val="22"/>
          <w:szCs w:val="22"/>
        </w:rPr>
        <w:t xml:space="preserve">La réponse v0.5 : les implémentations DOIVENT documenter leur profil de pondération et DEVRAIENT le publier comme configuration nommée. Des profils standardisés seront proposés en v1.0.</w:t>
      </w:r>
    </w:p>
    <w:p>
      <w:pPr>
        <w:spacing w:after="120"/>
      </w:pPr>
      <w:r>
        <w:t xml:space="preserve"/>
      </w:r>
    </w:p>
    <w:p>
      <w:pPr>
        <w:pBdr>
          <w:bottom w:val="single" w:color="2E75B6" w:sz="6" w:space="4"/>
        </w:pBdr>
        <w:spacing w:before="300" w:after="120"/>
      </w:pPr>
      <w:r>
        <w:rPr>
          <w:rFonts w:ascii="Arial" w:cs="Arial" w:eastAsia="Arial" w:hAnsi="Arial"/>
          <w:b/>
          <w:bCs/>
          <w:color w:val="2E75B6"/>
          <w:sz w:val="28"/>
          <w:szCs w:val="28"/>
        </w:rPr>
        <w:t xml:space="preserve">6.6  Résistance culturelle au changement</w:t>
      </w:r>
    </w:p>
    <w:p>
      <w:pPr>
        <w:spacing w:after="120"/>
      </w:pPr>
      <w:r>
        <w:rPr>
          <w:rFonts w:ascii="Arial" w:cs="Arial" w:eastAsia="Arial" w:hAnsi="Arial"/>
          <w:sz w:val="22"/>
          <w:szCs w:val="22"/>
        </w:rPr>
        <w:t xml:space="preserve">Proposer un système qui privilégie le silence peut être perçu comme une perte de contrôle. La réponse stratégique : D-SIG ne remplace pas les outils existants — il ajoute une couche de lecture au-dessus. La profondeur technique reste accessible sous le signal. La confiance dans la synthèse se construit sur des preuves opérationnelles.</w:t>
      </w:r>
    </w:p>
    <w:p>
      <w:pPr>
        <w:spacing w:after="120"/>
      </w:pPr>
      <w:r>
        <w:t xml:space="preserve"/>
      </w:r>
    </w:p>
    <w:p>
      <w:pPr>
        <w:spacing w:before="480" w:after="200"/>
      </w:pPr>
      <w:r>
        <w:rPr>
          <w:rFonts w:ascii="Arial" w:cs="Arial" w:eastAsia="Arial" w:hAnsi="Arial"/>
          <w:b/>
          <w:bCs/>
          <w:color w:val="1F3864"/>
          <w:sz w:val="38"/>
          <w:szCs w:val="38"/>
        </w:rPr>
        <w:t xml:space="preserve">7. Gouvernance — Modèle Manifeste ouvert</w:t>
      </w:r>
    </w:p>
    <w:p>
      <w:pPr>
        <w:pStyle w:val="ListParagraph"/>
        <w:numPr>
          <w:ilvl w:val="0"/>
          <w:numId w:val="3"/>
        </w:numPr>
        <w:spacing w:after="80"/>
      </w:pPr>
      <w:r>
        <w:rPr>
          <w:rFonts w:ascii="Arial" w:cs="Arial" w:eastAsia="Arial" w:hAnsi="Arial"/>
          <w:sz w:val="22"/>
          <w:szCs w:val="22"/>
        </w:rPr>
        <w:t xml:space="preserve">Dépôt GitHub public, licence CC0. Date du commit = antériorité incontestable.</w:t>
      </w:r>
    </w:p>
    <w:p>
      <w:pPr>
        <w:pStyle w:val="ListParagraph"/>
        <w:numPr>
          <w:ilvl w:val="0"/>
          <w:numId w:val="3"/>
        </w:numPr>
        <w:spacing w:after="80"/>
      </w:pPr>
      <w:r>
        <w:rPr>
          <w:rFonts w:ascii="Arial" w:cs="Arial" w:eastAsia="Arial" w:hAnsi="Arial"/>
          <w:sz w:val="22"/>
          <w:szCs w:val="22"/>
        </w:rPr>
        <w:t xml:space="preserve">Dépôt whitepaper sur arXiv (cs.NI). Horodaté, indexé, permanent.</w:t>
      </w:r>
    </w:p>
    <w:p>
      <w:pPr>
        <w:pStyle w:val="ListParagraph"/>
        <w:numPr>
          <w:ilvl w:val="0"/>
          <w:numId w:val="3"/>
        </w:numPr>
        <w:spacing w:after="80"/>
      </w:pPr>
      <w:r>
        <w:rPr>
          <w:rFonts w:ascii="Arial" w:cs="Arial" w:eastAsia="Arial" w:hAnsi="Arial"/>
          <w:sz w:val="22"/>
          <w:szCs w:val="22"/>
        </w:rPr>
        <w:t xml:space="preserve">L'auteur conserve le copyright sur l'implémentation de référence NetPulse, indépendamment du cadre domaine public.</w:t>
      </w:r>
    </w:p>
    <w:p>
      <w:pPr>
        <w:pStyle w:val="ListParagraph"/>
        <w:numPr>
          <w:ilvl w:val="0"/>
          <w:numId w:val="3"/>
        </w:numPr>
        <w:spacing w:after="80"/>
      </w:pPr>
      <w:r>
        <w:rPr>
          <w:rFonts w:ascii="Arial" w:cs="Arial" w:eastAsia="Arial" w:hAnsi="Arial"/>
          <w:sz w:val="22"/>
          <w:szCs w:val="22"/>
        </w:rPr>
        <w:t xml:space="preserve">Toute implémentation se déclare compatible D-SIG si elle respecte les champs obligatoires (§3.2), les règles de distillation (§3.5), les exigences du récepteur (§3.8), et documente son profil de pondération.</w:t>
      </w:r>
    </w:p>
    <w:p>
      <w:pPr>
        <w:pStyle w:val="ListParagraph"/>
        <w:numPr>
          <w:ilvl w:val="0"/>
          <w:numId w:val="3"/>
        </w:numPr>
        <w:spacing w:after="80"/>
      </w:pPr>
      <w:r>
        <w:rPr>
          <w:rFonts w:ascii="Arial" w:cs="Arial" w:eastAsia="Arial" w:hAnsi="Arial"/>
          <w:sz w:val="22"/>
          <w:szCs w:val="22"/>
        </w:rPr>
        <w:t xml:space="preserve">Aucune autorité de certification. La conformité est auto-déclarée et vérifiable par la communauté.</w:t>
      </w:r>
    </w:p>
    <w:p>
      <w:pPr>
        <w:pStyle w:val="ListParagraph"/>
        <w:numPr>
          <w:ilvl w:val="0"/>
          <w:numId w:val="3"/>
        </w:numPr>
        <w:spacing w:after="80"/>
      </w:pPr>
      <w:r>
        <w:rPr>
          <w:rFonts w:ascii="Arial" w:cs="Arial" w:eastAsia="Arial" w:hAnsi="Arial"/>
          <w:sz w:val="22"/>
          <w:szCs w:val="22"/>
        </w:rPr>
        <w:t xml:space="preserve">Les commentaires communautaires sont sollicités sur : les profils de pondération pour les standards sectoriels v1.0, la formalisation de la sémantique de précondition, les algorithmes de calcul de baseline_cycles.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PRINCIPE</w:t>
            </w:r>
          </w:p>
        </w:tc>
        <w:tc>
          <w:tcPr>
            <w:tcW w:type="dxa" w:w="7920"/>
            <w:tcBorders>
              <w:top w:val="single" w:color="2E75B6" w:sz="4"/>
              <w:left w:val="single" w:color="2E75B6" w:sz="4"/>
              <w:bottom w:val="single" w:color="2E75B6" w:sz="4"/>
              <w:right w:val="single" w:color="2E75B6" w:sz="4"/>
            </w:tcBorders>
            <w:shd w:fill="1F3864" w:val="clear"/>
            <w:tcMar>
              <w:top w:type="dxa" w:w="80"/>
              <w:left w:type="dxa" w:w="160"/>
              <w:bottom w:type="dxa" w:w="80"/>
              <w:right w:type="dxa" w:w="120"/>
            </w:tcMar>
          </w:tcPr>
          <w:p>
            <w:r>
              <w:rPr>
                <w:rFonts w:ascii="Arial" w:cs="Arial" w:eastAsia="Arial" w:hAnsi="Arial"/>
                <w:color w:val="FFFFFF"/>
                <w:sz w:val="21"/>
                <w:szCs w:val="21"/>
              </w:rPr>
              <w:t xml:space="preserve">D-SIG appartient au domaine public. Personne ne peut le breveter. Sa protection est son antériorité publiée et sa communauté d'implémenteurs — le même mécanisme qui protège Linux, TCP/IP et HTTP.</w:t>
            </w:r>
          </w:p>
        </w:tc>
      </w:tr>
    </w:tbl>
    <w:p>
      <w:pPr>
        <w:spacing w:after="120"/>
      </w:pPr>
      <w:r>
        <w:t xml:space="preserve"/>
      </w:r>
    </w:p>
    <w:p>
      <w:pPr>
        <w:spacing w:before="480" w:after="200"/>
      </w:pPr>
      <w:r>
        <w:rPr>
          <w:rFonts w:ascii="Arial" w:cs="Arial" w:eastAsia="Arial" w:hAnsi="Arial"/>
          <w:b/>
          <w:bCs/>
          <w:color w:val="1F3864"/>
          <w:sz w:val="38"/>
          <w:szCs w:val="38"/>
        </w:rPr>
        <w:t xml:space="preserve">8. Hiérarchie des documents D-SIG / NetPulse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1E1E2E" w:val="clear"/>
            <w:tcMar>
              <w:top w:type="dxa" w:w="120"/>
              <w:left w:type="dxa" w:w="200"/>
              <w:bottom w:type="dxa" w:w="120"/>
              <w:right w:type="dxa" w:w="200"/>
            </w:tcMar>
          </w:tcPr>
          <w:p>
            <w:pPr>
              <w:spacing w:after="0"/>
            </w:pPr>
            <w:r>
              <w:rPr>
                <w:rFonts w:ascii="Courier New" w:cs="Courier New" w:eastAsia="Courier New" w:hAnsi="Courier New"/>
                <w:color w:val="A8E6CF"/>
                <w:sz w:val="18"/>
                <w:szCs w:val="18"/>
              </w:rPr>
              <w:t xml:space="preserve">D-SIG v0.5 (document de positionnement + blueprint architectural — domaine public CC0)</w:t>
            </w:r>
          </w:p>
          <w:p>
            <w:pPr>
              <w:spacing w:after="0"/>
            </w:pPr>
            <w:r>
              <w:rPr>
                <w:rFonts w:ascii="Courier New" w:cs="Courier New" w:eastAsia="Courier New" w:hAnsi="Courier New"/>
                <w:color w:val="A8E6CF"/>
                <w:sz w:val="18"/>
                <w:szCs w:val="18"/>
              </w:rPr>
              <w:t xml:space="preserve">├── §2    Cadre : P1–P5, Principe Prusik, Principe phéromonal</w:t>
            </w:r>
          </w:p>
          <w:p>
            <w:pPr>
              <w:spacing w:after="0"/>
            </w:pPr>
            <w:r>
              <w:rPr>
                <w:rFonts w:ascii="Courier New" w:cs="Courier New" w:eastAsia="Courier New" w:hAnsi="Courier New"/>
                <w:color w:val="A8E6CF"/>
                <w:sz w:val="18"/>
                <w:szCs w:val="18"/>
              </w:rPr>
              <w:t xml:space="preserve">├── §3    Spécification formelle</w:t>
            </w:r>
          </w:p>
          <w:p>
            <w:pPr>
              <w:spacing w:after="0"/>
            </w:pPr>
            <w:r>
              <w:rPr>
                <w:rFonts w:ascii="Courier New" w:cs="Courier New" w:eastAsia="Courier New" w:hAnsi="Courier New"/>
                <w:color w:val="A8E6CF"/>
                <w:sz w:val="18"/>
                <w:szCs w:val="18"/>
              </w:rPr>
              <w:t xml:space="preserve">│   ├── Champs obligatoires : score, label, color, trend, timestamp, ttl, source_id, perspective</w:t>
            </w:r>
          </w:p>
          <w:p>
            <w:pPr>
              <w:spacing w:after="0"/>
            </w:pPr>
            <w:r>
              <w:rPr>
                <w:rFonts w:ascii="Courier New" w:cs="Courier New" w:eastAsia="Courier New" w:hAnsi="Courier New"/>
                <w:color w:val="A8E6CF"/>
                <w:sz w:val="18"/>
                <w:szCs w:val="18"/>
              </w:rPr>
              <w:t xml:space="preserve">│   ├── Champs recommandés : source_sig, source_pub, trust_level, baseline_cycles, dimensions</w:t>
            </w:r>
          </w:p>
          <w:p>
            <w:pPr>
              <w:spacing w:after="0"/>
            </w:pPr>
            <w:r>
              <w:rPr>
                <w:rFonts w:ascii="Courier New" w:cs="Courier New" w:eastAsia="Courier New" w:hAnsi="Courier New"/>
                <w:color w:val="A8E6CF"/>
                <w:sz w:val="18"/>
                <w:szCs w:val="18"/>
              </w:rPr>
              <w:t xml:space="preserve">│   ├── Règles 1–5    : distillation et cohérence</w:t>
            </w:r>
          </w:p>
          <w:p>
            <w:pPr>
              <w:spacing w:after="0"/>
            </w:pPr>
            <w:r>
              <w:rPr>
                <w:rFonts w:ascii="Courier New" w:cs="Courier New" w:eastAsia="Courier New" w:hAnsi="Courier New"/>
                <w:color w:val="A8E6CF"/>
                <w:sz w:val="18"/>
                <w:szCs w:val="18"/>
              </w:rPr>
              <w:t xml:space="preserve">│   ├── Règles 6–9    : robustesse, tolérance byzantine, confiance phéromonale</w:t>
            </w:r>
          </w:p>
          <w:p>
            <w:pPr>
              <w:spacing w:after="0"/>
            </w:pPr>
            <w:r>
              <w:rPr>
                <w:rFonts w:ascii="Courier New" w:cs="Courier New" w:eastAsia="Courier New" w:hAnsi="Courier New"/>
                <w:color w:val="A8E6CF"/>
                <w:sz w:val="18"/>
                <w:szCs w:val="18"/>
              </w:rPr>
              <w:t xml:space="preserve">│   ├── Règle 10      : indépendance label/tendance (NOUVELLE v0.5)</w:t>
            </w:r>
          </w:p>
          <w:p>
            <w:pPr>
              <w:spacing w:after="0"/>
            </w:pPr>
            <w:r>
              <w:rPr>
                <w:rFonts w:ascii="Courier New" w:cs="Courier New" w:eastAsia="Courier New" w:hAnsi="Courier New"/>
                <w:color w:val="A8E6CF"/>
                <w:sz w:val="18"/>
                <w:szCs w:val="18"/>
              </w:rPr>
              <w:t xml:space="preserve">│   ├── Règle 11      : dimension précondition (NOUVELLE v0.5)</w:t>
            </w:r>
          </w:p>
          <w:p>
            <w:pPr>
              <w:spacing w:after="0"/>
            </w:pPr>
            <w:r>
              <w:rPr>
                <w:rFonts w:ascii="Courier New" w:cs="Courier New" w:eastAsia="Courier New" w:hAnsi="Courier New"/>
                <w:color w:val="A8E6CF"/>
                <w:sz w:val="18"/>
                <w:szCs w:val="18"/>
              </w:rPr>
              <w:t xml:space="preserve">│   └── §3.8          : exigences du récepteur conforme</w:t>
            </w:r>
          </w:p>
          <w:p>
            <w:pPr>
              <w:spacing w:after="0"/>
            </w:pPr>
            <w:r>
              <w:rPr>
                <w:rFonts w:ascii="Courier New" w:cs="Courier New" w:eastAsia="Courier New" w:hAnsi="Courier New"/>
                <w:color w:val="A8E6CF"/>
                <w:sz w:val="18"/>
                <w:szCs w:val="18"/>
              </w:rPr>
              <w:t xml:space="preserve">├── §3.7  D-SIG-PROD-01 à 05 : modèle de confiance du producteur</w:t>
            </w:r>
          </w:p>
          <w:p>
            <w:pPr>
              <w:spacing w:after="0"/>
            </w:pPr>
            <w:r>
              <w:rPr>
                <w:rFonts w:ascii="Courier New" w:cs="Courier New" w:eastAsia="Courier New" w:hAnsi="Courier New"/>
                <w:color w:val="A8E6CF"/>
                <w:sz w:val="18"/>
                <w:szCs w:val="18"/>
              </w:rPr>
              <w:t xml:space="preserve">└── §6    Limites documentées</w:t>
            </w:r>
          </w:p>
          <w:p>
            <w:pPr>
              <w:spacing w:after="0"/>
            </w:pPr>
            <w:r>
              <w:rPr>
                <w:rFonts w:ascii="Courier New" w:cs="Courier New" w:eastAsia="Courier New" w:hAnsi="Courier New"/>
                <w:color w:val="A8E6CF"/>
                <w:sz w:val="18"/>
                <w:szCs w:val="18"/>
              </w:rPr>
              <w:t xml:space="preserve"/>
            </w:r>
          </w:p>
          <w:p>
            <w:pPr>
              <w:spacing w:after="0"/>
            </w:pPr>
            <w:r>
              <w:rPr>
                <w:rFonts w:ascii="Courier New" w:cs="Courier New" w:eastAsia="Courier New" w:hAnsi="Courier New"/>
                <w:color w:val="A8E6CF"/>
                <w:sz w:val="18"/>
                <w:szCs w:val="18"/>
              </w:rPr>
              <w:t xml:space="preserve">NetPulse v1.7+ (implémentation de référence — copyright auteur)</w:t>
            </w:r>
          </w:p>
          <w:p>
            <w:pPr>
              <w:spacing w:after="0"/>
            </w:pPr>
            <w:r>
              <w:rPr>
                <w:rFonts w:ascii="Courier New" w:cs="Courier New" w:eastAsia="Courier New" w:hAnsi="Courier New"/>
                <w:color w:val="A8E6CF"/>
                <w:sz w:val="18"/>
                <w:szCs w:val="18"/>
              </w:rPr>
              <w:t xml:space="preserve">├── netpulse-identity-protocol-v1.2 → NP-PROTO-01 à 07</w:t>
            </w:r>
          </w:p>
          <w:p>
            <w:pPr>
              <w:spacing w:after="0"/>
            </w:pPr>
            <w:r>
              <w:rPr>
                <w:rFonts w:ascii="Courier New" w:cs="Courier New" w:eastAsia="Courier New" w:hAnsi="Courier New"/>
                <w:color w:val="A8E6CF"/>
                <w:sz w:val="18"/>
                <w:szCs w:val="18"/>
              </w:rPr>
              <w:t xml:space="preserve">├── KeyMaster v2.3</w:t>
            </w:r>
          </w:p>
          <w:p>
            <w:pPr>
              <w:spacing w:after="0"/>
            </w:pPr>
            <w:r>
              <w:rPr>
                <w:rFonts w:ascii="Courier New" w:cs="Courier New" w:eastAsia="Courier New" w:hAnsi="Courier New"/>
                <w:color w:val="A8E6CF"/>
                <w:sz w:val="18"/>
                <w:szCs w:val="18"/>
              </w:rPr>
              <w:t xml:space="preserve">│   ├── Tier 0 : SSH Ed25519 uniquement       (trust_level 0)</w:t>
            </w:r>
          </w:p>
          <w:p>
            <w:pPr>
              <w:spacing w:after="0"/>
            </w:pPr>
            <w:r>
              <w:rPr>
                <w:rFonts w:ascii="Courier New" w:cs="Courier New" w:eastAsia="Courier New" w:hAnsi="Courier New"/>
                <w:color w:val="A8E6CF"/>
                <w:sz w:val="18"/>
                <w:szCs w:val="18"/>
              </w:rPr>
              <w:t xml:space="preserve">│   ├── Tier 1 : signature Ed25519 payload    (trust_level 1)</w:t>
            </w:r>
          </w:p>
          <w:p>
            <w:pPr>
              <w:spacing w:after="0"/>
            </w:pPr>
            <w:r>
              <w:rPr>
                <w:rFonts w:ascii="Courier New" w:cs="Courier New" w:eastAsia="Courier New" w:hAnsi="Courier New"/>
                <w:color w:val="A8E6CF"/>
                <w:sz w:val="18"/>
                <w:szCs w:val="18"/>
              </w:rPr>
              <w:t xml:space="preserve">│   ├── Tier 2 : mTLS CA organisationnelle    (trust_level 2)</w:t>
            </w:r>
          </w:p>
          <w:p>
            <w:pPr>
              <w:spacing w:after="0"/>
            </w:pPr>
            <w:r>
              <w:rPr>
                <w:rFonts w:ascii="Courier New" w:cs="Courier New" w:eastAsia="Courier New" w:hAnsi="Courier New"/>
                <w:color w:val="A8E6CF"/>
                <w:sz w:val="18"/>
                <w:szCs w:val="18"/>
              </w:rPr>
              <w:t xml:space="preserve">│   └── Tier 3 : CA NetPulse légère Hub       (trust_level 3)</w:t>
            </w:r>
          </w:p>
          <w:p>
            <w:pPr>
              <w:spacing w:after="0"/>
            </w:pPr>
            <w:r>
              <w:rPr>
                <w:rFonts w:ascii="Courier New" w:cs="Courier New" w:eastAsia="Courier New" w:hAnsi="Courier New"/>
                <w:color w:val="A8E6CF"/>
                <w:sz w:val="18"/>
                <w:szCs w:val="18"/>
              </w:rPr>
              <w:t xml:space="preserve">├── Oracle v1.x : perspective EXTERNAL D-SIG</w:t>
            </w:r>
          </w:p>
          <w:p>
            <w:pPr>
              <w:spacing w:after="0"/>
            </w:pPr>
            <w:r>
              <w:rPr>
                <w:rFonts w:ascii="Courier New" w:cs="Courier New" w:eastAsia="Courier New" w:hAnsi="Courier New"/>
                <w:color w:val="A8E6CF"/>
                <w:sz w:val="18"/>
                <w:szCs w:val="18"/>
              </w:rPr>
              <w:t xml:space="preserve">└── Node Signal v2.0 : perspective LOCAL D-SIG — profil IT-Node (§3.4)</w:t>
            </w:r>
          </w:p>
        </w:tc>
      </w:tr>
    </w:tbl>
    <w:p>
      <w:pPr>
        <w:spacing w:after="120"/>
      </w:pPr>
      <w:r>
        <w:t xml:space="preserve"/>
      </w:r>
    </w:p>
    <w:p>
      <w:pPr>
        <w:spacing w:before="480" w:after="200"/>
      </w:pPr>
      <w:r>
        <w:rPr>
          <w:rFonts w:ascii="Arial" w:cs="Arial" w:eastAsia="Arial" w:hAnsi="Arial"/>
          <w:b/>
          <w:bCs/>
          <w:color w:val="1F3864"/>
          <w:sz w:val="38"/>
          <w:szCs w:val="38"/>
        </w:rPr>
        <w:t xml:space="preserve">9. Conclusion</w:t>
      </w:r>
    </w:p>
    <w:p>
      <w:pPr>
        <w:spacing w:after="120"/>
      </w:pPr>
      <w:r>
        <w:rPr>
          <w:rFonts w:ascii="Arial" w:cs="Arial" w:eastAsia="Arial" w:hAnsi="Arial"/>
          <w:sz w:val="22"/>
          <w:szCs w:val="22"/>
        </w:rPr>
        <w:t xml:space="preserve">D-SIG v0.5 est la première version du cadre à pleinement assumer sa nature de document de positionnement plutôt que de norme prescriptive. Ce n'est pas un recul d'ambition — c'est un énoncé plus précis de ce que D-SIG affirme réellement.</w:t>
      </w:r>
    </w:p>
    <w:p>
      <w:pPr>
        <w:spacing w:after="80"/>
      </w:pPr>
      <w:r>
        <w:t xml:space="preserve"/>
      </w:r>
    </w:p>
    <w:p>
      <w:pPr>
        <w:spacing w:after="120"/>
      </w:pPr>
      <w:r>
        <w:rPr>
          <w:rFonts w:ascii="Arial" w:cs="Arial" w:eastAsia="Arial" w:hAnsi="Arial"/>
          <w:sz w:val="22"/>
          <w:szCs w:val="22"/>
        </w:rPr>
        <w:t xml:space="preserve">L'affirmation est celle-ci : que la combinaison de distillation sémantique, de convergence multi-perspective, d'accumulation temporelle de confiance, et de limites documentées produit un cadre pour l'intelligence opérationnelle qui est simultanément plus lisible, plus résilient et plus honnête que les paradigmes de monitoring qu'il complète.</w:t>
      </w:r>
    </w:p>
    <w:p>
      <w:pPr>
        <w:spacing w:after="80"/>
      </w:pPr>
      <w:r>
        <w:t xml:space="preserve"/>
      </w:r>
    </w:p>
    <w:p>
      <w:pPr>
        <w:spacing w:after="120"/>
      </w:pPr>
      <w:r>
        <w:rPr>
          <w:rFonts w:ascii="Arial" w:cs="Arial" w:eastAsia="Arial" w:hAnsi="Arial"/>
          <w:sz w:val="22"/>
          <w:szCs w:val="22"/>
        </w:rPr>
        <w:t xml:space="preserve">La généalogie intellectuelle est maintenant documentée : depuis les indicateurs composites du trading algorithmique (QAAF), par l'observation structurelle que ce même pattern n'avait jamais été formalisé pour l'observabilité IT, jusqu'à D-SIG. Le transfert est interdisciplinaire, documenté et vérifiable.</w:t>
      </w:r>
    </w:p>
    <w:p>
      <w:pPr>
        <w:spacing w:after="80"/>
      </w:pPr>
      <w:r>
        <w:t xml:space="preserve"/>
      </w:r>
    </w:p>
    <w:p>
      <w:pPr>
        <w:spacing w:after="120"/>
      </w:pPr>
      <w:r>
        <w:rPr>
          <w:rFonts w:ascii="Arial" w:cs="Arial" w:eastAsia="Arial" w:hAnsi="Arial"/>
          <w:sz w:val="22"/>
          <w:szCs w:val="22"/>
        </w:rPr>
        <w:t xml:space="preserve">La v0.5 ferme également trois incohérences ouvertes depuis la v0.3 : le label et la tendance sont maintenant formellement indépendants (Règle 10), baseline_cycles est maintenant calculé par le récepteur avec la valeur du producteur comme simple indication (Règle 9 révisée), et la dimension précondition est maintenant un concept distinct du fail-fast (Règle 11).</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1F3864" w:val="clear"/>
            <w:tcMar>
              <w:top w:type="dxa" w:w="200"/>
              <w:left w:type="dxa" w:w="200"/>
              <w:bottom w:type="dxa" w:w="200"/>
              <w:right w:type="dxa" w:w="200"/>
            </w:tcMar>
          </w:tcPr>
          <w:p>
            <w:pPr>
              <w:spacing w:after="60"/>
              <w:jc w:val="center"/>
            </w:pPr>
            <w:r>
              <w:rPr>
                <w:rFonts w:ascii="Arial" w:cs="Arial" w:eastAsia="Arial" w:hAnsi="Arial"/>
                <w:b/>
                <w:bCs/>
                <w:color w:val="FFFFFF"/>
                <w:sz w:val="24"/>
                <w:szCs w:val="24"/>
              </w:rPr>
              <w:t xml:space="preserve">FORMULE FINALE</w:t>
            </w:r>
          </w:p>
          <w:p>
            <w:pPr>
              <w:spacing w:after="40"/>
              <w:jc w:val="center"/>
            </w:pPr>
            <w:r>
              <w:rPr>
                <w:rFonts w:ascii="Arial" w:cs="Arial" w:eastAsia="Arial" w:hAnsi="Arial"/>
                <w:color w:val="FFFFFF"/>
                <w:sz w:val="22"/>
                <w:szCs w:val="22"/>
              </w:rPr>
              <w:t xml:space="preserve">Les autres outils cherchent l'aiguille dans la botte de foin en ajoutant toujours plus de foin.</w:t>
            </w:r>
          </w:p>
          <w:p>
            <w:pPr>
              <w:spacing w:after="40"/>
              <w:jc w:val="center"/>
            </w:pPr>
            <w:r>
              <w:rPr>
                <w:rFonts w:ascii="Arial" w:cs="Arial" w:eastAsia="Arial" w:hAnsi="Arial"/>
                <w:b/>
                <w:bCs/>
                <w:color w:val="FFFFFF"/>
                <w:sz w:val="26"/>
                <w:szCs w:val="26"/>
              </w:rPr>
              <w:t xml:space="preserve">D-SIG brûle le foin.</w:t>
            </w:r>
          </w:p>
          <w:p>
            <w:pPr>
              <w:spacing w:after="40"/>
              <w:jc w:val="center"/>
            </w:pPr>
            <w:r>
              <w:rPr>
                <w:rFonts w:ascii="Arial" w:cs="Arial" w:eastAsia="Arial" w:hAnsi="Arial"/>
                <w:color w:val="CCDDFF"/>
                <w:sz w:val="22"/>
                <w:szCs w:val="22"/>
              </w:rPr>
              <w:t xml:space="preserve">Pas parce qu'il a une meilleure formule pour trouver les aiguilles.</w:t>
            </w:r>
          </w:p>
          <w:p>
            <w:pPr>
              <w:spacing w:after="0"/>
              <w:jc w:val="center"/>
            </w:pPr>
            <w:r>
              <w:rPr>
                <w:rFonts w:ascii="Arial" w:cs="Arial" w:eastAsia="Arial" w:hAnsi="Arial"/>
                <w:b/>
                <w:bCs/>
                <w:color w:val="FFFFFF"/>
                <w:sz w:val="22"/>
                <w:szCs w:val="22"/>
              </w:rPr>
              <w:t xml:space="preserve">Parce qu'il propose une façon différente de voir ce que le foin cache.</w:t>
            </w:r>
          </w:p>
        </w:tc>
      </w:tr>
    </w:tbl>
    <w:p>
      <w:pPr>
        <w:spacing w:after="200"/>
      </w:pPr>
      <w:r>
        <w:t xml:space="preserve"/>
      </w:r>
    </w:p>
    <w:p>
      <w:pPr>
        <w:pBdr>
          <w:bottom w:val="single" w:color="2E75B6" w:sz="6" w:space="4"/>
        </w:pBdr>
        <w:spacing w:before="300" w:after="120"/>
      </w:pPr>
      <w:r>
        <w:rPr>
          <w:rFonts w:ascii="Arial" w:cs="Arial" w:eastAsia="Arial" w:hAnsi="Arial"/>
          <w:b/>
          <w:bCs/>
          <w:color w:val="2E75B6"/>
          <w:sz w:val="28"/>
          <w:szCs w:val="28"/>
        </w:rPr>
        <w:t xml:space="preserve">Références</w:t>
      </w:r>
    </w:p>
    <w:p>
      <w:pPr>
        <w:pStyle w:val="ListParagraph"/>
        <w:numPr>
          <w:ilvl w:val="0"/>
          <w:numId w:val="2"/>
        </w:numPr>
        <w:spacing w:after="80"/>
      </w:pPr>
      <w:r>
        <w:rPr>
          <w:rFonts w:ascii="Arial" w:cs="Arial" w:eastAsia="Arial" w:hAnsi="Arial"/>
          <w:sz w:val="22"/>
          <w:szCs w:val="22"/>
        </w:rPr>
        <w:t xml:space="preserve">Peirce, C.S. (1867). On a New List of Categories. Proceedings of the American Academy of Arts and Sciences.</w:t>
      </w:r>
    </w:p>
    <w:p>
      <w:pPr>
        <w:pStyle w:val="ListParagraph"/>
        <w:numPr>
          <w:ilvl w:val="0"/>
          <w:numId w:val="2"/>
        </w:numPr>
        <w:spacing w:after="80"/>
      </w:pPr>
      <w:r>
        <w:rPr>
          <w:rFonts w:ascii="Arial" w:cs="Arial" w:eastAsia="Arial" w:hAnsi="Arial"/>
          <w:sz w:val="22"/>
          <w:szCs w:val="22"/>
        </w:rPr>
        <w:t xml:space="preserve">Shannon, C.E. (1948). A Mathematical Theory of Communication. Bell System Technical Journal.</w:t>
      </w:r>
    </w:p>
    <w:p>
      <w:pPr>
        <w:pStyle w:val="ListParagraph"/>
        <w:numPr>
          <w:ilvl w:val="0"/>
          <w:numId w:val="2"/>
        </w:numPr>
        <w:spacing w:after="80"/>
      </w:pPr>
      <w:r>
        <w:rPr>
          <w:rFonts w:ascii="Arial" w:cs="Arial" w:eastAsia="Arial" w:hAnsi="Arial"/>
          <w:sz w:val="22"/>
          <w:szCs w:val="22"/>
        </w:rPr>
        <w:t xml:space="preserve">Grassé, P.P. (1959). La reconstruction du nid et les coordinations inter-individuelles. Insectes Sociaux. [Stigmergie]</w:t>
      </w:r>
    </w:p>
    <w:p>
      <w:pPr>
        <w:pStyle w:val="ListParagraph"/>
        <w:numPr>
          <w:ilvl w:val="0"/>
          <w:numId w:val="2"/>
        </w:numPr>
        <w:spacing w:after="80"/>
      </w:pPr>
      <w:r>
        <w:rPr>
          <w:rFonts w:ascii="Arial" w:cs="Arial" w:eastAsia="Arial" w:hAnsi="Arial"/>
          <w:sz w:val="22"/>
          <w:szCs w:val="22"/>
        </w:rPr>
        <w:t xml:space="preserve">Lamport, L., Shostak, R. &amp; Pease, M. (1982). The Byzantine Generals Problem. ACM TOPLAS. [Formalisme 3f+1]</w:t>
      </w:r>
    </w:p>
    <w:p>
      <w:pPr>
        <w:pStyle w:val="ListParagraph"/>
        <w:numPr>
          <w:ilvl w:val="0"/>
          <w:numId w:val="2"/>
        </w:numPr>
        <w:spacing w:after="80"/>
      </w:pPr>
      <w:r>
        <w:rPr>
          <w:rFonts w:ascii="Arial" w:cs="Arial" w:eastAsia="Arial" w:hAnsi="Arial"/>
          <w:sz w:val="22"/>
          <w:szCs w:val="22"/>
        </w:rPr>
        <w:t xml:space="preserve">von Bertalanffy, L. (1968). General System Theory. George Braziller.</w:t>
      </w:r>
    </w:p>
    <w:p>
      <w:pPr>
        <w:pStyle w:val="ListParagraph"/>
        <w:numPr>
          <w:ilvl w:val="0"/>
          <w:numId w:val="2"/>
        </w:numPr>
        <w:spacing w:after="80"/>
      </w:pPr>
      <w:r>
        <w:rPr>
          <w:rFonts w:ascii="Arial" w:cs="Arial" w:eastAsia="Arial" w:hAnsi="Arial"/>
          <w:sz w:val="22"/>
          <w:szCs w:val="22"/>
        </w:rPr>
        <w:t xml:space="preserve">Brewer, E.A. (2000). Towards Robust Distributed Systems (Théorème CAP). PODC Keynote.</w:t>
      </w:r>
    </w:p>
    <w:p>
      <w:pPr>
        <w:pStyle w:val="ListParagraph"/>
        <w:numPr>
          <w:ilvl w:val="0"/>
          <w:numId w:val="2"/>
        </w:numPr>
        <w:spacing w:after="80"/>
      </w:pPr>
      <w:r>
        <w:rPr>
          <w:rFonts w:ascii="Arial" w:cs="Arial" w:eastAsia="Arial" w:hAnsi="Arial"/>
          <w:sz w:val="22"/>
          <w:szCs w:val="22"/>
        </w:rPr>
        <w:t xml:space="preserve">Nakamoto, S. (2008). Bitcoin: A Peer-to-Peer Electronic Cash System. [Épistémologie distribuée, gouvernance ouverte]</w:t>
      </w:r>
    </w:p>
    <w:p>
      <w:pPr>
        <w:pStyle w:val="ListParagraph"/>
        <w:numPr>
          <w:ilvl w:val="0"/>
          <w:numId w:val="2"/>
        </w:numPr>
        <w:spacing w:after="80"/>
      </w:pPr>
      <w:r>
        <w:rPr>
          <w:rFonts w:ascii="Arial" w:cs="Arial" w:eastAsia="Arial" w:hAnsi="Arial"/>
          <w:sz w:val="22"/>
          <w:szCs w:val="22"/>
        </w:rPr>
        <w:t xml:space="preserve">Dorigo, M. &amp; Gambardella, L.M. (1997). Ant colony system. IEEE Transactions on Evolutionary Computation. [Algorithmes phéromonaux]</w:t>
      </w:r>
    </w:p>
    <w:p>
      <w:pPr>
        <w:pStyle w:val="ListParagraph"/>
        <w:numPr>
          <w:ilvl w:val="0"/>
          <w:numId w:val="2"/>
        </w:numPr>
        <w:spacing w:after="80"/>
      </w:pPr>
      <w:r>
        <w:rPr>
          <w:rFonts w:ascii="Arial" w:cs="Arial" w:eastAsia="Arial" w:hAnsi="Arial"/>
          <w:sz w:val="22"/>
          <w:szCs w:val="22"/>
        </w:rPr>
        <w:t xml:space="preserve">Wilder, J.W. (1978). New Concepts in Technical Trading Systems. [RSI — indicateur composite, ancêtre conceptuel de baseline_cycles]</w:t>
      </w:r>
    </w:p>
    <w:p>
      <w:pPr>
        <w:pStyle w:val="ListParagraph"/>
        <w:numPr>
          <w:ilvl w:val="0"/>
          <w:numId w:val="2"/>
        </w:numPr>
        <w:spacing w:after="80"/>
      </w:pPr>
      <w:r>
        <w:rPr>
          <w:rFonts w:ascii="Arial" w:cs="Arial" w:eastAsia="Arial" w:hAnsi="Arial"/>
          <w:sz w:val="22"/>
          <w:szCs w:val="22"/>
        </w:rPr>
        <w:t xml:space="preserve">Appel, G. (1979). The Moving Average Convergence/Divergence Method. [MACD — indicateur de tendance, ancêtre conceptuel du champ trend]</w:t>
      </w:r>
    </w:p>
    <w:p>
      <w:pPr>
        <w:pStyle w:val="ListParagraph"/>
        <w:numPr>
          <w:ilvl w:val="0"/>
          <w:numId w:val="2"/>
        </w:numPr>
        <w:spacing w:after="80"/>
      </w:pPr>
      <w:r>
        <w:rPr>
          <w:rFonts w:ascii="Arial" w:cs="Arial" w:eastAsia="Arial" w:hAnsi="Arial"/>
          <w:sz w:val="22"/>
          <w:szCs w:val="22"/>
        </w:rPr>
        <w:t xml:space="preserve">IEC 61508 — Sécurité fonctionnelle des systèmes E/E/PE de sécurité.</w:t>
      </w:r>
    </w:p>
    <w:p>
      <w:pPr>
        <w:pStyle w:val="ListParagraph"/>
        <w:numPr>
          <w:ilvl w:val="0"/>
          <w:numId w:val="2"/>
        </w:numPr>
        <w:spacing w:after="80"/>
      </w:pPr>
      <w:r>
        <w:rPr>
          <w:rFonts w:ascii="Arial" w:cs="Arial" w:eastAsia="Arial" w:hAnsi="Arial"/>
          <w:sz w:val="22"/>
          <w:szCs w:val="22"/>
        </w:rPr>
        <w:t xml:space="preserve">Forrester Research (2020). SOC Alert Volume Study.</w:t>
      </w:r>
    </w:p>
    <w:p>
      <w:pPr>
        <w:pStyle w:val="ListParagraph"/>
        <w:numPr>
          <w:ilvl w:val="0"/>
          <w:numId w:val="2"/>
        </w:numPr>
        <w:spacing w:after="80"/>
      </w:pPr>
      <w:r>
        <w:rPr>
          <w:rFonts w:ascii="Arial" w:cs="Arial" w:eastAsia="Arial" w:hAnsi="Arial"/>
          <w:sz w:val="22"/>
          <w:szCs w:val="22"/>
        </w:rPr>
        <w:t xml:space="preserve">IBM / Morning Consult (2023). SOC Performance and Alert Fatigue Survey.</w:t>
      </w:r>
    </w:p>
    <w:p>
      <w:pPr>
        <w:pStyle w:val="ListParagraph"/>
        <w:numPr>
          <w:ilvl w:val="0"/>
          <w:numId w:val="2"/>
        </w:numPr>
        <w:spacing w:after="80"/>
      </w:pPr>
      <w:r>
        <w:rPr>
          <w:rFonts w:ascii="Arial" w:cs="Arial" w:eastAsia="Arial" w:hAnsi="Arial"/>
          <w:sz w:val="22"/>
          <w:szCs w:val="22"/>
        </w:rPr>
        <w:t xml:space="preserve">Trend Micro (2023). Report on SOC Analyst Alert Fatigue.</w:t>
      </w:r>
    </w:p>
    <w:p>
      <w:pPr>
        <w:pStyle w:val="ListParagraph"/>
        <w:numPr>
          <w:ilvl w:val="0"/>
          <w:numId w:val="2"/>
        </w:numPr>
        <w:spacing w:after="80"/>
      </w:pPr>
      <w:r>
        <w:rPr>
          <w:rFonts w:ascii="Arial" w:cs="Arial" w:eastAsia="Arial" w:hAnsi="Arial"/>
          <w:sz w:val="22"/>
          <w:szCs w:val="22"/>
        </w:rPr>
        <w:t xml:space="preserve">ACM Computing Surveys (2024). Alert Fatigue in Security Operations Centres.</w:t>
      </w:r>
    </w:p>
    <w:p>
      <w:pPr>
        <w:pStyle w:val="ListParagraph"/>
        <w:numPr>
          <w:ilvl w:val="0"/>
          <w:numId w:val="2"/>
        </w:numPr>
        <w:spacing w:after="80"/>
      </w:pPr>
      <w:r>
        <w:rPr>
          <w:rFonts w:ascii="Arial" w:cs="Arial" w:eastAsia="Arial" w:hAnsi="Arial"/>
          <w:sz w:val="22"/>
          <w:szCs w:val="22"/>
        </w:rPr>
        <w:t xml:space="preserve">Devo Technology (2024). SOC Performance Report.</w:t>
      </w:r>
    </w:p>
    <w:p>
      <w:pPr>
        <w:pStyle w:val="ListParagraph"/>
        <w:numPr>
          <w:ilvl w:val="0"/>
          <w:numId w:val="2"/>
        </w:numPr>
        <w:spacing w:after="80"/>
      </w:pPr>
      <w:r>
        <w:rPr>
          <w:rFonts w:ascii="Arial" w:cs="Arial" w:eastAsia="Arial" w:hAnsi="Arial"/>
          <w:sz w:val="22"/>
          <w:szCs w:val="22"/>
        </w:rPr>
        <w:t xml:space="preserve">SANS Institute (2025). Detection and Response Survey.</w:t>
      </w:r>
    </w:p>
    <w:p>
      <w:pPr>
        <w:pStyle w:val="ListParagraph"/>
        <w:numPr>
          <w:ilvl w:val="0"/>
          <w:numId w:val="2"/>
        </w:numPr>
        <w:spacing w:after="80"/>
      </w:pPr>
      <w:r>
        <w:rPr>
          <w:rFonts w:ascii="Arial" w:cs="Arial" w:eastAsia="Arial" w:hAnsi="Arial"/>
          <w:sz w:val="22"/>
          <w:szCs w:val="22"/>
        </w:rPr>
        <w:t xml:space="preserve">Verizon (2025). Data Breach Investigations Report (DBIR).</w:t>
      </w:r>
    </w:p>
    <w:p>
      <w:pPr>
        <w:spacing w:after="200"/>
      </w:pPr>
      <w:r>
        <w:t xml:space="preserve"/>
      </w:r>
    </w:p>
    <w:p>
      <w:r>
        <w:rPr>
          <w:rFonts w:ascii="Arial" w:cs="Arial" w:eastAsia="Arial" w:hAnsi="Arial"/>
          <w:i/>
          <w:iCs/>
          <w:color w:val="AAAAAA"/>
          <w:sz w:val="18"/>
          <w:szCs w:val="18"/>
        </w:rPr>
        <w:t xml:space="preserve">Standard D-SIG v0.5 · Domaine public CC0 · Mars 2026 · Implémentation de référence : NetPulse v1.7+ · github.com/dsig-standard</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Standard D-SIG v0.5 · Domaine public CC0 · </w:t>
    </w:r>
    <w:fldSimple w:instr="PAGE"/>
    <w:r>
      <w:rPr>
        <w:rFonts w:ascii="Arial" w:cs="Arial" w:eastAsia="Arial" w:hAnsi="Arial"/>
        <w:color w:val="888888"/>
        <w:sz w:val="18"/>
        <w:szCs w:val="18"/>
      </w:rPr>
      <w:t xml:space="preserve"> / </w:t>
    </w:r>
    <w:fldSimple w:instr="NUM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2026-03-23T10:48:12.318Z</dcterms:created>
  <dcterms:modified xsi:type="dcterms:W3CDTF">2026-03-23T10:48:12.319Z</dcterms:modified>
</cp:coreProperties>
</file>

<file path=docProps/custom.xml><?xml version="1.0" encoding="utf-8"?>
<Properties xmlns="http://schemas.openxmlformats.org/officeDocument/2006/custom-properties" xmlns:vt="http://schemas.openxmlformats.org/officeDocument/2006/docPropsVTypes"/>
</file>