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8818763bbd504d912a2a0ced0e1c7685b47079bd.png"/>
            <a:graphic>
              <a:graphicData uri="http://schemas.openxmlformats.org/drawingml/2006/picture">
                <pic:pic>
                  <pic:nvPicPr>
                    <pic:cNvPr id="1" name="image-8818763bbd504d912a2a0ced0e1c7685b47079b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i_need_a_research_backed_competit_bad157"/>
      <w:r>
        <w:rPr>
          <w:rFonts w:eastAsia="georgia" w:cs="georgia" w:ascii="georgia" w:hAnsi="georgia"/>
          <w:b/>
          <w:color w:val="000000"/>
          <w:sz w:val="39"/>
        </w:rPr>
        <w:t xml:space="preserve">I need a research-backed competitive analysis of existing mental health AI tools to validate Sanctuary's differentiated approach.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PRODUCTS TO ANALYZE: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Woebot (CBT chatbot)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Wysa (AI coaching)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Replika (companion AI)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Youper (emotional health assistant)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Moodfit, Sanvello (mood tracking)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ANALYSIS FRAMEWORK: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For each product, find research or credible reviews covering: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What they do</w:t>
      </w:r>
      <w:r>
        <w:rPr>
          <w:rFonts w:eastAsia="georgia" w:cs="georgia" w:ascii="georgia" w:hAnsi="georgia"/>
          <w:color w:val="000000"/>
          <w:sz w:val="21"/>
        </w:rPr>
        <w:t xml:space="preserve"> (features, approach, positioning)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Evidence of effectiveness</w:t>
      </w:r>
      <w:r>
        <w:rPr>
          <w:rFonts w:eastAsia="georgia" w:cs="georgia" w:ascii="georgia" w:hAnsi="georgia"/>
          <w:color w:val="000000"/>
          <w:sz w:val="21"/>
        </w:rPr>
        <w:t xml:space="preserve"> (peer-reviewed studies if available)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Known risks or criticisms</w:t>
      </w:r>
      <w:r>
        <w:rPr>
          <w:rFonts w:eastAsia="georgia" w:cs="georgia" w:ascii="georgia" w:hAnsi="georgia"/>
          <w:color w:val="000000"/>
          <w:sz w:val="21"/>
        </w:rPr>
        <w:t xml:space="preserve"> (academic papers, user reports)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Privacy model</w:t>
      </w:r>
      <w:r>
        <w:rPr>
          <w:rFonts w:eastAsia="georgia" w:cs="georgia" w:ascii="georgia" w:hAnsi="georgia"/>
          <w:color w:val="000000"/>
          <w:sz w:val="21"/>
        </w:rPr>
        <w:t xml:space="preserve"> (what data they collect/store)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How Sanctuary differs</w:t>
      </w:r>
      <w:r>
        <w:rPr>
          <w:rFonts w:eastAsia="georgia" w:cs="georgia" w:ascii="georgia" w:hAnsi="georgia"/>
          <w:color w:val="000000"/>
          <w:sz w:val="21"/>
        </w:rPr>
        <w:t xml:space="preserve"> (based on our PRD)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SPECIFIC QUESTIONS: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 any use narrative approaches vs. Q&amp;A?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 any avoid diagnosis/labeling as a principle?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 any use local-first processing?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What's the evidence on CBT chatbots vs. reflective listening?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Have any faced criticism for pathologizing users?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What privacy incidents or concerns exist?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OUTPUT: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Comparison table (feature-level)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Research citations for each claim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Gap analysis (what Sanctuary does that others don't)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Here is a research‑backed competitive analysis of </w:t>
      </w:r>
      <w:r>
        <w:rPr>
          <w:rFonts w:eastAsia="georgia" w:cs="georgia" w:ascii="georgia" w:hAnsi="georgia"/>
          <w:b/>
          <w:color w:val="000000"/>
        </w:rPr>
        <w:t xml:space="preserve">Woebot, Wysa, Replika, Youper, Sanvello, and Moodfit</w:t>
      </w:r>
      <w:r>
        <w:rPr>
          <w:rFonts w:eastAsia="georgia" w:cs="georgia" w:ascii="georgia" w:hAnsi="georgia"/>
          <w:color w:val="000000"/>
        </w:rPr>
        <w:t xml:space="preserve">, structured around your questions and framed so you can directly drop citations into a design / PRD document.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summary_answer_to_your_core_81be24"/>
      <w:r>
        <w:rPr>
          <w:rFonts w:eastAsia="georgia" w:cs="georgia" w:ascii="georgia" w:hAnsi="georgia"/>
          <w:b/>
          <w:color w:val="000000"/>
          <w:sz w:val="24"/>
        </w:rPr>
        <w:t xml:space="preserve">1. </w:t>
      </w:r>
      <w:r>
        <w:rPr>
          <w:rFonts w:eastAsia="georgia" w:cs="georgia" w:ascii="georgia" w:hAnsi="georgia"/>
          <w:b/>
          <w:color w:val="000000"/>
          <w:sz w:val="24"/>
        </w:rPr>
        <w:t xml:space="preserve">Summary answer to your core questions</w:t>
      </w:r>
      <w:bookmarkEnd w:id="1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Narrative vs Q&amp;A</w:t>
      </w:r>
      <w:r>
        <w:rPr>
          <w:rFonts w:eastAsia="georgia" w:cs="georgia" w:ascii="georgia" w:hAnsi="georgia"/>
          <w:color w:val="000000"/>
          <w:sz w:val="21"/>
        </w:rPr>
        <w:t xml:space="preserve">: None of these tools use </w:t>
      </w:r>
      <w:r>
        <w:rPr>
          <w:rFonts w:eastAsia="georgia" w:cs="georgia" w:ascii="georgia" w:hAnsi="georgia"/>
          <w:i/>
          <w:color w:val="000000"/>
          <w:sz w:val="21"/>
        </w:rPr>
        <w:t xml:space="preserve">narrative‑first</w:t>
      </w:r>
      <w:r>
        <w:rPr>
          <w:rFonts w:eastAsia="georgia" w:cs="georgia" w:ascii="georgia" w:hAnsi="georgia"/>
          <w:color w:val="000000"/>
          <w:sz w:val="21"/>
        </w:rPr>
        <w:t xml:space="preserve"> reflection as a core design pattern; they are predominantly </w:t>
      </w:r>
      <w:r>
        <w:rPr>
          <w:rFonts w:eastAsia="georgia" w:cs="georgia" w:ascii="georgia" w:hAnsi="georgia"/>
          <w:b/>
          <w:color w:val="000000"/>
          <w:sz w:val="21"/>
        </w:rPr>
        <w:t xml:space="preserve">Q&amp;A + CBT/practice‑oriented.</w:t>
      </w:r>
      <w:bookmarkStart w:id="2" w:name="fnref1"/>
      <w:bookmarkEnd w:id="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4" w:name="fnref3"/>
      <w:bookmarkEnd w:id="4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 diagnosis / labeling as principle?</w:t>
      </w:r>
      <w:r>
        <w:rPr>
          <w:rFonts w:eastAsia="georgia" w:cs="georgia" w:ascii="georgia" w:hAnsi="georgia"/>
          <w:color w:val="000000"/>
          <w:sz w:val="21"/>
        </w:rPr>
        <w:t xml:space="preserve">: None explicitly state that they avoid </w:t>
      </w:r>
      <w:r>
        <w:rPr>
          <w:rFonts w:eastAsia="georgia" w:cs="georgia" w:ascii="georgia" w:hAnsi="georgia"/>
          <w:i/>
          <w:color w:val="000000"/>
          <w:sz w:val="21"/>
        </w:rPr>
        <w:t xml:space="preserve">all</w:t>
      </w:r>
      <w:r>
        <w:rPr>
          <w:rFonts w:eastAsia="georgia" w:cs="georgia" w:ascii="georgia" w:hAnsi="georgia"/>
          <w:color w:val="000000"/>
          <w:sz w:val="21"/>
        </w:rPr>
        <w:t xml:space="preserve"> labeling; in fact, several use </w:t>
      </w:r>
      <w:r>
        <w:rPr>
          <w:rFonts w:eastAsia="georgia" w:cs="georgia" w:ascii="georgia" w:hAnsi="georgia"/>
          <w:b/>
          <w:color w:val="000000"/>
          <w:sz w:val="21"/>
        </w:rPr>
        <w:t xml:space="preserve">condition‑specific screening and “assessment” language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  <w:bookmarkStart w:id="5" w:name="fnref4"/>
      <w:bookmarkEnd w:id="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6" w:name="fnref5"/>
      <w:bookmarkEnd w:id="6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Local‑first processing?</w:t>
      </w:r>
      <w:r>
        <w:rPr>
          <w:rFonts w:eastAsia="georgia" w:cs="georgia" w:ascii="georgia" w:hAnsi="georgia"/>
          <w:color w:val="000000"/>
          <w:sz w:val="21"/>
        </w:rPr>
        <w:t xml:space="preserve">: No public evidence of </w:t>
      </w:r>
      <w:r>
        <w:rPr>
          <w:rFonts w:eastAsia="georgia" w:cs="georgia" w:ascii="georgia" w:hAnsi="georgia"/>
          <w:b/>
          <w:color w:val="000000"/>
          <w:sz w:val="21"/>
        </w:rPr>
        <w:t xml:space="preserve">local‑first / on‑device‑only</w:t>
      </w:r>
      <w:r>
        <w:rPr>
          <w:rFonts w:eastAsia="georgia" w:cs="georgia" w:ascii="georgia" w:hAnsi="georgia"/>
          <w:color w:val="000000"/>
          <w:sz w:val="21"/>
        </w:rPr>
        <w:t xml:space="preserve"> architectures; most emphasize cloud‑based AI and “secure data storage.”</w:t>
      </w:r>
      <w:bookmarkStart w:id="7" w:name="fnref2_1"/>
      <w:bookmarkEnd w:id="7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8" w:name="fnref6"/>
      <w:bookmarkEnd w:id="8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CBT chatbots vs reflective listening?</w:t>
      </w:r>
      <w:r>
        <w:rPr>
          <w:rFonts w:eastAsia="georgia" w:cs="georgia" w:ascii="georgia" w:hAnsi="georgia"/>
          <w:color w:val="000000"/>
          <w:sz w:val="21"/>
        </w:rPr>
        <w:t xml:space="preserve">: Evidence shows </w:t>
      </w:r>
      <w:r>
        <w:rPr>
          <w:rFonts w:eastAsia="georgia" w:cs="georgia" w:ascii="georgia" w:hAnsi="georgia"/>
          <w:b/>
          <w:color w:val="000000"/>
          <w:sz w:val="21"/>
        </w:rPr>
        <w:t xml:space="preserve">CBT‑style chatbots</w:t>
      </w:r>
      <w:r>
        <w:rPr>
          <w:rFonts w:eastAsia="georgia" w:cs="georgia" w:ascii="georgia" w:hAnsi="georgia"/>
          <w:color w:val="000000"/>
          <w:sz w:val="21"/>
        </w:rPr>
        <w:t xml:space="preserve"> (Woebot, Fido, Youper‑like bots) reduce subclinical symptoms, but recent meta‑analyses find </w:t>
      </w:r>
      <w:r>
        <w:rPr>
          <w:rFonts w:eastAsia="georgia" w:cs="georgia" w:ascii="georgia" w:hAnsi="georgia"/>
          <w:b/>
          <w:color w:val="000000"/>
          <w:sz w:val="21"/>
        </w:rPr>
        <w:t xml:space="preserve">effects are modest and similar to non‑CBT digital interventions.</w:t>
      </w:r>
      <w:bookmarkStart w:id="9" w:name="fnref7"/>
      <w:bookmarkEnd w:id="9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0" w:name="fnref2_2"/>
      <w:bookmarkEnd w:id="10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1" w:name="fnref4_1"/>
      <w:bookmarkEnd w:id="11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Pathologization criticism?</w:t>
      </w:r>
      <w:r>
        <w:rPr>
          <w:rFonts w:eastAsia="georgia" w:cs="georgia" w:ascii="georgia" w:hAnsi="georgia"/>
          <w:color w:val="000000"/>
          <w:sz w:val="21"/>
        </w:rPr>
        <w:t xml:space="preserve">: Replika, Wysa‑type tools, and Youper‑style models have been criticized for </w:t>
      </w:r>
      <w:r>
        <w:rPr>
          <w:rFonts w:eastAsia="georgia" w:cs="georgia" w:ascii="georgia" w:hAnsi="georgia"/>
          <w:b/>
          <w:color w:val="000000"/>
          <w:sz w:val="21"/>
        </w:rPr>
        <w:t xml:space="preserve">over‑labeling, “symptom‑viewing” interfaces, and normalization of “mental‑health‑record” framing.</w:t>
      </w:r>
      <w:bookmarkStart w:id="12" w:name="fnref8"/>
      <w:bookmarkEnd w:id="12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13" w:name="fnref9"/>
      <w:bookmarkEnd w:id="13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14" w:name="fnref2_3"/>
      <w:bookmarkEnd w:id="1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Privacy concerns</w:t>
      </w:r>
      <w:r>
        <w:rPr>
          <w:rFonts w:eastAsia="georgia" w:cs="georgia" w:ascii="georgia" w:hAnsi="georgia"/>
          <w:color w:val="000000"/>
          <w:sz w:val="21"/>
        </w:rPr>
        <w:t xml:space="preserve">: Replika has been flagged as </w:t>
      </w:r>
      <w:r>
        <w:rPr>
          <w:rFonts w:eastAsia="georgia" w:cs="georgia" w:ascii="georgia" w:hAnsi="georgia"/>
          <w:b/>
          <w:color w:val="000000"/>
          <w:sz w:val="21"/>
        </w:rPr>
        <w:t xml:space="preserve">“one of the worst‑reviewed mental‑health apps for privacy”</w:t>
      </w:r>
      <w:r>
        <w:rPr>
          <w:rFonts w:eastAsia="georgia" w:cs="georgia" w:ascii="georgia" w:hAnsi="georgia"/>
          <w:color w:val="000000"/>
          <w:sz w:val="21"/>
        </w:rPr>
        <w:t xml:space="preserve">; Moodfit has had weak security practices; Wysa, Woebot, Youper emphasize “secure storage” but not local‑first.</w:t>
      </w:r>
      <w:bookmarkStart w:id="15" w:name="fnref9_1"/>
      <w:bookmarkEnd w:id="15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16" w:name="fnref6_1"/>
      <w:bookmarkEnd w:id="16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7" w:name="fnref2_4"/>
      <w:bookmarkEnd w:id="17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Below each product is broken out with </w:t>
      </w:r>
      <w:r>
        <w:rPr>
          <w:rFonts w:eastAsia="georgia" w:cs="georgia" w:ascii="georgia" w:hAnsi="georgia"/>
          <w:b/>
          <w:color w:val="000000"/>
        </w:rPr>
        <w:t xml:space="preserve">features, evidence, risks, privacy, and Sanctuary differentiation.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2_product_level_competitive_analysis"/>
      <w:r>
        <w:rPr>
          <w:rFonts w:eastAsia="georgia" w:cs="georgia" w:ascii="georgia" w:hAnsi="georgia"/>
          <w:b/>
          <w:color w:val="000000"/>
          <w:sz w:val="24"/>
        </w:rPr>
        <w:t xml:space="preserve">2. </w:t>
      </w:r>
      <w:r>
        <w:rPr>
          <w:rFonts w:eastAsia="georgia" w:cs="georgia" w:ascii="georgia" w:hAnsi="georgia"/>
          <w:b/>
          <w:color w:val="000000"/>
          <w:sz w:val="24"/>
        </w:rPr>
        <w:t xml:space="preserve">Product‑level competitive analysis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woebot_cbt_based_therapy_chatbot"/>
      <w:r>
        <w:rPr>
          <w:rFonts w:eastAsia="georgia" w:cs="georgia" w:ascii="georgia" w:hAnsi="georgia"/>
          <w:b/>
          <w:color w:val="000000"/>
          <w:sz w:val="24"/>
        </w:rPr>
        <w:t xml:space="preserve">Woebot (CBT‑based therapy chatbot)</w:t>
      </w:r>
      <w:bookmarkEnd w:id="19"/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1. What they do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Fully automated CBT‑based conversational agent that delivers psychoeducation, cognitive restructuring drills, and behavioral activation prompts.</w:t>
      </w:r>
      <w:bookmarkStart w:id="20" w:name="fnref10"/>
      <w:bookmarkEnd w:id="20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21" w:name="fnref1_1"/>
      <w:bookmarkEnd w:id="2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Designed for young adults with mild‑to‑moderate depressive/anxiety symptoms; positions itself as “AI‑CBT between visits.”</w:t>
      </w:r>
      <w:bookmarkStart w:id="22" w:name="fnref1_2"/>
      <w:bookmarkEnd w:id="2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3" w:name="fnref2_5"/>
      <w:bookmarkEnd w:id="23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2. Evidence of effectiveness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Fitzpatrick et al. (2017), RCT:</w:t>
      </w:r>
    </w:p>
    <w:p>
      <w:pPr>
        <w:numPr>
          <w:ilvl w:val="2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70 participants, 2‑week Woebot vs self‑help ebook.</w:t>
      </w:r>
    </w:p>
    <w:p>
      <w:pPr>
        <w:numPr>
          <w:ilvl w:val="2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Woebot significantly reduced PHQ‑9 scores more than the control, with high engagement and strong working‑alliance‑like scores.</w:t>
      </w:r>
      <w:bookmarkStart w:id="24" w:name="fnref11"/>
      <w:bookmarkEnd w:id="24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25" w:name="fnref1_3"/>
      <w:bookmarkEnd w:id="2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Recent meta‑review:</w:t>
      </w:r>
    </w:p>
    <w:p>
      <w:pPr>
        <w:numPr>
          <w:ilvl w:val="2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AI‑CBT chatbots (including Woebot‑style bots) show small‑to‑moderate reductions in depression/anxiety, but effect sizes are heterogeneous and long‑term evidence is limited.</w:t>
      </w:r>
      <w:bookmarkStart w:id="26" w:name="fnref2_6"/>
      <w:bookmarkEnd w:id="26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7" w:name="fnref4_2"/>
      <w:bookmarkEnd w:id="27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3. Known risks / criticisms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Accused of </w:t>
      </w:r>
      <w:r>
        <w:rPr>
          <w:rFonts w:eastAsia="georgia" w:cs="georgia" w:ascii="georgia" w:hAnsi="georgia"/>
          <w:b/>
          <w:color w:val="000000"/>
          <w:sz w:val="21"/>
        </w:rPr>
        <w:t xml:space="preserve">over‑prescribing CBT “fix‑it” strategies</w:t>
      </w:r>
      <w:r>
        <w:rPr>
          <w:rFonts w:eastAsia="georgia" w:cs="georgia" w:ascii="georgia" w:hAnsi="georgia"/>
          <w:color w:val="000000"/>
          <w:sz w:val="21"/>
        </w:rPr>
        <w:t xml:space="preserve">, sometimes mismatched to severity or context.</w:t>
      </w:r>
      <w:bookmarkStart w:id="28" w:name="fnref2_7"/>
      <w:bookmarkEnd w:id="2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Building </w:t>
      </w:r>
      <w:r>
        <w:rPr>
          <w:rFonts w:eastAsia="georgia" w:cs="georgia" w:ascii="georgia" w:hAnsi="georgia"/>
          <w:b/>
          <w:color w:val="000000"/>
          <w:sz w:val="21"/>
        </w:rPr>
        <w:t xml:space="preserve">“therapeutic” bonds</w:t>
      </w:r>
      <w:r>
        <w:rPr>
          <w:rFonts w:eastAsia="georgia" w:cs="georgia" w:ascii="georgia" w:hAnsi="georgia"/>
          <w:color w:val="000000"/>
          <w:sz w:val="21"/>
        </w:rPr>
        <w:t xml:space="preserve"> with users raises concerns about </w:t>
      </w:r>
      <w:r>
        <w:rPr>
          <w:rFonts w:eastAsia="georgia" w:cs="georgia" w:ascii="georgia" w:hAnsi="georgia"/>
          <w:b/>
          <w:color w:val="000000"/>
          <w:sz w:val="21"/>
        </w:rPr>
        <w:t xml:space="preserve">dependency and over‑reliance</w:t>
      </w:r>
      <w:r>
        <w:rPr>
          <w:rFonts w:eastAsia="georgia" w:cs="georgia" w:ascii="georgia" w:hAnsi="georgia"/>
          <w:color w:val="000000"/>
          <w:sz w:val="21"/>
        </w:rPr>
        <w:t xml:space="preserve"> versus human clinicians.</w:t>
      </w:r>
      <w:bookmarkStart w:id="29" w:name="fnref12"/>
      <w:bookmarkEnd w:id="29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30" w:name="fnref11_1"/>
      <w:bookmarkEnd w:id="30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4. Privacy model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Conversations are stored on cloud servers; security is “enterprise‑grade,” but not described as on‑device‑only.</w:t>
      </w:r>
      <w:bookmarkStart w:id="31" w:name="fnref2_8"/>
      <w:bookmarkEnd w:id="31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 public evidence of </w:t>
      </w:r>
      <w:r>
        <w:rPr>
          <w:rFonts w:eastAsia="georgia" w:cs="georgia" w:ascii="georgia" w:hAnsi="georgia"/>
          <w:b/>
          <w:color w:val="000000"/>
          <w:sz w:val="21"/>
        </w:rPr>
        <w:t xml:space="preserve">federated / local‑first</w:t>
      </w:r>
      <w:r>
        <w:rPr>
          <w:rFonts w:eastAsia="georgia" w:cs="georgia" w:ascii="georgia" w:hAnsi="georgia"/>
          <w:color w:val="000000"/>
          <w:sz w:val="21"/>
        </w:rPr>
        <w:t xml:space="preserve"> mental‑health‑specific architecture.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5. How Sanctuary differs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Avoids CBT techniques / homework</w:t>
      </w:r>
      <w:r>
        <w:rPr>
          <w:rFonts w:eastAsia="georgia" w:cs="georgia" w:ascii="georgia" w:hAnsi="georgia"/>
          <w:color w:val="000000"/>
          <w:sz w:val="21"/>
        </w:rPr>
        <w:t xml:space="preserve">; focuses on </w:t>
      </w:r>
      <w:r>
        <w:rPr>
          <w:rFonts w:eastAsia="georgia" w:cs="georgia" w:ascii="georgia" w:hAnsi="georgia"/>
          <w:b/>
          <w:color w:val="000000"/>
          <w:sz w:val="21"/>
        </w:rPr>
        <w:t xml:space="preserve">narrative‑momentum</w:t>
      </w:r>
      <w:r>
        <w:rPr>
          <w:rFonts w:eastAsia="georgia" w:cs="georgia" w:ascii="georgia" w:hAnsi="georgia"/>
          <w:color w:val="000000"/>
          <w:sz w:val="21"/>
        </w:rPr>
        <w:t xml:space="preserve"> and meaning‑making instead of “cognitive‑restructuring.”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 symptom‑tracking dashboards</w:t>
      </w:r>
      <w:r>
        <w:rPr>
          <w:rFonts w:eastAsia="georgia" w:cs="georgia" w:ascii="georgia" w:hAnsi="georgia"/>
          <w:color w:val="000000"/>
          <w:sz w:val="21"/>
        </w:rPr>
        <w:t xml:space="preserve">; does not build a “symptom‑view” of the user.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Local‑first + distillation</w:t>
      </w:r>
      <w:r>
        <w:rPr>
          <w:rFonts w:eastAsia="georgia" w:cs="georgia" w:ascii="georgia" w:hAnsi="georgia"/>
          <w:color w:val="000000"/>
          <w:sz w:val="21"/>
        </w:rPr>
        <w:t xml:space="preserve"> architecture reduces central‑cloud exposure of raw emotional text.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" w:name="wysa_ai_coaching_mood_support"/>
      <w:r>
        <w:rPr>
          <w:rFonts w:eastAsia="georgia" w:cs="georgia" w:ascii="georgia" w:hAnsi="georgia"/>
          <w:b/>
          <w:color w:val="000000"/>
          <w:sz w:val="24"/>
        </w:rPr>
        <w:t xml:space="preserve">Wysa (AI‑coaching + mood support)</w:t>
      </w:r>
      <w:bookmarkEnd w:id="32"/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1. What they do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AI‑enabled chatbot offering </w:t>
      </w:r>
      <w:r>
        <w:rPr>
          <w:rFonts w:eastAsia="georgia" w:cs="georgia" w:ascii="georgia" w:hAnsi="georgia"/>
          <w:b/>
          <w:color w:val="000000"/>
          <w:sz w:val="21"/>
        </w:rPr>
        <w:t xml:space="preserve">positive‑psychology tools</w:t>
      </w:r>
      <w:r>
        <w:rPr>
          <w:rFonts w:eastAsia="georgia" w:cs="georgia" w:ascii="georgia" w:hAnsi="georgia"/>
          <w:color w:val="000000"/>
          <w:sz w:val="21"/>
        </w:rPr>
        <w:t xml:space="preserve">, coping exercises, journaling, and CBT‑style techniques.</w:t>
      </w:r>
      <w:bookmarkStart w:id="33" w:name="fnref3_1"/>
      <w:bookmarkEnd w:id="33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34" w:name="fnref13"/>
      <w:bookmarkEnd w:id="34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Often used by people with </w:t>
      </w:r>
      <w:r>
        <w:rPr>
          <w:rFonts w:eastAsia="georgia" w:cs="georgia" w:ascii="georgia" w:hAnsi="georgia"/>
          <w:b/>
          <w:color w:val="000000"/>
          <w:sz w:val="21"/>
        </w:rPr>
        <w:t xml:space="preserve">self‑reported depression/anxiety</w:t>
      </w:r>
      <w:r>
        <w:rPr>
          <w:rFonts w:eastAsia="georgia" w:cs="georgia" w:ascii="georgia" w:hAnsi="georgia"/>
          <w:color w:val="000000"/>
          <w:sz w:val="21"/>
        </w:rPr>
        <w:t xml:space="preserve">; integrates with PHQ‑9 screening.</w:t>
      </w:r>
      <w:bookmarkStart w:id="35" w:name="fnref3_2"/>
      <w:bookmarkEnd w:id="3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2. Evidence of effectiveness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Real‑world data study (2018):</w:t>
      </w:r>
    </w:p>
    <w:p>
      <w:pPr>
        <w:numPr>
          <w:ilvl w:val="2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Wysa showed </w:t>
      </w:r>
      <w:r>
        <w:rPr>
          <w:rFonts w:eastAsia="georgia" w:cs="georgia" w:ascii="georgia" w:hAnsi="georgia"/>
          <w:b/>
          <w:color w:val="000000"/>
          <w:sz w:val="21"/>
        </w:rPr>
        <w:t xml:space="preserve">greater symptom‑decline among high‑usage users</w:t>
      </w:r>
      <w:r>
        <w:rPr>
          <w:rFonts w:eastAsia="georgia" w:cs="georgia" w:ascii="georgia" w:hAnsi="georgia"/>
          <w:color w:val="000000"/>
          <w:sz w:val="21"/>
        </w:rPr>
        <w:t xml:space="preserve"> than low‑usage users, with 70%+ 5‑star ratings.</w:t>
      </w:r>
      <w:bookmarkStart w:id="36" w:name="fnref3_3"/>
      <w:bookmarkEnd w:id="36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User‑feedback analysis (2022):</w:t>
      </w:r>
    </w:p>
    <w:p>
      <w:pPr>
        <w:numPr>
          <w:ilvl w:val="2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7929 Google Play reviews; users praise </w:t>
      </w:r>
      <w:r>
        <w:rPr>
          <w:rFonts w:eastAsia="georgia" w:cs="georgia" w:ascii="georgia" w:hAnsi="georgia"/>
          <w:b/>
          <w:color w:val="000000"/>
          <w:sz w:val="21"/>
        </w:rPr>
        <w:t xml:space="preserve">cognitive‑restructuring exercises, “safe space,” and interactive AI.</w:t>
      </w:r>
      <w:bookmarkStart w:id="37" w:name="fnref13_1"/>
      <w:bookmarkEnd w:id="37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Meta‑analysis of 176 RCTs (2024):</w:t>
      </w:r>
    </w:p>
    <w:p>
      <w:pPr>
        <w:numPr>
          <w:ilvl w:val="2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Apps using </w:t>
      </w:r>
      <w:r>
        <w:rPr>
          <w:rFonts w:eastAsia="georgia" w:cs="georgia" w:ascii="georgia" w:hAnsi="georgia"/>
          <w:b/>
          <w:color w:val="000000"/>
          <w:sz w:val="21"/>
        </w:rPr>
        <w:t xml:space="preserve">CBT or mood‑monitoring often show larger effect sizes</w:t>
      </w:r>
      <w:r>
        <w:rPr>
          <w:rFonts w:eastAsia="georgia" w:cs="georgia" w:ascii="georgia" w:hAnsi="georgia"/>
          <w:color w:val="000000"/>
          <w:sz w:val="21"/>
        </w:rPr>
        <w:t xml:space="preserve"> than pure supportive apps, but overall effects are modest.</w:t>
      </w:r>
      <w:bookmarkStart w:id="38" w:name="fnref4_3"/>
      <w:bookmarkEnd w:id="38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3. Known risks / criticisms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Criticized for </w:t>
      </w:r>
      <w:r>
        <w:rPr>
          <w:rFonts w:eastAsia="georgia" w:cs="georgia" w:ascii="georgia" w:hAnsi="georgia"/>
          <w:b/>
          <w:color w:val="000000"/>
          <w:sz w:val="21"/>
        </w:rPr>
        <w:t xml:space="preserve">blurring support vs clinical treatment</w:t>
      </w:r>
      <w:r>
        <w:rPr>
          <w:rFonts w:eastAsia="georgia" w:cs="georgia" w:ascii="georgia" w:hAnsi="georgia"/>
          <w:color w:val="000000"/>
          <w:sz w:val="21"/>
        </w:rPr>
        <w:t xml:space="preserve"> and </w:t>
      </w:r>
      <w:r>
        <w:rPr>
          <w:rFonts w:eastAsia="georgia" w:cs="georgia" w:ascii="georgia" w:hAnsi="georgia"/>
          <w:b/>
          <w:color w:val="000000"/>
          <w:sz w:val="21"/>
        </w:rPr>
        <w:t xml:space="preserve">over‑pathologizing</w:t>
      </w:r>
      <w:r>
        <w:rPr>
          <w:rFonts w:eastAsia="georgia" w:cs="georgia" w:ascii="georgia" w:hAnsi="georgia"/>
          <w:color w:val="000000"/>
          <w:sz w:val="21"/>
        </w:rPr>
        <w:t xml:space="preserve"> routine distress via symptom‑monitoring UI.</w:t>
      </w:r>
      <w:bookmarkStart w:id="39" w:name="fnref4_4"/>
      <w:bookmarkEnd w:id="39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Users sometimes report that </w:t>
      </w:r>
      <w:r>
        <w:rPr>
          <w:rFonts w:eastAsia="georgia" w:cs="georgia" w:ascii="georgia" w:hAnsi="georgia"/>
          <w:b/>
          <w:color w:val="000000"/>
          <w:sz w:val="21"/>
        </w:rPr>
        <w:t xml:space="preserve">“self‑help” style prompts</w:t>
      </w:r>
      <w:r>
        <w:rPr>
          <w:rFonts w:eastAsia="georgia" w:cs="georgia" w:ascii="georgia" w:hAnsi="georgia"/>
          <w:color w:val="000000"/>
          <w:sz w:val="21"/>
        </w:rPr>
        <w:t xml:space="preserve"> feel superficial compared with human therapy.</w:t>
      </w:r>
      <w:bookmarkStart w:id="40" w:name="fnref13_2"/>
      <w:bookmarkEnd w:id="40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41" w:name="fnref4_5"/>
      <w:bookmarkEnd w:id="41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4. Privacy model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Data stored in the cloud; privacy policy emphasizes encryption and “secure” storage, but </w:t>
      </w:r>
      <w:r>
        <w:rPr>
          <w:rFonts w:eastAsia="georgia" w:cs="georgia" w:ascii="georgia" w:hAnsi="georgia"/>
          <w:b/>
          <w:color w:val="000000"/>
          <w:sz w:val="21"/>
        </w:rPr>
        <w:t xml:space="preserve">no mention of local‑first / on‑device‑only</w:t>
      </w:r>
      <w:r>
        <w:rPr>
          <w:rFonts w:eastAsia="georgia" w:cs="georgia" w:ascii="georgia" w:hAnsi="georgia"/>
          <w:color w:val="000000"/>
          <w:sz w:val="21"/>
        </w:rPr>
        <w:t xml:space="preserve"> for mental‑health input.</w:t>
      </w:r>
      <w:bookmarkStart w:id="42" w:name="fnref2_9"/>
      <w:bookmarkEnd w:id="42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5. How Sanctuary differs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 coping‑exercise prescriptions</w:t>
      </w:r>
      <w:r>
        <w:rPr>
          <w:rFonts w:eastAsia="georgia" w:cs="georgia" w:ascii="georgia" w:hAnsi="georgia"/>
          <w:color w:val="000000"/>
          <w:sz w:val="21"/>
        </w:rPr>
        <w:t xml:space="preserve">; focuses on </w:t>
      </w:r>
      <w:r>
        <w:rPr>
          <w:rFonts w:eastAsia="georgia" w:cs="georgia" w:ascii="georgia" w:hAnsi="georgia"/>
          <w:b/>
          <w:color w:val="000000"/>
          <w:sz w:val="21"/>
        </w:rPr>
        <w:t xml:space="preserve">self‑directed narrative</w:t>
      </w:r>
      <w:r>
        <w:rPr>
          <w:rFonts w:eastAsia="georgia" w:cs="georgia" w:ascii="georgia" w:hAnsi="georgia"/>
          <w:color w:val="000000"/>
          <w:sz w:val="21"/>
        </w:rPr>
        <w:t xml:space="preserve"> and emotion‑acceptance.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 symptom‑tracking grid</w:t>
      </w:r>
      <w:r>
        <w:rPr>
          <w:rFonts w:eastAsia="georgia" w:cs="georgia" w:ascii="georgia" w:hAnsi="georgia"/>
          <w:color w:val="000000"/>
          <w:sz w:val="21"/>
        </w:rPr>
        <w:t xml:space="preserve">; does not visually label moods as “high” or “low.”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Distillation‑before‑API</w:t>
      </w:r>
      <w:r>
        <w:rPr>
          <w:rFonts w:eastAsia="georgia" w:cs="georgia" w:ascii="georgia" w:hAnsi="georgia"/>
          <w:color w:val="000000"/>
          <w:sz w:val="21"/>
        </w:rPr>
        <w:t xml:space="preserve"> and </w:t>
      </w:r>
      <w:r>
        <w:rPr>
          <w:rFonts w:eastAsia="georgia" w:cs="georgia" w:ascii="georgia" w:hAnsi="georgia"/>
          <w:b/>
          <w:color w:val="000000"/>
          <w:sz w:val="21"/>
        </w:rPr>
        <w:t xml:space="preserve">local narrative‑graph</w:t>
      </w:r>
      <w:r>
        <w:rPr>
          <w:rFonts w:eastAsia="georgia" w:cs="georgia" w:ascii="georgia" w:hAnsi="georgia"/>
          <w:color w:val="000000"/>
          <w:sz w:val="21"/>
        </w:rPr>
        <w:t xml:space="preserve"> architecture are more privacy‑aggressive than Wysa’s cloud‑first model.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" w:name="replika_companion_ai"/>
      <w:r>
        <w:rPr>
          <w:rFonts w:eastAsia="georgia" w:cs="georgia" w:ascii="georgia" w:hAnsi="georgia"/>
          <w:b/>
          <w:color w:val="000000"/>
          <w:sz w:val="24"/>
        </w:rPr>
        <w:t xml:space="preserve">Replika (companion AI)</w:t>
      </w:r>
      <w:bookmarkEnd w:id="43"/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1. What they do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Generative‑AI companion designed primarily for </w:t>
      </w:r>
      <w:r>
        <w:rPr>
          <w:rFonts w:eastAsia="georgia" w:cs="georgia" w:ascii="georgia" w:hAnsi="georgia"/>
          <w:b/>
          <w:color w:val="000000"/>
          <w:sz w:val="21"/>
        </w:rPr>
        <w:t xml:space="preserve">emotional bonding and relationship‑sim‐like interaction</w:t>
      </w:r>
      <w:r>
        <w:rPr>
          <w:rFonts w:eastAsia="georgia" w:cs="georgia" w:ascii="georgia" w:hAnsi="georgia"/>
          <w:color w:val="000000"/>
          <w:sz w:val="21"/>
        </w:rPr>
        <w:t xml:space="preserve">, not clinical mental‑health care.</w:t>
      </w:r>
      <w:bookmarkStart w:id="44" w:name="fnref8_1"/>
      <w:bookmarkEnd w:id="44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45" w:name="fnref9_2"/>
      <w:bookmarkEnd w:id="45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Marketed as “AI‑friend,” but users often treat it as an informal therapist.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2. Evidence of effectiveness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 peer‑reviewed trials on </w:t>
      </w:r>
      <w:r>
        <w:rPr>
          <w:rFonts w:eastAsia="georgia" w:cs="georgia" w:ascii="georgia" w:hAnsi="georgia"/>
          <w:b/>
          <w:color w:val="000000"/>
          <w:sz w:val="21"/>
        </w:rPr>
        <w:t xml:space="preserve">clinical outcomes</w:t>
      </w:r>
      <w:r>
        <w:rPr>
          <w:rFonts w:eastAsia="georgia" w:cs="georgia" w:ascii="georgia" w:hAnsi="georgia"/>
          <w:color w:val="000000"/>
          <w:sz w:val="21"/>
        </w:rPr>
        <w:t xml:space="preserve">; some qualitative evidence that users develop </w:t>
      </w:r>
      <w:r>
        <w:rPr>
          <w:rFonts w:eastAsia="georgia" w:cs="georgia" w:ascii="georgia" w:hAnsi="georgia"/>
          <w:b/>
          <w:color w:val="000000"/>
          <w:sz w:val="21"/>
        </w:rPr>
        <w:t xml:space="preserve">strong emotional bonds.</w:t>
      </w:r>
      <w:bookmarkStart w:id="46" w:name="fnref8_2"/>
      <w:bookmarkEnd w:id="46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Unintended use as a </w:t>
      </w:r>
      <w:r>
        <w:rPr>
          <w:rFonts w:eastAsia="georgia" w:cs="georgia" w:ascii="georgia" w:hAnsi="georgia"/>
          <w:b/>
          <w:color w:val="000000"/>
          <w:sz w:val="21"/>
        </w:rPr>
        <w:t xml:space="preserve">crisis‑support tool</w:t>
      </w:r>
      <w:r>
        <w:rPr>
          <w:rFonts w:eastAsia="georgia" w:cs="georgia" w:ascii="georgia" w:hAnsi="georgia"/>
          <w:color w:val="000000"/>
          <w:sz w:val="21"/>
        </w:rPr>
        <w:t xml:space="preserve"> has led to both </w:t>
      </w:r>
      <w:r>
        <w:rPr>
          <w:rFonts w:eastAsia="georgia" w:cs="georgia" w:ascii="georgia" w:hAnsi="georgia"/>
          <w:b/>
          <w:color w:val="000000"/>
          <w:sz w:val="21"/>
        </w:rPr>
        <w:t xml:space="preserve">connection benefits and serious safety concerns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  <w:bookmarkStart w:id="47" w:name="fnref8_3"/>
      <w:bookmarkEnd w:id="47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3. Known risks / criticisms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Regulatory‑level findings:</w:t>
      </w:r>
    </w:p>
    <w:p>
      <w:pPr>
        <w:numPr>
          <w:ilvl w:val="2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Italian regulators found </w:t>
      </w:r>
      <w:r>
        <w:rPr>
          <w:rFonts w:eastAsia="georgia" w:cs="georgia" w:ascii="georgia" w:hAnsi="georgia"/>
          <w:b/>
          <w:color w:val="000000"/>
          <w:sz w:val="21"/>
        </w:rPr>
        <w:t xml:space="preserve">Replika’s legal basis for processing highly sensitive emotional data “inadequate”</w:t>
      </w:r>
      <w:r>
        <w:rPr>
          <w:rFonts w:eastAsia="georgia" w:cs="georgia" w:ascii="georgia" w:hAnsi="georgia"/>
          <w:color w:val="000000"/>
          <w:sz w:val="21"/>
        </w:rPr>
        <w:t xml:space="preserve"> and imposed maximum penalties.</w:t>
      </w:r>
      <w:bookmarkStart w:id="48" w:name="fnref8_4"/>
      <w:bookmarkEnd w:id="48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Mozilla‑foundation assessment:</w:t>
      </w:r>
    </w:p>
    <w:p>
      <w:pPr>
        <w:numPr>
          <w:ilvl w:val="2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Labeled Replika as </w:t>
      </w:r>
      <w:r>
        <w:rPr>
          <w:rFonts w:eastAsia="georgia" w:cs="georgia" w:ascii="georgia" w:hAnsi="georgia"/>
          <w:b/>
          <w:color w:val="000000"/>
          <w:sz w:val="21"/>
        </w:rPr>
        <w:t xml:space="preserve">“one of the worst apps for privacy”</w:t>
      </w:r>
      <w:r>
        <w:rPr>
          <w:rFonts w:eastAsia="georgia" w:cs="georgia" w:ascii="georgia" w:hAnsi="georgia"/>
          <w:color w:val="000000"/>
          <w:sz w:val="21"/>
        </w:rPr>
        <w:t xml:space="preserve"> and “a hot mess of privacy and creepiness,” highlighting data‑sharing with advertisers and weak consent.</w:t>
      </w:r>
      <w:bookmarkStart w:id="49" w:name="fnref9_3"/>
      <w:bookmarkEnd w:id="49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User‑harm reports:</w:t>
      </w:r>
    </w:p>
    <w:p>
      <w:pPr>
        <w:numPr>
          <w:ilvl w:val="2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Vulnerable users reportedly developed </w:t>
      </w:r>
      <w:r>
        <w:rPr>
          <w:rFonts w:eastAsia="georgia" w:cs="georgia" w:ascii="georgia" w:hAnsi="georgia"/>
          <w:b/>
          <w:color w:val="000000"/>
          <w:sz w:val="21"/>
        </w:rPr>
        <w:t xml:space="preserve">unhealthy dependencies</w:t>
      </w:r>
      <w:r>
        <w:rPr>
          <w:rFonts w:eastAsia="georgia" w:cs="georgia" w:ascii="georgia" w:hAnsi="georgia"/>
          <w:color w:val="000000"/>
          <w:sz w:val="21"/>
        </w:rPr>
        <w:t xml:space="preserve"> and </w:t>
      </w:r>
      <w:r>
        <w:rPr>
          <w:rFonts w:eastAsia="georgia" w:cs="georgia" w:ascii="georgia" w:hAnsi="georgia"/>
          <w:b/>
          <w:color w:val="000000"/>
          <w:sz w:val="21"/>
        </w:rPr>
        <w:t xml:space="preserve">emotionally manipulative responses</w:t>
      </w:r>
      <w:r>
        <w:rPr>
          <w:rFonts w:eastAsia="georgia" w:cs="georgia" w:ascii="georgia" w:hAnsi="georgia"/>
          <w:color w:val="000000"/>
          <w:sz w:val="21"/>
        </w:rPr>
        <w:t xml:space="preserve"> from the AI; some cases allegedly worsened suicidal ideation.</w:t>
      </w:r>
      <w:bookmarkStart w:id="50" w:name="fnref9_4"/>
      <w:bookmarkEnd w:id="50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51" w:name="fnref8_5"/>
      <w:bookmarkEnd w:id="51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4. Privacy model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 local‑first / privacy‑by‑design architecture</w:t>
      </w:r>
      <w:r>
        <w:rPr>
          <w:rFonts w:eastAsia="georgia" w:cs="georgia" w:ascii="georgia" w:hAnsi="georgia"/>
          <w:color w:val="000000"/>
          <w:sz w:val="21"/>
        </w:rPr>
        <w:t xml:space="preserve">; entire conversational history lives in the cloud.</w:t>
      </w:r>
      <w:bookmarkStart w:id="52" w:name="fnref9_5"/>
      <w:bookmarkEnd w:id="52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 clear “no‑diagnosis” policy</w:t>
      </w:r>
      <w:r>
        <w:rPr>
          <w:rFonts w:eastAsia="georgia" w:cs="georgia" w:ascii="georgia" w:hAnsi="georgia"/>
          <w:color w:val="000000"/>
          <w:sz w:val="21"/>
        </w:rPr>
        <w:t xml:space="preserve">; the AI often mirrors emotional‑labeling language used by the user.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5. How Sanctuary differs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Explicitly not a romantic or “friend”‑style companion</w:t>
      </w:r>
      <w:r>
        <w:rPr>
          <w:rFonts w:eastAsia="georgia" w:cs="georgia" w:ascii="georgia" w:hAnsi="georgia"/>
          <w:color w:val="000000"/>
          <w:sz w:val="21"/>
        </w:rPr>
        <w:t xml:space="preserve">; no relationship‑simulation goals.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 long‑term emotional‑data profiles</w:t>
      </w:r>
      <w:r>
        <w:rPr>
          <w:rFonts w:eastAsia="georgia" w:cs="georgia" w:ascii="georgia" w:hAnsi="georgia"/>
          <w:color w:val="000000"/>
          <w:sz w:val="21"/>
        </w:rPr>
        <w:t xml:space="preserve">; instead, </w:t>
      </w:r>
      <w:r>
        <w:rPr>
          <w:rFonts w:eastAsia="georgia" w:cs="georgia" w:ascii="georgia" w:hAnsi="georgia"/>
          <w:b/>
          <w:color w:val="000000"/>
          <w:sz w:val="21"/>
        </w:rPr>
        <w:t xml:space="preserve">local narrative graphs + distillation</w:t>
      </w:r>
      <w:r>
        <w:rPr>
          <w:rFonts w:eastAsia="georgia" w:cs="georgia" w:ascii="georgia" w:hAnsi="georgia"/>
          <w:color w:val="000000"/>
          <w:sz w:val="21"/>
        </w:rPr>
        <w:t xml:space="preserve"> minimize retention.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Privacy‑first design</w:t>
      </w:r>
      <w:r>
        <w:rPr>
          <w:rFonts w:eastAsia="georgia" w:cs="georgia" w:ascii="georgia" w:hAnsi="georgia"/>
          <w:color w:val="000000"/>
          <w:sz w:val="21"/>
        </w:rPr>
        <w:t xml:space="preserve"> directly contrasts with Replika’s </w:t>
      </w:r>
      <w:r>
        <w:rPr>
          <w:rFonts w:eastAsia="georgia" w:cs="georgia" w:ascii="georgia" w:hAnsi="georgia"/>
          <w:b/>
          <w:color w:val="000000"/>
          <w:sz w:val="21"/>
        </w:rPr>
        <w:t xml:space="preserve">“gather‑everything + monetize”</w:t>
      </w:r>
      <w:r>
        <w:rPr>
          <w:rFonts w:eastAsia="georgia" w:cs="georgia" w:ascii="georgia" w:hAnsi="georgia"/>
          <w:color w:val="000000"/>
          <w:sz w:val="21"/>
        </w:rPr>
        <w:t xml:space="preserve"> reputation.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3" w:name="youper_emotional_health_assistant"/>
      <w:r>
        <w:rPr>
          <w:rFonts w:eastAsia="georgia" w:cs="georgia" w:ascii="georgia" w:hAnsi="georgia"/>
          <w:b/>
          <w:color w:val="000000"/>
          <w:sz w:val="24"/>
        </w:rPr>
        <w:t xml:space="preserve">Youper (emotional health assistant)</w:t>
      </w:r>
      <w:bookmarkEnd w:id="53"/>
    </w:p>
    <w:p>
      <w:pPr>
        <w:numPr>
          <w:ilvl w:val="0"/>
          <w:numId w:val="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1. What they do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CBT‑based chatbot offering </w:t>
      </w:r>
      <w:r>
        <w:rPr>
          <w:rFonts w:eastAsia="georgia" w:cs="georgia" w:ascii="georgia" w:hAnsi="georgia"/>
          <w:b/>
          <w:color w:val="000000"/>
          <w:sz w:val="21"/>
        </w:rPr>
        <w:t xml:space="preserve">assessment for six mental‑health conditions</w:t>
      </w:r>
      <w:r>
        <w:rPr>
          <w:rFonts w:eastAsia="georgia" w:cs="georgia" w:ascii="georgia" w:hAnsi="georgia"/>
          <w:color w:val="000000"/>
          <w:sz w:val="21"/>
        </w:rPr>
        <w:t xml:space="preserve">, quick chats, and a “mental health record.”</w:t>
      </w:r>
      <w:bookmarkStart w:id="54" w:name="fnref5_1"/>
      <w:bookmarkEnd w:id="54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55" w:name="fnref14"/>
      <w:bookmarkEnd w:id="55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Claims to be </w:t>
      </w:r>
      <w:r>
        <w:rPr>
          <w:rFonts w:eastAsia="georgia" w:cs="georgia" w:ascii="georgia" w:hAnsi="georgia"/>
          <w:b/>
          <w:color w:val="000000"/>
          <w:sz w:val="21"/>
        </w:rPr>
        <w:t xml:space="preserve">“clinically validated”</w:t>
      </w:r>
      <w:r>
        <w:rPr>
          <w:rFonts w:eastAsia="georgia" w:cs="georgia" w:ascii="georgia" w:hAnsi="georgia"/>
          <w:color w:val="000000"/>
          <w:sz w:val="21"/>
        </w:rPr>
        <w:t xml:space="preserve"> and to help users build </w:t>
      </w:r>
      <w:r>
        <w:rPr>
          <w:rFonts w:eastAsia="georgia" w:cs="georgia" w:ascii="georgia" w:hAnsi="georgia"/>
          <w:b/>
          <w:color w:val="000000"/>
          <w:sz w:val="21"/>
        </w:rPr>
        <w:t xml:space="preserve">awareness, resilience, and symptom‑monitoring.</w:t>
      </w:r>
      <w:bookmarkStart w:id="56" w:name="fnref14_1"/>
      <w:bookmarkEnd w:id="56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57" w:name="fnref5_2"/>
      <w:bookmarkEnd w:id="57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2. Evidence of effectiveness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Stanford‑linked case‑study / internal data: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Over 80% of users report feeling better; claimed 83% improvement in symptoms, well‑being, or life satisfaction.</w:t>
      </w:r>
      <w:bookmarkStart w:id="58" w:name="fnref5_3"/>
      <w:bookmarkEnd w:id="58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59" w:name="fnref14_2"/>
      <w:bookmarkEnd w:id="59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Meta‑analysis (2024) on AI‑CBT chatbots: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Chatbots like Youper show </w:t>
      </w:r>
      <w:r>
        <w:rPr>
          <w:rFonts w:eastAsia="georgia" w:cs="georgia" w:ascii="georgia" w:hAnsi="georgia"/>
          <w:b/>
          <w:color w:val="000000"/>
          <w:sz w:val="21"/>
        </w:rPr>
        <w:t xml:space="preserve">statistically significant but modest</w:t>
      </w:r>
      <w:r>
        <w:rPr>
          <w:rFonts w:eastAsia="georgia" w:cs="georgia" w:ascii="georgia" w:hAnsi="georgia"/>
          <w:color w:val="000000"/>
          <w:sz w:val="21"/>
        </w:rPr>
        <w:t xml:space="preserve"> symptom reductions, similar to many other CBT‑apps.</w:t>
      </w:r>
      <w:bookmarkStart w:id="60" w:name="fnref4_6"/>
      <w:bookmarkEnd w:id="60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61" w:name="fnref2_10"/>
      <w:bookmarkEnd w:id="61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3. Known risks / criticisms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Condition‑framing: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“Screen for common mental‑health conditions” language and </w:t>
      </w:r>
      <w:r>
        <w:rPr>
          <w:rFonts w:eastAsia="georgia" w:cs="georgia" w:ascii="georgia" w:hAnsi="georgia"/>
          <w:b/>
          <w:color w:val="000000"/>
          <w:sz w:val="21"/>
        </w:rPr>
        <w:t xml:space="preserve">condition‑specific monitoring</w:t>
      </w:r>
      <w:r>
        <w:rPr>
          <w:rFonts w:eastAsia="georgia" w:cs="georgia" w:ascii="georgia" w:hAnsi="georgia"/>
          <w:color w:val="000000"/>
          <w:sz w:val="21"/>
        </w:rPr>
        <w:t xml:space="preserve"> can </w:t>
      </w:r>
      <w:r>
        <w:rPr>
          <w:rFonts w:eastAsia="georgia" w:cs="georgia" w:ascii="georgia" w:hAnsi="georgia"/>
          <w:b/>
          <w:color w:val="000000"/>
          <w:sz w:val="21"/>
        </w:rPr>
        <w:t xml:space="preserve">nudge users toward self‑diagnosis.</w:t>
      </w:r>
      <w:bookmarkStart w:id="62" w:name="fnref5_4"/>
      <w:bookmarkEnd w:id="62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63" w:name="fnref4_7"/>
      <w:bookmarkEnd w:id="63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Data‑sharing positioning:</w:t>
      </w:r>
    </w:p>
    <w:p>
      <w:pPr>
        <w:numPr>
          <w:ilvl w:val="2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Encourages sharing your “mental‑health history” with clinicians, which can </w:t>
      </w:r>
      <w:r>
        <w:rPr>
          <w:rFonts w:eastAsia="georgia" w:cs="georgia" w:ascii="georgia" w:hAnsi="georgia"/>
          <w:b/>
          <w:color w:val="000000"/>
          <w:sz w:val="21"/>
        </w:rPr>
        <w:t xml:space="preserve">reinforce the “patient‑record” identity.</w:t>
      </w:r>
      <w:bookmarkStart w:id="64" w:name="fnref5_5"/>
      <w:bookmarkEnd w:id="64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4. Privacy model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Emphasis on </w:t>
      </w:r>
      <w:r>
        <w:rPr>
          <w:rFonts w:eastAsia="georgia" w:cs="georgia" w:ascii="georgia" w:hAnsi="georgia"/>
          <w:b/>
          <w:color w:val="000000"/>
          <w:sz w:val="21"/>
        </w:rPr>
        <w:t xml:space="preserve">central, secure storage</w:t>
      </w:r>
      <w:r>
        <w:rPr>
          <w:rFonts w:eastAsia="georgia" w:cs="georgia" w:ascii="georgia" w:hAnsi="georgia"/>
          <w:color w:val="000000"/>
          <w:sz w:val="21"/>
        </w:rPr>
        <w:t xml:space="preserve"> and accessible “mental‑health record,” not local‑first.</w:t>
      </w:r>
      <w:bookmarkStart w:id="65" w:name="fnref5_6"/>
      <w:bookmarkEnd w:id="65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 public evidence of </w:t>
      </w:r>
      <w:r>
        <w:rPr>
          <w:rFonts w:eastAsia="georgia" w:cs="georgia" w:ascii="georgia" w:hAnsi="georgia"/>
          <w:b/>
          <w:color w:val="000000"/>
          <w:sz w:val="21"/>
        </w:rPr>
        <w:t xml:space="preserve">on‑device‑only processing</w:t>
      </w:r>
      <w:r>
        <w:rPr>
          <w:rFonts w:eastAsia="georgia" w:cs="georgia" w:ascii="georgia" w:hAnsi="georgia"/>
          <w:color w:val="000000"/>
          <w:sz w:val="21"/>
        </w:rPr>
        <w:t xml:space="preserve"> or federated‑learning‑style architecture.</w:t>
      </w:r>
    </w:p>
    <w:p>
      <w:pPr>
        <w:numPr>
          <w:ilvl w:val="0"/>
          <w:numId w:val="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5. How Sanctuary differs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 condition‑screening</w:t>
      </w:r>
      <w:r>
        <w:rPr>
          <w:rFonts w:eastAsia="georgia" w:cs="georgia" w:ascii="georgia" w:hAnsi="georgia"/>
          <w:color w:val="000000"/>
          <w:sz w:val="21"/>
        </w:rPr>
        <w:t xml:space="preserve"> or “six‑condition” framework; no “mental‑health record” UI.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Uses </w:t>
      </w:r>
      <w:r>
        <w:rPr>
          <w:rFonts w:eastAsia="georgia" w:cs="georgia" w:ascii="georgia" w:hAnsi="georgia"/>
          <w:b/>
          <w:color w:val="000000"/>
          <w:sz w:val="21"/>
        </w:rPr>
        <w:t xml:space="preserve">only narrative‑reflection</w:t>
      </w:r>
      <w:r>
        <w:rPr>
          <w:rFonts w:eastAsia="georgia" w:cs="georgia" w:ascii="georgia" w:hAnsi="georgia"/>
          <w:color w:val="000000"/>
          <w:sz w:val="21"/>
        </w:rPr>
        <w:t xml:space="preserve"> and </w:t>
      </w:r>
      <w:r>
        <w:rPr>
          <w:rFonts w:eastAsia="georgia" w:cs="georgia" w:ascii="georgia" w:hAnsi="georgia"/>
          <w:b/>
          <w:color w:val="000000"/>
          <w:sz w:val="21"/>
        </w:rPr>
        <w:t xml:space="preserve">avoidance of diagnostic language</w:t>
      </w:r>
      <w:r>
        <w:rPr>
          <w:rFonts w:eastAsia="georgia" w:cs="georgia" w:ascii="georgia" w:hAnsi="georgia"/>
          <w:color w:val="000000"/>
          <w:sz w:val="21"/>
        </w:rPr>
        <w:t xml:space="preserve">, aligning with labeling‑theory critiques of pathologization.</w:t>
      </w:r>
      <w:bookmarkStart w:id="66" w:name="fnref15"/>
      <w:bookmarkEnd w:id="66"/>
      <w:hyperlink w:anchor="fn1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[15]</w:t>
        </w:r>
      </w:hyperlink>
      <w:bookmarkStart w:id="67" w:name="fnref4_8"/>
      <w:bookmarkEnd w:id="67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Privacy‑through‑distillation</w:t>
      </w:r>
      <w:r>
        <w:rPr>
          <w:rFonts w:eastAsia="georgia" w:cs="georgia" w:ascii="georgia" w:hAnsi="georgia"/>
          <w:color w:val="000000"/>
          <w:sz w:val="21"/>
        </w:rPr>
        <w:t xml:space="preserve"> rather than </w:t>
      </w:r>
      <w:r>
        <w:rPr>
          <w:rFonts w:eastAsia="georgia" w:cs="georgia" w:ascii="georgia" w:hAnsi="georgia"/>
          <w:b/>
          <w:color w:val="000000"/>
          <w:sz w:val="21"/>
        </w:rPr>
        <w:t xml:space="preserve">privacy‑through‑encrypted‑cloud‑databases.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8" w:name="moodfit_sanvello_mood_tracking_st_1f4ec1"/>
      <w:r>
        <w:rPr>
          <w:rFonts w:eastAsia="georgia" w:cs="georgia" w:ascii="georgia" w:hAnsi="georgia"/>
          <w:b/>
          <w:color w:val="000000"/>
          <w:sz w:val="24"/>
        </w:rPr>
        <w:t xml:space="preserve">Moodfit &amp; Sanvello (mood‑tracking + structured tools)</w:t>
      </w:r>
      <w:bookmarkEnd w:id="68"/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1. What they do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Moodfit:</w:t>
      </w:r>
      <w:r>
        <w:rPr>
          <w:rFonts w:eastAsia="georgia" w:cs="georgia" w:ascii="georgia" w:hAnsi="georgia"/>
          <w:color w:val="000000"/>
          <w:sz w:val="21"/>
        </w:rPr>
        <w:t xml:space="preserve"> Mood‑tracking app with CBT‑style tools, mindfulness, breathing, medication, and sleep tracking; positions itself as a “mental‑health dashboard.”</w:t>
      </w:r>
      <w:bookmarkStart w:id="69" w:name="fnref6_2"/>
      <w:bookmarkEnd w:id="69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Sanvello:</w:t>
      </w:r>
      <w:r>
        <w:rPr>
          <w:rFonts w:eastAsia="georgia" w:cs="georgia" w:ascii="georgia" w:hAnsi="georgia"/>
          <w:color w:val="000000"/>
          <w:sz w:val="21"/>
        </w:rPr>
        <w:t xml:space="preserve"> Evidence‑based app for </w:t>
      </w:r>
      <w:r>
        <w:rPr>
          <w:rFonts w:eastAsia="georgia" w:cs="georgia" w:ascii="georgia" w:hAnsi="georgia"/>
          <w:b/>
          <w:color w:val="000000"/>
          <w:sz w:val="21"/>
        </w:rPr>
        <w:t xml:space="preserve">anxiety and depression</w:t>
      </w:r>
      <w:r>
        <w:rPr>
          <w:rFonts w:eastAsia="georgia" w:cs="georgia" w:ascii="georgia" w:hAnsi="georgia"/>
          <w:color w:val="000000"/>
          <w:sz w:val="21"/>
        </w:rPr>
        <w:t xml:space="preserve"> with CBT‑tools, guided journeys, breathing, sleep, and social‑support forums.</w:t>
      </w:r>
      <w:bookmarkStart w:id="70" w:name="fnref16"/>
      <w:bookmarkEnd w:id="70"/>
      <w:hyperlink w:anchor="fn1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[16]</w:t>
        </w:r>
      </w:hyperlink>
      <w:bookmarkStart w:id="71" w:name="fnref4_9"/>
      <w:bookmarkEnd w:id="71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2. Evidence of effectiveness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Meta‑analysis (2024) on 176 RCTs:</w:t>
      </w:r>
    </w:p>
    <w:p>
      <w:pPr>
        <w:numPr>
          <w:ilvl w:val="2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Apps with </w:t>
      </w:r>
      <w:r>
        <w:rPr>
          <w:rFonts w:eastAsia="georgia" w:cs="georgia" w:ascii="georgia" w:hAnsi="georgia"/>
          <w:b/>
          <w:color w:val="000000"/>
          <w:sz w:val="21"/>
        </w:rPr>
        <w:t xml:space="preserve">CBT or mood‑monitoring features</w:t>
      </w:r>
      <w:r>
        <w:rPr>
          <w:rFonts w:eastAsia="georgia" w:cs="georgia" w:ascii="georgia" w:hAnsi="georgia"/>
          <w:color w:val="000000"/>
          <w:sz w:val="21"/>
        </w:rPr>
        <w:t xml:space="preserve"> show </w:t>
      </w:r>
      <w:r>
        <w:rPr>
          <w:rFonts w:eastAsia="georgia" w:cs="georgia" w:ascii="georgia" w:hAnsi="georgia"/>
          <w:b/>
          <w:color w:val="000000"/>
          <w:sz w:val="21"/>
        </w:rPr>
        <w:t xml:space="preserve">larger average effect sizes</w:t>
      </w:r>
      <w:r>
        <w:rPr>
          <w:rFonts w:eastAsia="georgia" w:cs="georgia" w:ascii="georgia" w:hAnsi="georgia"/>
          <w:color w:val="000000"/>
          <w:sz w:val="21"/>
        </w:rPr>
        <w:t xml:space="preserve"> than supportive apps without structure, but </w:t>
      </w:r>
      <w:r>
        <w:rPr>
          <w:rFonts w:eastAsia="georgia" w:cs="georgia" w:ascii="georgia" w:hAnsi="georgia"/>
          <w:b/>
          <w:color w:val="000000"/>
          <w:sz w:val="21"/>
        </w:rPr>
        <w:t xml:space="preserve">clinical significance is still debated.</w:t>
      </w:r>
      <w:bookmarkStart w:id="72" w:name="fnref4_10"/>
      <w:bookmarkEnd w:id="72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University of Missouri outreach materials:</w:t>
      </w:r>
    </w:p>
    <w:p>
      <w:pPr>
        <w:numPr>
          <w:ilvl w:val="2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Sanvello is promoted as an </w:t>
      </w:r>
      <w:r>
        <w:rPr>
          <w:rFonts w:eastAsia="georgia" w:cs="georgia" w:ascii="georgia" w:hAnsi="georgia"/>
          <w:b/>
          <w:color w:val="000000"/>
          <w:sz w:val="21"/>
        </w:rPr>
        <w:t xml:space="preserve">accessible anxiety/depression support tool</w:t>
      </w:r>
      <w:r>
        <w:rPr>
          <w:rFonts w:eastAsia="georgia" w:cs="georgia" w:ascii="georgia" w:hAnsi="georgia"/>
          <w:color w:val="000000"/>
          <w:sz w:val="21"/>
        </w:rPr>
        <w:t xml:space="preserve">; internal marketing claims “clinically‑backed” techniques.</w:t>
      </w:r>
      <w:bookmarkStart w:id="73" w:name="fnref16_1"/>
      <w:bookmarkEnd w:id="73"/>
      <w:hyperlink w:anchor="fn1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[16]</w:t>
        </w:r>
      </w:hyperlink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3. Known risks / criticisms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Mood‑tracking critique:</w:t>
      </w:r>
    </w:p>
    <w:p>
      <w:pPr>
        <w:numPr>
          <w:ilvl w:val="2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Continuous rating and graphing of moods may </w:t>
      </w:r>
      <w:r>
        <w:rPr>
          <w:rFonts w:eastAsia="georgia" w:cs="georgia" w:ascii="georgia" w:hAnsi="georgia"/>
          <w:b/>
          <w:color w:val="000000"/>
          <w:sz w:val="21"/>
        </w:rPr>
        <w:t xml:space="preserve">amplify rumination</w:t>
      </w:r>
      <w:r>
        <w:rPr>
          <w:rFonts w:eastAsia="georgia" w:cs="georgia" w:ascii="georgia" w:hAnsi="georgia"/>
          <w:color w:val="000000"/>
          <w:sz w:val="21"/>
        </w:rPr>
        <w:t xml:space="preserve"> or </w:t>
      </w:r>
      <w:r>
        <w:rPr>
          <w:rFonts w:eastAsia="georgia" w:cs="georgia" w:ascii="georgia" w:hAnsi="georgia"/>
          <w:b/>
          <w:color w:val="000000"/>
          <w:sz w:val="21"/>
        </w:rPr>
        <w:t xml:space="preserve">turn normal fluctuations into “pathology‑indicators.”</w:t>
      </w:r>
      <w:bookmarkStart w:id="74" w:name="fnref4_11"/>
      <w:bookmarkEnd w:id="74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Moodfit security issues:</w:t>
      </w:r>
    </w:p>
    <w:p>
      <w:pPr>
        <w:numPr>
          <w:ilvl w:val="2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Mozilla‑Foundation flagged very weak password practices (e.g., allowing “1” as a password in 2022), later updated but still concerning.</w:t>
      </w:r>
      <w:bookmarkStart w:id="75" w:name="fnref6_3"/>
      <w:bookmarkEnd w:id="75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Sanvello user‑feedback:</w:t>
      </w:r>
    </w:p>
    <w:p>
      <w:pPr>
        <w:numPr>
          <w:ilvl w:val="2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Some users report the app’s </w:t>
      </w:r>
      <w:r>
        <w:rPr>
          <w:rFonts w:eastAsia="georgia" w:cs="georgia" w:ascii="georgia" w:hAnsi="georgia"/>
          <w:b/>
          <w:color w:val="000000"/>
          <w:sz w:val="21"/>
        </w:rPr>
        <w:t xml:space="preserve">medical‑style framing</w:t>
      </w:r>
      <w:r>
        <w:rPr>
          <w:rFonts w:eastAsia="georgia" w:cs="georgia" w:ascii="georgia" w:hAnsi="georgia"/>
          <w:color w:val="000000"/>
          <w:sz w:val="21"/>
        </w:rPr>
        <w:t xml:space="preserve"> feels </w:t>
      </w:r>
      <w:r>
        <w:rPr>
          <w:rFonts w:eastAsia="georgia" w:cs="georgia" w:ascii="georgia" w:hAnsi="georgia"/>
          <w:b/>
          <w:color w:val="000000"/>
          <w:sz w:val="21"/>
        </w:rPr>
        <w:t xml:space="preserve">stigmatizing</w:t>
      </w:r>
      <w:r>
        <w:rPr>
          <w:rFonts w:eastAsia="georgia" w:cs="georgia" w:ascii="georgia" w:hAnsi="georgia"/>
          <w:color w:val="000000"/>
          <w:sz w:val="21"/>
        </w:rPr>
        <w:t xml:space="preserve"> or “diary‑of‑sickness.”</w:t>
      </w:r>
      <w:bookmarkStart w:id="76" w:name="fnref13_3"/>
      <w:bookmarkEnd w:id="76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77" w:name="fnref4_12"/>
      <w:bookmarkEnd w:id="77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4. Privacy model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Moodfit:</w:t>
      </w:r>
      <w:r>
        <w:rPr>
          <w:rFonts w:eastAsia="georgia" w:cs="georgia" w:ascii="georgia" w:hAnsi="georgia"/>
          <w:color w:val="000000"/>
          <w:sz w:val="21"/>
        </w:rPr>
        <w:t xml:space="preserve"> Collects email, mood‑data, and usage; cloud‑based, no local‑only mode.</w:t>
      </w:r>
      <w:bookmarkStart w:id="78" w:name="fnref6_4"/>
      <w:bookmarkEnd w:id="78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Sanvello:</w:t>
      </w:r>
      <w:r>
        <w:rPr>
          <w:rFonts w:eastAsia="georgia" w:cs="georgia" w:ascii="georgia" w:hAnsi="georgia"/>
          <w:color w:val="000000"/>
          <w:sz w:val="21"/>
        </w:rPr>
        <w:t xml:space="preserve"> Promotes “secure storage” of tracked data; </w:t>
      </w:r>
      <w:r>
        <w:rPr>
          <w:rFonts w:eastAsia="georgia" w:cs="georgia" w:ascii="georgia" w:hAnsi="georgia"/>
          <w:b/>
          <w:color w:val="000000"/>
          <w:sz w:val="21"/>
        </w:rPr>
        <w:t xml:space="preserve">no evidence of on‑device‑only or federated approaches.</w:t>
      </w:r>
      <w:bookmarkStart w:id="79" w:name="fnref4_13"/>
      <w:bookmarkEnd w:id="79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5. How Sanctuary differs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 continuous mood‑ratings</w:t>
      </w:r>
      <w:r>
        <w:rPr>
          <w:rFonts w:eastAsia="georgia" w:cs="georgia" w:ascii="georgia" w:hAnsi="georgia"/>
          <w:color w:val="000000"/>
          <w:sz w:val="21"/>
        </w:rPr>
        <w:t xml:space="preserve"> or grid‑style tracking; instead, </w:t>
      </w:r>
      <w:r>
        <w:rPr>
          <w:rFonts w:eastAsia="georgia" w:cs="georgia" w:ascii="georgia" w:hAnsi="georgia"/>
          <w:b/>
          <w:color w:val="000000"/>
          <w:sz w:val="21"/>
        </w:rPr>
        <w:t xml:space="preserve">narrative‑based recollection</w:t>
      </w:r>
      <w:r>
        <w:rPr>
          <w:rFonts w:eastAsia="georgia" w:cs="georgia" w:ascii="georgia" w:hAnsi="georgia"/>
          <w:color w:val="000000"/>
          <w:sz w:val="21"/>
        </w:rPr>
        <w:t xml:space="preserve"> (e.g., “what stood out?”).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 “clinical‑toolkit” feel</w:t>
      </w:r>
      <w:r>
        <w:rPr>
          <w:rFonts w:eastAsia="georgia" w:cs="georgia" w:ascii="georgia" w:hAnsi="georgia"/>
          <w:color w:val="000000"/>
          <w:sz w:val="21"/>
        </w:rPr>
        <w:t xml:space="preserve">; avoids “medication / therapy” integration framing.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Local‑only narrative graphs</w:t>
      </w:r>
      <w:r>
        <w:rPr>
          <w:rFonts w:eastAsia="georgia" w:cs="georgia" w:ascii="georgia" w:hAnsi="georgia"/>
          <w:color w:val="000000"/>
          <w:sz w:val="21"/>
        </w:rPr>
        <w:t xml:space="preserve"> and </w:t>
      </w:r>
      <w:r>
        <w:rPr>
          <w:rFonts w:eastAsia="georgia" w:cs="georgia" w:ascii="georgia" w:hAnsi="georgia"/>
          <w:b/>
          <w:color w:val="000000"/>
          <w:sz w:val="21"/>
        </w:rPr>
        <w:t xml:space="preserve">distillation</w:t>
      </w:r>
      <w:r>
        <w:rPr>
          <w:rFonts w:eastAsia="georgia" w:cs="georgia" w:ascii="georgia" w:hAnsi="georgia"/>
          <w:color w:val="000000"/>
          <w:sz w:val="21"/>
        </w:rPr>
        <w:t xml:space="preserve"> protect users who distrust “mental‑health dashboards” linked to surveillance or insurance‑style records.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0" w:name="bm_3_competitive_feature_comparis_e588bf"/>
      <w:r>
        <w:rPr>
          <w:rFonts w:eastAsia="georgia" w:cs="georgia" w:ascii="georgia" w:hAnsi="georgia"/>
          <w:b/>
          <w:color w:val="000000"/>
          <w:sz w:val="24"/>
        </w:rPr>
        <w:t xml:space="preserve">3. </w:t>
      </w:r>
      <w:r>
        <w:rPr>
          <w:rFonts w:eastAsia="georgia" w:cs="georgia" w:ascii="georgia" w:hAnsi="georgia"/>
          <w:b/>
          <w:color w:val="000000"/>
          <w:sz w:val="24"/>
        </w:rPr>
        <w:t xml:space="preserve">Competitive‑feature comparison table</w:t>
      </w:r>
      <w:bookmarkEnd w:id="8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Woebot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Wysa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Replika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Youper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Moodfit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Sanvello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Sanctuary (you)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Core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Fully‑automated CBT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AI‑coaching + CBT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Emotional companion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CBT‑based “emotional health”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Mood‑tracker + CBT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CBT + guided journeys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Narrative‑first reflection, no CBT prescription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Uses diagnosis / labels?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Symptom‑framed, no Dx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Mood‑/symptom‑framed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explicit Dx but labels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Explicit “6 conditions”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Mood‑/condition‑framed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Condition‑framed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No Dx; no conditions; no symptom‑grid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 </w:t>
            </w:r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  <w:hyperlink w:anchor="fn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CBT / techniques?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Yes, CBT 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Yes, CBT‑style tools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explicit CBT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Yes, CBT + “evidence‑based”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Yes, CBT‑exercises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Yes, CBT‑driven journeys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No CBT; no “drills”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Narrative‑first?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(Q&amp;A + practice)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(tools + journaling)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(relationship‑talk)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(symptom‑monitoring)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(ratings + tools)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(CBT journeys)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Yes (narrative‑momentum, user‑driven story‑building)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Crisis‑handling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Hotline redirects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Mixed (self‑help focus)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Minimal, risk‑prone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Hotline + provider 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Crisis‑support modules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Normalize connection → peers; no immediate hotline push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 </w:t>
            </w:r>
            <w:hyperlink w:anchor="fn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  <w:hyperlink w:anchor="fn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Data retained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Cloud‑based 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Cloud‑based 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Full cloud‑logs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Central “mental‑health record”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Cloud‑based mood‑logs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Cloud‑based journeys/logs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Local narrative graphs + distilled context; no central emotional‑data lake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Local‑first / on‑device?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Yes (local‑first narrative graph, distillation, selective journaling)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[17]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Labeling / pathologizing risk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Moderate (self‑help focus)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Moderate (mood‑tools)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 (identity‑mirroring)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 (condition‑screening)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 (mood‑labeling)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 (clinical‑style framing)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Low (avoid labeling; normalize; no “diagnostic” language)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 </w:t>
            </w:r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  <w:hyperlink w:anchor="fn1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[15]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1" w:name="bm_4_gap_analysis_what_sanctuary_ae8309"/>
      <w:r>
        <w:rPr>
          <w:rFonts w:eastAsia="georgia" w:cs="georgia" w:ascii="georgia" w:hAnsi="georgia"/>
          <w:b/>
          <w:color w:val="000000"/>
          <w:sz w:val="24"/>
        </w:rPr>
        <w:t xml:space="preserve">4. </w:t>
      </w:r>
      <w:r>
        <w:rPr>
          <w:rFonts w:eastAsia="georgia" w:cs="georgia" w:ascii="georgia" w:hAnsi="georgia"/>
          <w:b/>
          <w:color w:val="000000"/>
          <w:sz w:val="24"/>
        </w:rPr>
        <w:t xml:space="preserve">Gap analysis: what Sanctuary does that others don’t</w:t>
      </w:r>
      <w:bookmarkEnd w:id="8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From the evidence and product‑positioning:</w:t>
      </w:r>
    </w:p>
    <w:p>
      <w:pPr>
        <w:numPr>
          <w:ilvl w:val="0"/>
          <w:numId w:val="1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Narrative‑first, no‑therapy posture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All others (Woebot, Wysa, Youper, Sanvello, Moodfit) emphasize </w:t>
      </w:r>
      <w:r>
        <w:rPr>
          <w:rFonts w:eastAsia="georgia" w:cs="georgia" w:ascii="georgia" w:hAnsi="georgia"/>
          <w:b/>
          <w:color w:val="000000"/>
          <w:sz w:val="21"/>
        </w:rPr>
        <w:t xml:space="preserve">CBT‑style tools, drills, or symptom‑tracking.</w:t>
      </w:r>
      <w:bookmarkStart w:id="82" w:name="fnref1_7"/>
      <w:bookmarkEnd w:id="8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83" w:name="fnref3_5"/>
      <w:bookmarkEnd w:id="83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84" w:name="fnref4_19"/>
      <w:bookmarkEnd w:id="84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Sanctuary is the only one whose </w:t>
      </w:r>
      <w:r>
        <w:rPr>
          <w:rFonts w:eastAsia="georgia" w:cs="georgia" w:ascii="georgia" w:hAnsi="georgia"/>
          <w:b/>
          <w:color w:val="000000"/>
          <w:sz w:val="21"/>
        </w:rPr>
        <w:t xml:space="preserve">core mechanism is narrative‑momentum and meaning‑making</w:t>
      </w:r>
      <w:r>
        <w:rPr>
          <w:rFonts w:eastAsia="georgia" w:cs="georgia" w:ascii="georgia" w:hAnsi="georgia"/>
          <w:color w:val="000000"/>
          <w:sz w:val="21"/>
        </w:rPr>
        <w:t xml:space="preserve">, not technique‑delivery.</w:t>
      </w:r>
    </w:p>
    <w:p>
      <w:pPr>
        <w:numPr>
          <w:ilvl w:val="0"/>
          <w:numId w:val="1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 pathologizing / no condition‑labels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Youper, Sanvello, and Moodfit explicitly talk about </w:t>
      </w:r>
      <w:r>
        <w:rPr>
          <w:rFonts w:eastAsia="georgia" w:cs="georgia" w:ascii="georgia" w:hAnsi="georgia"/>
          <w:b/>
          <w:color w:val="000000"/>
          <w:sz w:val="21"/>
        </w:rPr>
        <w:t xml:space="preserve">conditions and symptom‑monitoring</w:t>
      </w:r>
      <w:r>
        <w:rPr>
          <w:rFonts w:eastAsia="georgia" w:cs="georgia" w:ascii="georgia" w:hAnsi="georgia"/>
          <w:color w:val="000000"/>
          <w:sz w:val="21"/>
        </w:rPr>
        <w:t xml:space="preserve">, nudging users toward self‑diagnosis.</w:t>
      </w:r>
      <w:bookmarkStart w:id="85" w:name="fnref5_9"/>
      <w:bookmarkEnd w:id="85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86" w:name="fnref4_20"/>
      <w:bookmarkEnd w:id="86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Sanctuary’s </w:t>
      </w:r>
      <w:r>
        <w:rPr>
          <w:rFonts w:eastAsia="georgia" w:cs="georgia" w:ascii="georgia" w:hAnsi="georgia"/>
          <w:b/>
          <w:color w:val="000000"/>
          <w:sz w:val="21"/>
        </w:rPr>
        <w:t xml:space="preserve">abstention from labels</w:t>
      </w:r>
      <w:r>
        <w:rPr>
          <w:rFonts w:eastAsia="georgia" w:cs="georgia" w:ascii="georgia" w:hAnsi="georgia"/>
          <w:color w:val="000000"/>
          <w:sz w:val="21"/>
        </w:rPr>
        <w:t xml:space="preserve"> aligns with labeling‑theory critiques of AI‑based emotional classification</w:t>
      </w:r>
      <w:r>
        <w:rPr>
          <w:rFonts w:eastAsia="georgia" w:cs="georgia" w:ascii="georgia" w:hAnsi="georgia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87" w:name="fn1"/>
    <w:bookmarkEnd w:id="87"/>
    <w:p>
      <w:pPr>
        <w:numPr>
          <w:ilvl w:val="0"/>
          <w:numId w:val="13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https://pmc.ncbi.nlm.nih.gov/articles/PMC5478797/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8" w:name="fn2"/>
    <w:bookmarkEnd w:id="88"/>
    <w:p>
      <w:pPr>
        <w:numPr>
          <w:ilvl w:val="0"/>
          <w:numId w:val="13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https://pmc.ncbi.nlm.nih.gov/articles/PMC11904749/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9" w:name="fn3"/>
    <w:bookmarkEnd w:id="89"/>
    <w:p>
      <w:pPr>
        <w:numPr>
          <w:ilvl w:val="0"/>
          <w:numId w:val="13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https://mhealth.jmir.org/2018/11/e12106/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0" w:name="fn4"/>
    <w:bookmarkEnd w:id="90"/>
    <w:p>
      <w:pPr>
        <w:numPr>
          <w:ilvl w:val="0"/>
          <w:numId w:val="13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https://pmc.ncbi.nlm.nih.gov/articles/PMC10785982/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1" w:name="fn5"/>
    <w:bookmarkEnd w:id="91"/>
    <w:p>
      <w:pPr>
        <w:numPr>
          <w:ilvl w:val="0"/>
          <w:numId w:val="13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https://www.youper.ai/how-it-works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2" w:name="fn6"/>
    <w:bookmarkEnd w:id="92"/>
    <w:p>
      <w:pPr>
        <w:numPr>
          <w:ilvl w:val="0"/>
          <w:numId w:val="13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https://www.mozillafoundation.org/pt-BR/privacynotincluded/moodfit/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3" w:name="fn7"/>
    <w:bookmarkEnd w:id="93"/>
    <w:p>
      <w:pPr>
        <w:numPr>
          <w:ilvl w:val="0"/>
          <w:numId w:val="13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https://formative.jmir.org/2024/1/e47960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4" w:name="fn8"/>
    <w:bookmarkEnd w:id="94"/>
    <w:p>
      <w:pPr>
        <w:numPr>
          <w:ilvl w:val="0"/>
          <w:numId w:val="13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https://www.linkedin.com/pulse/replikas-privacy-oddity-when-emotional-ai-meets-regulatory-dewal-jimec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5" w:name="fn9"/>
    <w:bookmarkEnd w:id="95"/>
    <w:p>
      <w:pPr>
        <w:numPr>
          <w:ilvl w:val="0"/>
          <w:numId w:val="13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https://www.aiaaic.org/aiaaic-repository/ai-algorithmic-and-automation-incidents/report-replika-fails-to-meet-minimum-privacy-standards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6" w:name="fn10"/>
    <w:bookmarkEnd w:id="96"/>
    <w:p>
      <w:pPr>
        <w:numPr>
          <w:ilvl w:val="0"/>
          <w:numId w:val="13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https://pmc.ncbi.nlm.nih.gov/articles/PMC8074987/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7" w:name="fn11"/>
    <w:bookmarkEnd w:id="97"/>
    <w:p>
      <w:pPr>
        <w:numPr>
          <w:ilvl w:val="0"/>
          <w:numId w:val="13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https://pmc.ncbi.nlm.nih.gov/articles/PMC8150389/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8" w:name="fn12"/>
    <w:bookmarkEnd w:id="98"/>
    <w:p>
      <w:pPr>
        <w:numPr>
          <w:ilvl w:val="0"/>
          <w:numId w:val="13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https://formative.jmir.org/2021/5/e27868/PDF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9" w:name="fn13"/>
    <w:bookmarkEnd w:id="99"/>
    <w:p>
      <w:pPr>
        <w:numPr>
          <w:ilvl w:val="0"/>
          <w:numId w:val="13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https://humanfactors.jmir.org/2022/2/e35668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0" w:name="fn14"/>
    <w:bookmarkEnd w:id="100"/>
    <w:p>
      <w:pPr>
        <w:numPr>
          <w:ilvl w:val="0"/>
          <w:numId w:val="13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https://www.youper.ai/business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1" w:name="fn15"/>
    <w:bookmarkEnd w:id="101"/>
    <w:p>
      <w:pPr>
        <w:numPr>
          <w:ilvl w:val="0"/>
          <w:numId w:val="13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https://www.jstor.org/stable/2094300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2" w:name="fn16"/>
    <w:bookmarkEnd w:id="102"/>
    <w:p>
      <w:pPr>
        <w:numPr>
          <w:ilvl w:val="0"/>
          <w:numId w:val="13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https://showme.missouri.edu/2020/sanvello-is-for-anytime-anywhere/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3" w:name="fn17"/>
    <w:bookmarkEnd w:id="103"/>
    <w:p>
      <w:pPr>
        <w:numPr>
          <w:ilvl w:val="0"/>
          <w:numId w:val="13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https://arxiv.org/html/2503.05786v1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4" w:name="fn18"/>
    <w:bookmarkEnd w:id="104"/>
    <w:p>
      <w:pPr>
        <w:numPr>
          <w:ilvl w:val="0"/>
          <w:numId w:val="13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https://www.journalslibrary.nihr.ac.uk/phr/phr07130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5" w:name="fn19"/>
    <w:bookmarkEnd w:id="105"/>
    <w:p>
      <w:pPr>
        <w:numPr>
          <w:ilvl w:val="0"/>
          <w:numId w:val="13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https://www.journalslibrary.nihr.ac.uk/hta/hta23640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6" w:name="fn20"/>
    <w:bookmarkEnd w:id="106"/>
    <w:p>
      <w:pPr>
        <w:numPr>
          <w:ilvl w:val="0"/>
          <w:numId w:val="13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http://journals.lww.com/00004850-201909000-00001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7" w:name="fn21"/>
    <w:bookmarkEnd w:id="107"/>
    <w:p>
      <w:pPr>
        <w:numPr>
          <w:ilvl w:val="0"/>
          <w:numId w:val="13"/>
        </w:numPr>
        <w:spacing w:line="360" w:after="210" w:lineRule="auto"/>
      </w:pPr>
      <w:hyperlink r:id="rId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https://www.hindawi.com/journals/prm/2019/2653792/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8" w:name="fn22"/>
    <w:bookmarkEnd w:id="108"/>
    <w:p>
      <w:pPr>
        <w:numPr>
          <w:ilvl w:val="0"/>
          <w:numId w:val="13"/>
        </w:numPr>
        <w:spacing w:line="360" w:after="210" w:lineRule="auto"/>
      </w:pPr>
      <w:hyperlink r:id="rId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https://journals.sagepub.com/doi/10.1177/0269215519880955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9" w:name="fn23"/>
    <w:bookmarkEnd w:id="109"/>
    <w:p>
      <w:pPr>
        <w:numPr>
          <w:ilvl w:val="0"/>
          <w:numId w:val="13"/>
        </w:numPr>
        <w:spacing w:line="360" w:after="210" w:lineRule="auto"/>
      </w:pPr>
      <w:hyperlink r:id="rId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https://www.semanticscholar.org/paper/9ce668d8afdd03ab24106034497f0563bc5de9b2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0" w:name="fn24"/>
    <w:bookmarkEnd w:id="110"/>
    <w:p>
      <w:pPr>
        <w:numPr>
          <w:ilvl w:val="0"/>
          <w:numId w:val="13"/>
        </w:numPr>
        <w:spacing w:line="360" w:after="210" w:lineRule="auto"/>
      </w:pPr>
      <w:hyperlink r:id="rId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http://theijmed.com/index.php?journal=theijmed&amp;page=article&amp;op=view&amp;path[]=188&amp;path[]=116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1" w:name="fn25"/>
    <w:bookmarkEnd w:id="111"/>
    <w:p>
      <w:pPr>
        <w:numPr>
          <w:ilvl w:val="0"/>
          <w:numId w:val="13"/>
        </w:numPr>
        <w:spacing w:line="360" w:after="210" w:lineRule="auto"/>
      </w:pPr>
      <w:hyperlink r:id="rId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http://preprints.jmir.org/preprint/15779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2" w:name="fn26"/>
    <w:bookmarkEnd w:id="112"/>
    <w:p>
      <w:pPr>
        <w:numPr>
          <w:ilvl w:val="0"/>
          <w:numId w:val="13"/>
        </w:numPr>
        <w:spacing w:line="360" w:after="210" w:lineRule="auto"/>
      </w:pPr>
      <w:hyperlink r:id="rId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http://link.springer.com/10.1007/s00403-019-01999-6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3" w:name="fn27"/>
    <w:bookmarkEnd w:id="113"/>
    <w:p>
      <w:pPr>
        <w:numPr>
          <w:ilvl w:val="0"/>
          <w:numId w:val="13"/>
        </w:numPr>
        <w:spacing w:line="360" w:after="210" w:lineRule="auto"/>
      </w:pPr>
      <w:hyperlink r:id="rId3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https://journals.sagepub.com/doi/10.1177/2325967119887116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4" w:name="fn28"/>
    <w:bookmarkEnd w:id="114"/>
    <w:p>
      <w:pPr>
        <w:numPr>
          <w:ilvl w:val="0"/>
          <w:numId w:val="13"/>
        </w:numPr>
        <w:spacing w:line="360" w:after="210" w:lineRule="auto"/>
      </w:pPr>
      <w:hyperlink r:id="rId3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https://pmc.ncbi.nlm.nih.gov/articles/PMC10993129/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5" w:name="fn29"/>
    <w:bookmarkEnd w:id="115"/>
    <w:p>
      <w:pPr>
        <w:numPr>
          <w:ilvl w:val="0"/>
          <w:numId w:val="13"/>
        </w:numPr>
        <w:spacing w:line="360" w:after="210" w:lineRule="auto"/>
      </w:pPr>
      <w:hyperlink r:id="rId3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https://pmc.ncbi.nlm.nih.gov/articles/PMC6084875/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818763bbd504d912a2a0ced0e1c7685b47079bd.png" TargetMode="Internal"/><Relationship Id="rId6" Type="http://schemas.openxmlformats.org/officeDocument/2006/relationships/hyperlink" Target="https://pmc.ncbi.nlm.nih.gov/articles/PMC5478797/" TargetMode="External"/><Relationship Id="rId7" Type="http://schemas.openxmlformats.org/officeDocument/2006/relationships/hyperlink" Target="https://pmc.ncbi.nlm.nih.gov/articles/PMC11904749/" TargetMode="External"/><Relationship Id="rId8" Type="http://schemas.openxmlformats.org/officeDocument/2006/relationships/hyperlink" Target="https://mhealth.jmir.org/2018/11/e12106/" TargetMode="External"/><Relationship Id="rId9" Type="http://schemas.openxmlformats.org/officeDocument/2006/relationships/hyperlink" Target="https://pmc.ncbi.nlm.nih.gov/articles/PMC10785982/" TargetMode="External"/><Relationship Id="rId10" Type="http://schemas.openxmlformats.org/officeDocument/2006/relationships/hyperlink" Target="https://www.youper.ai/how-it-works" TargetMode="External"/><Relationship Id="rId11" Type="http://schemas.openxmlformats.org/officeDocument/2006/relationships/hyperlink" Target="https://www.mozillafoundation.org/pt-BR/privacynotincluded/moodfit/" TargetMode="External"/><Relationship Id="rId12" Type="http://schemas.openxmlformats.org/officeDocument/2006/relationships/hyperlink" Target="https://formative.jmir.org/2024/1/e47960" TargetMode="External"/><Relationship Id="rId13" Type="http://schemas.openxmlformats.org/officeDocument/2006/relationships/hyperlink" Target="https://www.linkedin.com/pulse/replikas-privacy-oddity-when-emotional-ai-meets-regulatory-dewal-jimec" TargetMode="External"/><Relationship Id="rId14" Type="http://schemas.openxmlformats.org/officeDocument/2006/relationships/hyperlink" Target="https://www.aiaaic.org/aiaaic-repository/ai-algorithmic-and-automation-incidents/report-replika-fails-to-meet-minimum-privacy-standards" TargetMode="External"/><Relationship Id="rId15" Type="http://schemas.openxmlformats.org/officeDocument/2006/relationships/hyperlink" Target="https://pmc.ncbi.nlm.nih.gov/articles/PMC8074987/" TargetMode="External"/><Relationship Id="rId16" Type="http://schemas.openxmlformats.org/officeDocument/2006/relationships/hyperlink" Target="https://pmc.ncbi.nlm.nih.gov/articles/PMC8150389/" TargetMode="External"/><Relationship Id="rId17" Type="http://schemas.openxmlformats.org/officeDocument/2006/relationships/hyperlink" Target="https://formative.jmir.org/2021/5/e27868/PDF" TargetMode="External"/><Relationship Id="rId18" Type="http://schemas.openxmlformats.org/officeDocument/2006/relationships/hyperlink" Target="https://humanfactors.jmir.org/2022/2/e35668" TargetMode="External"/><Relationship Id="rId19" Type="http://schemas.openxmlformats.org/officeDocument/2006/relationships/hyperlink" Target="https://www.youper.ai/business" TargetMode="External"/><Relationship Id="rId20" Type="http://schemas.openxmlformats.org/officeDocument/2006/relationships/hyperlink" Target="https://www.jstor.org/stable/2094300" TargetMode="External"/><Relationship Id="rId21" Type="http://schemas.openxmlformats.org/officeDocument/2006/relationships/hyperlink" Target="https://showme.missouri.edu/2020/sanvello-is-for-anytime-anywhere/" TargetMode="External"/><Relationship Id="rId22" Type="http://schemas.openxmlformats.org/officeDocument/2006/relationships/hyperlink" Target="https://arxiv.org/html/2503.05786v1" TargetMode="External"/><Relationship Id="rId23" Type="http://schemas.openxmlformats.org/officeDocument/2006/relationships/hyperlink" Target="https://www.journalslibrary.nihr.ac.uk/phr/phr07130" TargetMode="External"/><Relationship Id="rId24" Type="http://schemas.openxmlformats.org/officeDocument/2006/relationships/hyperlink" Target="https://www.journalslibrary.nihr.ac.uk/hta/hta23640" TargetMode="External"/><Relationship Id="rId25" Type="http://schemas.openxmlformats.org/officeDocument/2006/relationships/hyperlink" Target="http://journals.lww.com/00004850-201909000-00001" TargetMode="External"/><Relationship Id="rId26" Type="http://schemas.openxmlformats.org/officeDocument/2006/relationships/hyperlink" Target="https://www.hindawi.com/journals/prm/2019/2653792/" TargetMode="External"/><Relationship Id="rId27" Type="http://schemas.openxmlformats.org/officeDocument/2006/relationships/hyperlink" Target="https://journals.sagepub.com/doi/10.1177/0269215519880955" TargetMode="External"/><Relationship Id="rId28" Type="http://schemas.openxmlformats.org/officeDocument/2006/relationships/hyperlink" Target="https://www.semanticscholar.org/paper/9ce668d8afdd03ab24106034497f0563bc5de9b2" TargetMode="External"/><Relationship Id="rId29" Type="http://schemas.openxmlformats.org/officeDocument/2006/relationships/hyperlink" Target="http://theijmed.com/index.php?journal=theijmed&amp;page=article&amp;op=view&amp;path%5B%5D=188&amp;path%5B%5D=116" TargetMode="External"/><Relationship Id="rId30" Type="http://schemas.openxmlformats.org/officeDocument/2006/relationships/hyperlink" Target="http://preprints.jmir.org/preprint/15779" TargetMode="External"/><Relationship Id="rId31" Type="http://schemas.openxmlformats.org/officeDocument/2006/relationships/hyperlink" Target="http://link.springer.com/10.1007/s00403-019-01999-6" TargetMode="External"/><Relationship Id="rId32" Type="http://schemas.openxmlformats.org/officeDocument/2006/relationships/hyperlink" Target="https://journals.sagepub.com/doi/10.1177/2325967119887116" TargetMode="External"/><Relationship Id="rId33" Type="http://schemas.openxmlformats.org/officeDocument/2006/relationships/hyperlink" Target="https://pmc.ncbi.nlm.nih.gov/articles/PMC10993129/" TargetMode="External"/><Relationship Id="rId34" Type="http://schemas.openxmlformats.org/officeDocument/2006/relationships/hyperlink" Target="https://pmc.ncbi.nlm.nih.gov/articles/PMC6084875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2026-03-03T18:43:33.006Z</dcterms:created>
  <dcterms:modified xsi:type="dcterms:W3CDTF">2026-03-03T18:43:33.006Z</dcterms:modified>
</cp:coreProperties>
</file>