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9BC" w:rsidRDefault="009C4EED" w:rsidP="00A419BC">
      <w:pPr>
        <w:widowControl/>
        <w:shd w:val="clear" w:color="auto" w:fill="FFFFFF"/>
        <w:jc w:val="left"/>
        <w:rPr>
          <w:rFonts w:ascii="宋体" w:eastAsia="宋体" w:hAnsi="宋体" w:cs="宋体"/>
          <w:bCs/>
          <w:color w:val="242424"/>
          <w:kern w:val="0"/>
          <w:sz w:val="28"/>
          <w:szCs w:val="28"/>
        </w:rPr>
      </w:pPr>
      <w:bookmarkStart w:id="0" w:name="_GoBack"/>
      <w:r w:rsidRPr="0026002C">
        <w:rPr>
          <w:rFonts w:ascii="宋体" w:eastAsia="宋体" w:hAnsi="宋体" w:cs="宋体" w:hint="eastAsia"/>
          <w:bCs/>
          <w:color w:val="242424"/>
          <w:kern w:val="0"/>
          <w:sz w:val="28"/>
          <w:szCs w:val="28"/>
        </w:rPr>
        <w:t>最高人民法院关于印发《全国法院民商事审判工作会议纪要》的通知</w:t>
      </w:r>
    </w:p>
    <w:p w:rsidR="009C4EED" w:rsidRPr="0026002C" w:rsidRDefault="00723095" w:rsidP="00A419BC">
      <w:pPr>
        <w:widowControl/>
        <w:shd w:val="clear" w:color="auto" w:fill="FFFFFF"/>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〔2019〕254号</w:t>
      </w:r>
      <w:bookmarkEnd w:id="0"/>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各省、自治区、直辖市高级人民法院，解放军军事法院，新疆维吾尔自治区高级人民法院生产建设兵团分院：</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全国法院民商事审判工作会议纪要》（以下简称《会议纪要》）已于2019年9月11日经最高人民法院审判委员会民事行政专业委员会第319次会议原则通过。为便于进一步学习领会和正确适用《会议纪要》，特作如下通知：</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一、充分认识《会议纪要》出台的意义</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会议纪要》针对民商事审判中的前沿疑难争议问题，在广泛征求各方面意见的基础上，经最高人民法院审判委员会民事行政专业委员会讨论决定。《会议纪要》的出台，对统一裁判思路，规范法官自由裁量权，增强民商事审判的公开性、透明度以及可预期性，提高司法公信力具有重要意义。各级人民法院要正确把握和理解适用《会议纪要》的精神实质和基本内容。</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二、及时组织学习培训</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为使各级人民法院尽快准确理解掌握《会议纪要》的内涵，在案件审理中正确理解适用，各级人民法院要在妥善处理好工学关系的前提下，通过多种形式组织学习培训，做好宣传工作。</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三、准确把握《会议纪要》的应用范围</w:t>
      </w:r>
    </w:p>
    <w:p w:rsidR="009C4EED" w:rsidRPr="00FF1C36" w:rsidRDefault="009C4EED" w:rsidP="0026002C">
      <w:pPr>
        <w:widowControl/>
        <w:shd w:val="clear" w:color="auto" w:fill="FFFFFF"/>
        <w:ind w:firstLine="480"/>
        <w:jc w:val="left"/>
        <w:rPr>
          <w:rFonts w:ascii="宋体" w:eastAsia="宋体" w:hAnsi="宋体" w:cs="宋体"/>
          <w:color w:val="FF0000"/>
          <w:kern w:val="0"/>
          <w:sz w:val="28"/>
          <w:szCs w:val="28"/>
        </w:rPr>
      </w:pPr>
      <w:r w:rsidRPr="00FF1C36">
        <w:rPr>
          <w:rFonts w:ascii="宋体" w:eastAsia="宋体" w:hAnsi="宋体" w:cs="宋体" w:hint="eastAsia"/>
          <w:color w:val="FF0000"/>
          <w:kern w:val="0"/>
          <w:sz w:val="28"/>
          <w:szCs w:val="28"/>
        </w:rPr>
        <w:t>纪要不是司法解释，不能作为裁判依据进行援引。《会议纪要》发布后，人民法院尚未审结的一审、二审案件，在裁判文书“本院认为”部分具体分析法律适用的理由时，可以根据《会议纪要》的相关规定进行说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对于适用中存在的问题,请层报最高人民法院。</w:t>
      </w:r>
    </w:p>
    <w:p w:rsidR="009C4EED" w:rsidRPr="0026002C" w:rsidRDefault="009C4EED" w:rsidP="0026002C">
      <w:pPr>
        <w:widowControl/>
        <w:shd w:val="clear" w:color="auto" w:fill="FFFFFF"/>
        <w:ind w:firstLine="480"/>
        <w:jc w:val="righ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最高人民法院</w:t>
      </w:r>
    </w:p>
    <w:p w:rsidR="009C4EED" w:rsidRPr="0026002C" w:rsidRDefault="009C4EED" w:rsidP="0026002C">
      <w:pPr>
        <w:widowControl/>
        <w:shd w:val="clear" w:color="auto" w:fill="FFFFFF"/>
        <w:ind w:firstLine="480"/>
        <w:jc w:val="righ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2019年11月8日</w:t>
      </w:r>
    </w:p>
    <w:p w:rsidR="009C4EED" w:rsidRPr="0026002C" w:rsidRDefault="009C4EED" w:rsidP="0026002C">
      <w:pPr>
        <w:widowControl/>
        <w:shd w:val="clear" w:color="auto" w:fill="FFFFFF"/>
        <w:ind w:firstLine="480"/>
        <w:jc w:val="center"/>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全国法院民商事审判工作会议纪要</w:t>
      </w:r>
    </w:p>
    <w:p w:rsidR="009C4EED" w:rsidRPr="0026002C" w:rsidRDefault="009C4EED" w:rsidP="0026002C">
      <w:pPr>
        <w:widowControl/>
        <w:shd w:val="clear" w:color="auto" w:fill="FFFFFF"/>
        <w:ind w:firstLine="480"/>
        <w:jc w:val="center"/>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目录</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引言</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一、关于民法总则适用的法律衔接</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二、关于公司纠纷案件的审理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三、关于合同纠纷案件的审理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四、关于担保纠纷案件的审理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五、关于金融消费者权益保护纠纷案件的审理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六、关于证券纠纷案件的审理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七、关于营业信托纠纷案件的审理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八、关于财产保险合同纠纷案件的审理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九、关于票据纠纷案件的审理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十、关于破产纠纷案件的审理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十一、关于案外人救济案件的审理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十二、关于民刑交叉案件的程序处理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引言</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为全面贯彻党的十九大和十九届二中、三中全会以及中央经济工作会议、中央政法工作会议、全国金融工作会议精神，研究当前形势下如何进一步加强人民法院民商事审判工作，着力提升民商事审判工作能力和水平，为我国经济高</w:t>
      </w:r>
      <w:r w:rsidRPr="0026002C">
        <w:rPr>
          <w:rFonts w:ascii="宋体" w:eastAsia="宋体" w:hAnsi="宋体" w:cs="宋体" w:hint="eastAsia"/>
          <w:color w:val="242424"/>
          <w:kern w:val="0"/>
          <w:sz w:val="28"/>
          <w:szCs w:val="28"/>
        </w:rPr>
        <w:lastRenderedPageBreak/>
        <w:t>质量发展提供更加有力的司法服务和保障，最高人民法院于2019年7月3日至4日在黑龙江省哈尔滨市召开了全国法院民商事审判工作会议。最高人民法院党组书记、院长周强同志出席会议并讲话。各省、自治区、直辖市高级人民法院分管民商事审判工作的副院长、承担民商事案件审判任务的审判庭庭长、解放军军事法院的代表、最高人民法院有关部门负责人在主会场出席会议，地方各级人民法院的其他负责同志和民商事审判法官在各地分会场通过视频参加会议。中央政法委、全国人大常委会法工委的代表、部分全国人大代表、全国政协委员、最高人民法院特约监督员、专家学者应邀参加会议。</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会议认为，民商事审判工作必须坚持正确的政治方向，必须以习近平新时代中国特色社会主义思想武装头脑、指导实践、推动工作。一要坚持党的绝对领导。这是中国特色社会主义司法制度的本质特征和根本要求，是人民法院永远不变的根和魂。在民商事审判工作中，要切实增强“四个意识”、坚定“四个自信”、做到“两个维护”，坚定不移走中国特色社会主义法治道路。二要坚持服务党和国家大局。认清形势，高度关注中国特色社会主义进入新时代背景下经济社会的重大变化、社会主要矛盾的历史性变化、各类风险隐患的多元多变，提高服务大局的自觉性、针对性，主动作为，勇于担当，处理好依法办案和服务大局的辩证关系，着眼于贯彻落实党中央的重大决策部署、维护人民群众的根本利益、维护法治的统一。三要坚持司法为民。牢固树立以人民为中心的发展思想，始终坚守人民立场，胸怀人民群众，满足人民需求，带着对人民群众的深厚感情和强烈责任感去做好民商事审判工作。在民商事审判工作中要弘扬社会主义核心价值观，注意情理法的交融平衡，做到以法为据、以理服人、以情感人，既要义正辞严讲清法理，又要循循善诱讲明事理，还要感同身</w:t>
      </w:r>
      <w:r w:rsidRPr="0026002C">
        <w:rPr>
          <w:rFonts w:ascii="宋体" w:eastAsia="宋体" w:hAnsi="宋体" w:cs="宋体" w:hint="eastAsia"/>
          <w:color w:val="242424"/>
          <w:kern w:val="0"/>
          <w:sz w:val="28"/>
          <w:szCs w:val="28"/>
        </w:rPr>
        <w:lastRenderedPageBreak/>
        <w:t>受讲透情理，争取广大人民群众和社会的理解与支持。要建立健全方便人民群众诉讼的民商事审判工作机制。</w:t>
      </w:r>
      <w:r w:rsidRPr="00A419BC">
        <w:rPr>
          <w:rFonts w:ascii="宋体" w:eastAsia="宋体" w:hAnsi="宋体" w:cs="宋体" w:hint="eastAsia"/>
          <w:color w:val="FF0000"/>
          <w:kern w:val="0"/>
          <w:sz w:val="28"/>
          <w:szCs w:val="28"/>
        </w:rPr>
        <w:t>四要坚持公正司法。公平正义是中国特色社会主义制度的内在要求，也是我党治国理政的一贯主张。司法是维护社会公平正义的最后一道防线，必须把公平正义作为生命线，必须把公平正义作为镌刻在心中的价值坐标，必须把“努力让人民群众在每一个司法案件中感受到公平正义”作为矢志不渝的奋斗目标。</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会议指出，民商事审判工作要树立正确的审判理念。注意辩证理解并准确把握契约自由、平等保护、诚实信用、公序良俗等民商事审判基本原则；注意树立请求权基础思维、逻辑和价值相一致思维、同案同判思维，通过检索类案、参考指导案例等方式统一裁判尺度，有效防止滥用自由裁量权；注意处理好民商事审判与行政监管的关系，通过穿透式审判思维，查明当事人的真实意思，探求真实法律关系；特别注意外观主义系民商法上的学理概括，并非现行法律规定的原则，现行法律只是规定了体现外观主义的具体规则，如《物权法》第106条规定的善意取得，《合同法》第49条、《民法总则》第172条规定的表见代理，《合同法》第50条规定的越权代表，审判实务中应当依据有关具体法律规则进行判断，类推适用亦应当以法律规则设定的情形、条件为基础。从现行法律规则看，外观主义是为保护交易安全设置的例外规定，一般适用于因合理信赖权利外观或意思表示外观的交易行为。实际权利人与名义权利人的关系，应注重财产的实质归属，而不单纯地取决于公示外观。总之，审判实务中要准确把握外观主义的适用边界，避免泛化和滥用。</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会议对当前民商事审判工作中的一些疑难法律问题取得了基本一致的看法，现纪要如下：</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lastRenderedPageBreak/>
        <w:t>一、关于民法总则适用的法律衔接</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会议认为，民法总则施行后至民法典施行前，拟编入民法典但尚未完成修订的物权法、合同法等民商事基本法，以及不编入民法典的公司法、证券法、信托法、保险法、票据法等民商事特别法，均可能存在与民法总则规定不一致的情形。人民法院应当依照《立法法》第92条、《民法总则》第11条等规定，综合考虑新的规定优于旧的规定、特别规定优于一般规定等法律适用规则，依法处理好民法总则与相关法律的衔接问题，主要是处理好与民法通则、合同法、公司法的关系。</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民法总则与民法通则的关系及其适用】民法通则既规定了民法的一些基本制度和一般性规则，也规定了合同、所有权及其他财产权、知识产权、民事责任、涉外民事法律关系适用等具体内容。民法总则基本吸收了民法通则规定的基本制度和一般性规则，同时作了补充、完善和发展。民法通则规定的合同、所有权及其他财产权、民事责任等具体内容还需要在编撰民法典各分编时作进一步统筹，系统整合。因民法总则施行后暂不废止民法通则，在此之前，民法总则与民法通则规定不一致的，根据新的规定优于旧的规定的法律适用规则，适用民法总则的规定。最高人民法院已依据民法总则制定了关于诉讼时效问题的司法解释，而原依据民法通则制定的关于诉讼时效的司法解释，只要与民法总则不冲突，仍可适用。</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2.【民法总则与合同法的关系及其适用】根据民法典编撰工作“两步走”的安排，民法总则施行后，目前正在进行民法典的合同编、物权编等各分编的编撰工作。民法典施行后，合同法不再保留。在这之前，因民法总则施行前成立的合同发生的纠纷，原则上适用合同法的有关规定处理。因民法总则施行后成</w:t>
      </w:r>
      <w:r w:rsidRPr="0026002C">
        <w:rPr>
          <w:rFonts w:ascii="宋体" w:eastAsia="宋体" w:hAnsi="宋体" w:cs="宋体" w:hint="eastAsia"/>
          <w:color w:val="242424"/>
          <w:kern w:val="0"/>
          <w:sz w:val="28"/>
          <w:szCs w:val="28"/>
        </w:rPr>
        <w:lastRenderedPageBreak/>
        <w:t>立的合同发生的纠纷，如果合同法“总则”对此的规定与民法总则的规定不一致的，根据新的规定优于旧的规定的法律适用规则，适用民法总则的规定。例如，关于欺诈、胁迫问题，根据合同法的规定，只有合同当事人之间存在欺诈、胁迫行为的，被欺诈、胁迫一方才享有撤销合同的权利。而依民法总则的规定，第三人实施的欺诈、胁迫行为，被欺诈、胁迫一方也有撤销合同的权利。另外，合同法视欺诈、胁迫行为所损害利益的不同，对合同效力作出了不同规定：损害合同当事人利益的，属于可撤销或者可变更合同；损害国家利益的，则属于无效合同。民法总则则未加区别，规定一律按可撤销合同对待。再如，关于显失公平问题，合同法将显失公平与乘人之危作为两类不同的可撤销或者可变更合同事由，而民法总则则将二者合并为一类可撤销合同事由。</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民法总则施行后发生的纠纷，在民法典施行前，如果合同法“分则”对此的规定与民法总则不一致的，根据特别规定优于一般规定的法律适用规则，适用合同法“分则”的规定。例如，民法总则仅规定了显名代理，没有规定《合同法》第402条的隐名代理和第403条的间接代理。在民法典施行前，这两条规定应当继续适用。</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3.【民法总则与公司法的关系及其适用】民法总则与公司法的关系，是一般法与商事特别法的关系。民法总则第三章“法人”第一节“一般规定”和第二节“营利法人”基本上是根据公司法的有关规定提炼的，二者的精神大体一致。因此，涉及民法总则这一部分的内容，规定一致的，适用民法总则或者公司法皆可；规定不一致的，根据《民法总则》第11条有关“其他法律对民事关系有特别规定的，依照其规定”的规定，原则上应当适用公司法的规定。但应当注意也有例外情况，主要表现在两个方面：一是就同一事项，民法总则制定</w:t>
      </w:r>
      <w:r w:rsidRPr="0026002C">
        <w:rPr>
          <w:rFonts w:ascii="宋体" w:eastAsia="宋体" w:hAnsi="宋体" w:cs="宋体" w:hint="eastAsia"/>
          <w:color w:val="242424"/>
          <w:kern w:val="0"/>
          <w:sz w:val="28"/>
          <w:szCs w:val="28"/>
        </w:rPr>
        <w:lastRenderedPageBreak/>
        <w:t>时有意修正公司法有关条款的，应当适用民法总则的规定。例如，《公司法》第32条第3款规定：“公司应当将股东的姓名或者名称及其出资额向公司登记机关登记；登记事项发生变更的，应当办理变更登记。未经登记或者变更登记的，不得对抗第三人。”而《民法总则》第65条的规定则把“不得对抗第三人”修正为“不得对抗善意相对人”。经查询有关立法理由，可以认为，此种情况应当适用民法总则的规定。二是民法总则在公司法规定基础上增加了新内容的，如《公司法》第22条第2款就公司决议的撤销问题进行了规定，《民法总则》第85条在该条基础上增加规定：“但是营利法人依据该决议与善意相对人形成的民事法律关系不受影响。”此时，也应当适用民法总则的规定。</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4.【民法总则的时间效力】根据“法不溯及既往”的原则，民法总则原则上没有溯及力，故只能适用于施行后发生的法律事实；民法总则施行前发生的法律事实，适用当时的法律；某一法律事实发生在民法总则施行前，其行为延续至民法总则施行后的，适用民法总则的规定。但要注意有例外情形，如虽然法律事实发生在民法总则施行前，但当时的法律对此没有规定而民法总则有规定的，例如，对于虚伪意思表示、第三人实施欺诈行为，合同法均无规定，发生纠纷后，基于“法官不得拒绝裁判”规则，可以将民法总则的相关规定作为裁判依据。又如，民法总则施行前成立的合同，根据当时的法律应当认定无效，而根据民法总则应当认定有效或者可撤销的，应当适用民法总则的规定。</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在民法总则无溯及力的场合，人民法院应当依据法律事实发生时的法律进行裁判，但如果法律事实发生时的法律虽有规定，但内容不具体、不明确的，如关于无权代理在被代理人不予追认时的法律后果，民法通则和合同法均规定由行为人承担民事责任，但对民事责任的性质和方式没有规定，而民法总则对此</w:t>
      </w:r>
      <w:r w:rsidRPr="0026002C">
        <w:rPr>
          <w:rFonts w:ascii="宋体" w:eastAsia="宋体" w:hAnsi="宋体" w:cs="宋体" w:hint="eastAsia"/>
          <w:color w:val="242424"/>
          <w:kern w:val="0"/>
          <w:sz w:val="28"/>
          <w:szCs w:val="28"/>
        </w:rPr>
        <w:lastRenderedPageBreak/>
        <w:t>有明确且详细的规定，人民法院在审理案件时，就可以在裁判文书的说理部分将民法总则规定的内容作为解释法律事实发生时法律规定的参考。</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二、关于公司纠纷案件的审理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会议认为，审理好公司纠纷案件，对于保护交易安全和投资安全，激发经济活力，增强投资创业信心，具有重要意义。要依法协调好公司债权人、股东、公司等各种利益主体之间的关系，处理好公司外部与内部的关系，解决好公司自治与司法介入的关系。</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（一）关于“对赌协议”的效力及履行</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实践中俗称的“对赌协议”，又称估值调整协议，是指投资方与融资方在达成股权性融资协议时，为解决交易双方对目标公司未来发展的不确定性、信息不对称以及代理成本而设计的包含了股权回购、金钱补偿等对未来目标公司的估值进行调整的协议。从订立“对赌协议”的主体来看，有投资方与目标公司的股东或者实际控制人“对赌”、投资方与目标公司“对赌”、投资方与目标公司的股东、目标公司“对赌”等形式。人民法院在审理“对赌协议”纠纷案件时，不仅应当适用合同法的相关规定，还应当适用公司法的相关规定；既要坚持鼓励投资方对实体企业特别是科技创新企业投资原则，从而在一定程度上缓解企业融资难问题，又要贯彻资本维持原则和保护债权人合法权益原则，依法平衡投资方、公司债权人、公司之间的利益。对于投资方与目标公司的股东或者实际控制人订立的“对赌协议”，如无其他无效事由，认定有效并支持实际履行，实践中并无争议。但投资方与目标公司订立的“对赌协议”是否有效以及能否实际履行，存在争议。对此，应当把握如下处理规则：</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5.【与目标公司“对赌”】投资方与目标公司订立的“对赌协议”在不存在法定无效事由的情况下，目标公司仅以存在股权回购或者金钱补偿约定为由，主张“对赌协议”无效的，人民法院不予支持，但投资方主张实际履行的，人民法院应当审查是否符合公司法关于“股东不得抽逃出资”及股份回购的强制性规定，判决是否支持其诉讼请求。</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投资方请求目标公司回购股权的，人民法院应当依据《公司法》第35条关于“股东不得抽逃出资”或者第142条关于股份回购的强制性规定进行审查。经审查，目标公司未完成减资程序的，人民法院应当驳回其诉讼请求。</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投资方请求目标公司承担金钱补偿义务的，人民法院应当依据《公司法》第35条关于“股东不得抽逃出资”和第166条关于利润分配的强制性规定进行审查。经审查，目标公司没有利润或者虽有利润但不足以补偿投资方的，人民法院应当驳回或者部分支持其诉讼请求。今后目标公司有利润时，投资方还可以依据该事实另行提起诉讼。</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（二）关于股东出资加速到期及表决权</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6.【股东出资应否加速到期】在注册资本认缴制下，股东依法享有期限利益。债权人以公司不能清偿到期债务为由，请求未届出资期限的股东在未出资范围内对公司不能清偿的债务承担补充赔偿责任的，人民法院不予支持。但是，下列情形除外：</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（1）公司作为被执行人的案件，人民法院穷尽执行措施无财产可供执行，已具备破产原因，但不申请破产的；</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（2）在公司债务产生后，公司股东（大）会决议或以其他方式延长股东出资期限的。</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7.【表决权能否受限】股东认缴的出资未届履行期限，对未缴纳部分的出资是否享有以及如何行使表决权等问题，应当根据公司章程来确定。公司章程没有规定的，应当按照认缴出资的比例确定。如果股东（大）会作出不按认缴出资比例而按实际出资比例或者其他标准确定表决权的决议，股东请求确认决议无效的，人民法院应当审查该决议是否符合修改公司章程所要求的表决程序，即必须经代表三分之二以上表决权的股东通过。符合的，人民法院不予支持；反之，则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（三）关于股权转让</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8.【有限责任公司的股权变动】当事人之间转让有限责任公司股权，受让人以其姓名或者名称已记载于股东名册为由主张其已经取得股权的，人民法院依法予以支持，但法律、行政法规规定应当办理批准手续生效的股权转让除外。未向公司登记机关办理股权变更登记的，不得对抗善意相对人。</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9.【侵犯优先购买权的股权转让合同的效力】审判实践中，部分人民法院对公司法司法解释（四）第21条规定的理解存在偏差，往往以保护其他股东的优先购买权为由认定股权转让合同无效。准确理解该条规定，既要注意保护其他股东的优先购买权，也要注意保护股东以外的股权受让人的合法权益，正确认定有限责任公司的股东与股东以外的股权受让人订立的股权转让合同的效力。一方面，其他股东依法享有优先购买权，在其主张按照股权转让合同约定的同等条件购买股权的情况下，应当支持其诉讼请求，除非出现该条第1款规定的情形。另一方面，为保护股东以外的股权受让人的合法权益，股权转让合同如无其他影响合同效力的事由，应当认定有效。其他股东行使优先购买权的，虽</w:t>
      </w:r>
      <w:r w:rsidRPr="0026002C">
        <w:rPr>
          <w:rFonts w:ascii="宋体" w:eastAsia="宋体" w:hAnsi="宋体" w:cs="宋体" w:hint="eastAsia"/>
          <w:color w:val="242424"/>
          <w:kern w:val="0"/>
          <w:sz w:val="28"/>
          <w:szCs w:val="28"/>
        </w:rPr>
        <w:lastRenderedPageBreak/>
        <w:t>然股东以外的股权受让人关于继续履行股权转让合同的请求不能得到支持，但不影响其依约请求转让股东承担相应的违约责任。</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（四）关于公司人格否认</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公司人格独立和股东有限责任是公司法的基本原则。否认公司独立人格，由滥用公司法人独立地位和股东有限责任的股东对公司债务承担连带责任，是股东有限责任的例外情形，旨在矫正有限责任制度在特定法律事实发生时对债权人保护的失衡现象。在审判实践中，要准确把握《公司法》第20条第3款规定的精神。一是只有在股东实施了滥用公司法人独立地位及股东有限责任的行为，且该行为严重损害了公司债权人利益的情况下，才能适用。损害债权人利益，主要是指股东滥用权利使公司财产不足以清偿公司债权人的债权。二是只有实施了滥用法人独立地位和股东有限责任行为的股东才对公司债务承担连带清偿责任，而其他股东不应承担此责任。三是公司人格否认不是全面、彻底、永久地否定公司的法人资格，而只是在具体案件中依据特定的法律事实、法律关系,突破股东对公司债务不承担责任的一般规则，例外地判令其承担连带责任。人民法院在个案中否认公司人格的判决的既判力仅仅约束该诉讼的各方当事人，不当然适用于涉及该公司的其他诉讼，不影响公司独立法人资格的存续。如果其他债权人提起公司人格否认诉讼，已生效判决认定的事实可以作为证据使用。四是《公司法》第20条第3款规定的滥用行为，实践中常见的情形有人格混同、过度支配与控制、资本显著不足等。在审理案件时，需要根据查明的案件事实进行综合判断，既审慎适用，又当用则用。实践中存在标准把握不严而滥用这一例外制度的现象，同时也存在因法律规定较为原则、抽象，适用难度大，而不善于适用、不敢于适用的现象，均应当引起高度重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10.【人格混同】认定公司人格与股东人格是否存在混同，最根本的判断标准是公司是否具有独立意思和独立财产，最主要的表现是公司的财产与股东的财产是否混同且无法区分。在认定是否构成人格混同时，应当综合考虑以下因素：</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（1）股东无偿使用公司资金或者财产，不作财务记载的；</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（2）股东用公司的资金偿还股东的债务，或者将公司的资金供关联公司无偿使用，不作财务记载的；</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（3）公司账簿与股东账簿不分，致使公司财产与股东财产无法区分的；</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（4）股东自身收益与公司盈利不加区分，致使双方利益不清的；</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（5）公司的财产记载于股东名下，由股东占有、使用的；</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（6）人格混同的其他情形。</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在出现人格混同的情况下，往往同时出现以下混同：公司业务和股东业务混同；公司员工与股东员工混同，特别是财务人员混同；公司住所与股东住所混同。人民法院在审理案件时，关键要审查是否构成人格混同，而不要求同时具备其他方面的混同，其他方面的混同往往只是人格混同的补强。</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11.【过度支配与控制】公司控制股东对公司过度支配与控制，操纵公司的决策过程，使公司完全丧失独立性，沦为控制股东的工具或躯壳，严重损害公司债权人利益，应当否认公司人格，由滥用控制权的股东对公司债务承担连带责任。实践中常见的情形包括：</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（1）母子公司之间或者子公司之间进行利益输送的；</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（2）母子公司或者子公司之间进行交易，收益归一方，损失却由另一方承担的；</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（3）先从原公司抽走资金，然后再成立经营目的相同或者类似的公司，逃避原公司债务的；</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（4）先解散公司，再以原公司场所、设备、人员及相同或者相似的经营目的另设公司，逃避原公司债务的；</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（5）过度支配与控制的其他情形。</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控制股东或实际控制人控制多个子公司或者关联公司，滥用控制权使多个子公司或者关联公司财产边界不清、财务混同，利益相互输送，丧失人格独立性，沦为控制股东逃避债务、非法经营，甚至违法犯罪工具的，可以综合案件事实，否认子公司或者关联公司法人人格，判令承担连带责任。</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12.【资本显著不足】资本显著不足指的是，公司设立后在经营过程中，股东实际投入公司的资本数额与公司经营所隐含的风险相比明显不匹配。股东利用较少资本从事力所不及的经营，表明其没有从事公司经营的诚意，实质是恶意利用公司独立人格和股东有限责任把投资风险转嫁给债权人。由于资本显著不足的判断标准有很大的模糊性，特别是要与公司采取“以小博大”的正常经营方式相区分，因此在适用时要十分谨慎，应当与其他因素结合起来综合判断。</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13.【诉讼地位】人民法院在审理公司人格否认纠纷案件时，应当根据不同情形确定当事人的诉讼地位：</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（1）债权人对债务人公司享有的债权已经由生效裁判确认，其另行提起公司人格否认诉讼，请求股东对公司债务承担连带责任的，列股东为被告，公司为第三人；</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（2）债权人对债务人公司享有的债权提起诉讼的同时，一并提起公司人格否认诉讼，请求股东对公司债务承担连带责任的，列公司和股东为共同被告；</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3）债权人对债务人公司享有的债权尚未经生效裁判确认，直接提起公司人格否认诉讼，请求公司股东对公司债务承担连带责任的，人民法院应当向债权人释明，告知其追加公司为共同被告。债权人拒绝追加的，人民法院应当裁定驳回起诉。</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（五）关于有限责任公司清算义务人的责任</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关于有限责任公司股东清算责任的认定，一些案件的处理结果不适当地扩大了股东的清算责任。特别是实践中出现了一些职业债权人,从其他债权人处大批量超低价收购僵尸企业的“陈年旧账”后，对批量僵尸企业提起强制清算之诉，在获得人民法院对公司主要财产、账册、重要文件等灭失的认定后，根据公司法司法解释（二）第18条第2款的规定，请求有限责任公司的股东对公司债务承担连带清偿责任。有的人民法院没有准确把握上述规定的适用条件，判决没有“怠于履行义务”的小股东或者虽“怠于履行义务”但与公司主要财产、账册、重要文件等灭失没有因果关系的小股东对公司债务承担远远超过其出资数额的责任，导致出现利益明显失衡的现象。需要明确的是，上述司法解释关于有限责任公司股东清算责任的规定，其性质是因股东怠于履行清算义务致使公司无法清算所应当承担的侵权责任。在认定有限责任公司股东是否应当对债权人承担侵权赔偿责任时，应当注意以下问题：</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14.【怠于履行清算义务的认定】公司法司法解释（二）第18条第2款规定的“怠于履行义务”，是指有限责任公司的股东在法定清算事由出现后，在能够履行清算义务的情况下，故意拖延、拒绝履行清算义务，或者因过失导致无</w:t>
      </w:r>
      <w:r w:rsidRPr="0026002C">
        <w:rPr>
          <w:rFonts w:ascii="宋体" w:eastAsia="宋体" w:hAnsi="宋体" w:cs="宋体" w:hint="eastAsia"/>
          <w:color w:val="242424"/>
          <w:kern w:val="0"/>
          <w:sz w:val="28"/>
          <w:szCs w:val="28"/>
        </w:rPr>
        <w:lastRenderedPageBreak/>
        <w:t>法进行清算的消极行为。股东举证证明其已经为履行清算义务采取了积极措施，或者小股东举证证明其既不是公司董事会或者监事会成员，也没有选派人员担任该机关成员，且从未参与公司经营管理，以不构成“怠于履行义务”为由，主张其不应当对公司债务承担连带清偿责任的，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15.【因果关系抗辩】有限责任公司的股东举证证明其“怠于履行义务”的消极不作为与“公司主要财产、账册、重要文件等灭失，无法进行清算”的结果之间没有因果关系，主张其不应对公司债务承担连带清偿责任的，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16.【诉讼时效期间】公司债权人请求股东对公司债务承担连带清偿责任，股东以公司债权人对公司的债权已经超过诉讼时效期间为由抗辩，经查证属实的，人民法院依法予以支持。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公司债权人以公司法司法解释（二）第18条第2款为依据，请求有限责任公司的股东对公司债务承担连带清偿责任的，诉讼时效期间自公司债权人知道或者应当知道公司无法进行清算之日起计算。</w:t>
      </w:r>
    </w:p>
    <w:p w:rsidR="009C4EED" w:rsidRPr="00791E9B" w:rsidRDefault="009C4EED" w:rsidP="0026002C">
      <w:pPr>
        <w:widowControl/>
        <w:shd w:val="clear" w:color="auto" w:fill="FFFFFF"/>
        <w:ind w:firstLine="480"/>
        <w:jc w:val="left"/>
        <w:rPr>
          <w:rFonts w:ascii="宋体" w:eastAsia="宋体" w:hAnsi="宋体" w:cs="宋体"/>
          <w:color w:val="3333FF"/>
          <w:kern w:val="0"/>
          <w:sz w:val="28"/>
          <w:szCs w:val="28"/>
        </w:rPr>
      </w:pPr>
      <w:r w:rsidRPr="00791E9B">
        <w:rPr>
          <w:rFonts w:ascii="宋体" w:eastAsia="宋体" w:hAnsi="宋体" w:cs="宋体" w:hint="eastAsia"/>
          <w:color w:val="3333FF"/>
          <w:kern w:val="0"/>
          <w:sz w:val="28"/>
          <w:szCs w:val="28"/>
        </w:rPr>
        <w:t>（六）关于公司为他人提供担保</w:t>
      </w:r>
    </w:p>
    <w:p w:rsidR="009C4EED" w:rsidRPr="00791E9B" w:rsidRDefault="009C4EED" w:rsidP="0026002C">
      <w:pPr>
        <w:widowControl/>
        <w:shd w:val="clear" w:color="auto" w:fill="FFFFFF"/>
        <w:ind w:firstLine="480"/>
        <w:jc w:val="left"/>
        <w:rPr>
          <w:rFonts w:ascii="宋体" w:eastAsia="宋体" w:hAnsi="宋体" w:cs="宋体"/>
          <w:color w:val="3333FF"/>
          <w:kern w:val="0"/>
          <w:sz w:val="28"/>
          <w:szCs w:val="28"/>
        </w:rPr>
      </w:pPr>
      <w:r w:rsidRPr="00791E9B">
        <w:rPr>
          <w:rFonts w:ascii="宋体" w:eastAsia="宋体" w:hAnsi="宋体" w:cs="宋体" w:hint="eastAsia"/>
          <w:color w:val="3333FF"/>
          <w:kern w:val="0"/>
          <w:sz w:val="28"/>
          <w:szCs w:val="28"/>
        </w:rPr>
        <w:t>关于公司为他人提供担保的合同效力问题，审判实践中裁判尺度不统一，严重影响了司法公信力，有必要予以规范。对此，应当把握以下几点：</w:t>
      </w:r>
    </w:p>
    <w:p w:rsidR="009C4EED" w:rsidRPr="00791E9B" w:rsidRDefault="009C4EED" w:rsidP="0026002C">
      <w:pPr>
        <w:widowControl/>
        <w:shd w:val="clear" w:color="auto" w:fill="FFFFFF"/>
        <w:ind w:firstLine="480"/>
        <w:jc w:val="left"/>
        <w:rPr>
          <w:rFonts w:ascii="宋体" w:eastAsia="宋体" w:hAnsi="宋体" w:cs="宋体"/>
          <w:color w:val="3333FF"/>
          <w:kern w:val="0"/>
          <w:sz w:val="28"/>
          <w:szCs w:val="28"/>
        </w:rPr>
      </w:pPr>
      <w:r w:rsidRPr="00791E9B">
        <w:rPr>
          <w:rFonts w:ascii="宋体" w:eastAsia="宋体" w:hAnsi="宋体" w:cs="宋体" w:hint="eastAsia"/>
          <w:color w:val="3333FF"/>
          <w:kern w:val="0"/>
          <w:sz w:val="28"/>
          <w:szCs w:val="28"/>
        </w:rPr>
        <w:t>17.【违反《公司法》第16条构成越权代表】为防止法定代表人随意代表公司为他人提供担保给公司造成损失，损害中小股东利益，《公司法》第16条对法定代表人的代表权进行了限制。根据该条规定，担保行为不是法定代表人所能单独决定的事项，而必须以公司股东（大）会、董事会等公司机关的决议作为授权的基础和来源。法定代表人未经授权擅自为他人提供担保的，构成越权</w:t>
      </w:r>
      <w:r w:rsidRPr="00791E9B">
        <w:rPr>
          <w:rFonts w:ascii="宋体" w:eastAsia="宋体" w:hAnsi="宋体" w:cs="宋体" w:hint="eastAsia"/>
          <w:color w:val="3333FF"/>
          <w:kern w:val="0"/>
          <w:sz w:val="28"/>
          <w:szCs w:val="28"/>
        </w:rPr>
        <w:lastRenderedPageBreak/>
        <w:t>代表，人民法院应当根据《合同法》第50条关于法定代表人越权代表的规定，区分订立合同时债权人是否善意分别认定合同效力：债权人善意的，合同有效；反之，合同无效。</w:t>
      </w:r>
    </w:p>
    <w:p w:rsidR="009C4EED" w:rsidRPr="00791E9B" w:rsidRDefault="009C4EED" w:rsidP="0026002C">
      <w:pPr>
        <w:widowControl/>
        <w:shd w:val="clear" w:color="auto" w:fill="FFFFFF"/>
        <w:ind w:firstLine="480"/>
        <w:jc w:val="left"/>
        <w:rPr>
          <w:rFonts w:ascii="宋体" w:eastAsia="宋体" w:hAnsi="宋体" w:cs="宋体"/>
          <w:color w:val="3333FF"/>
          <w:kern w:val="0"/>
          <w:sz w:val="28"/>
          <w:szCs w:val="28"/>
        </w:rPr>
      </w:pPr>
      <w:r w:rsidRPr="00791E9B">
        <w:rPr>
          <w:rFonts w:ascii="宋体" w:eastAsia="宋体" w:hAnsi="宋体" w:cs="宋体" w:hint="eastAsia"/>
          <w:color w:val="3333FF"/>
          <w:kern w:val="0"/>
          <w:sz w:val="28"/>
          <w:szCs w:val="28"/>
        </w:rPr>
        <w:t>18.【善意的认定】前条所称的善意，是指债权人不知道或者不应当知道法定代表人超越权限订立担保合同。《公司法》第16条对关联担保和非关联担保的决议机关作出了区别规定，相应地，在善意的判断标准上也应当有所区别。一种情形是，为公司股东或者实际控制人提供关联担保，《公司法》第16条明确规定必须由股东（大）会决议，未经股东（大）会决议，构成越权代表。在此情况下，债权人主张担保合同有效，应当提供证据证明其在订立合同时对股东（大）会决议进行了审查，决议的表决程序符合《公司法》第16条的规定，即在排除被担保股东表决权的情况下，该项表决由出席会议的其他股东所持表决权的过半数通过，签字人员也符合公司章程的规定。另一种情形是，公司为公司股东或者实际控制人以外的人提供非关联担保，根据《公司法》第16条的规定，此时由公司章程规定是由董事会决议还是股东（大）会决议。无论章程是否对决议机关作出规定，也无论章程规定决议机关为董事会还是股东（大）会，根据《民法总则》第61条第3款关于“法人章程或者法人权力机构对法定代表人代表权的限制，不得对抗善意相对人”的规定，只要债权人能够证明其在订立担保合同时对董事会决议或者股东（大）会决议进行了审查，同意决议的人数及签字人员符合公司章程的规定，就应当认定其构成善意，但公司能够证明债权人明知公司章程对决议机关有明确规定的除外。</w:t>
      </w:r>
    </w:p>
    <w:p w:rsidR="009C4EED" w:rsidRPr="00791E9B" w:rsidRDefault="009C4EED" w:rsidP="0026002C">
      <w:pPr>
        <w:widowControl/>
        <w:shd w:val="clear" w:color="auto" w:fill="FFFFFF"/>
        <w:ind w:firstLine="480"/>
        <w:jc w:val="left"/>
        <w:rPr>
          <w:rFonts w:ascii="宋体" w:eastAsia="宋体" w:hAnsi="宋体" w:cs="宋体"/>
          <w:color w:val="3333FF"/>
          <w:kern w:val="0"/>
          <w:sz w:val="28"/>
          <w:szCs w:val="28"/>
        </w:rPr>
      </w:pPr>
      <w:r w:rsidRPr="00791E9B">
        <w:rPr>
          <w:rFonts w:ascii="宋体" w:eastAsia="宋体" w:hAnsi="宋体" w:cs="宋体" w:hint="eastAsia"/>
          <w:color w:val="3333FF"/>
          <w:kern w:val="0"/>
          <w:sz w:val="28"/>
          <w:szCs w:val="28"/>
        </w:rPr>
        <w:t>债权人对公司机关决议内容的审查一般限于形式审查，只要求尽到必要的注意义务即可，标准不宜太过严苛。公司以机关决议系法定代表人伪造或者变</w:t>
      </w:r>
      <w:r w:rsidRPr="00791E9B">
        <w:rPr>
          <w:rFonts w:ascii="宋体" w:eastAsia="宋体" w:hAnsi="宋体" w:cs="宋体" w:hint="eastAsia"/>
          <w:color w:val="3333FF"/>
          <w:kern w:val="0"/>
          <w:sz w:val="28"/>
          <w:szCs w:val="28"/>
        </w:rPr>
        <w:lastRenderedPageBreak/>
        <w:t>造、决议程序违法、签章（名）不实、担保金额超过法定限额等事由抗辩债权人非善意的，人民法院一般不予支持。但是，公司有证据证明债权人明知决议系伪造或者变造的除外。</w:t>
      </w:r>
    </w:p>
    <w:p w:rsidR="009C4EED" w:rsidRPr="00791E9B" w:rsidRDefault="009C4EED" w:rsidP="0026002C">
      <w:pPr>
        <w:widowControl/>
        <w:shd w:val="clear" w:color="auto" w:fill="FFFFFF"/>
        <w:ind w:firstLine="480"/>
        <w:jc w:val="left"/>
        <w:rPr>
          <w:rFonts w:ascii="宋体" w:eastAsia="宋体" w:hAnsi="宋体" w:cs="宋体"/>
          <w:color w:val="3333FF"/>
          <w:kern w:val="0"/>
          <w:sz w:val="28"/>
          <w:szCs w:val="28"/>
        </w:rPr>
      </w:pPr>
      <w:r w:rsidRPr="00791E9B">
        <w:rPr>
          <w:rFonts w:ascii="宋体" w:eastAsia="宋体" w:hAnsi="宋体" w:cs="宋体" w:hint="eastAsia"/>
          <w:color w:val="3333FF"/>
          <w:kern w:val="0"/>
          <w:sz w:val="28"/>
          <w:szCs w:val="28"/>
        </w:rPr>
        <w:t>19.【无须机关决议的例外情况】存在下列情形的，即便债权人知道或者应当知道没有公司机关决议，也应当认定担保合同符合公司的真实意思表示，合同有效：</w:t>
      </w:r>
    </w:p>
    <w:p w:rsidR="009C4EED" w:rsidRPr="00791E9B" w:rsidRDefault="009C4EED" w:rsidP="0026002C">
      <w:pPr>
        <w:widowControl/>
        <w:shd w:val="clear" w:color="auto" w:fill="FFFFFF"/>
        <w:ind w:firstLine="480"/>
        <w:jc w:val="left"/>
        <w:rPr>
          <w:rFonts w:ascii="宋体" w:eastAsia="宋体" w:hAnsi="宋体" w:cs="宋体"/>
          <w:color w:val="3333FF"/>
          <w:kern w:val="0"/>
          <w:sz w:val="28"/>
          <w:szCs w:val="28"/>
        </w:rPr>
      </w:pPr>
      <w:r w:rsidRPr="00791E9B">
        <w:rPr>
          <w:rFonts w:ascii="宋体" w:eastAsia="宋体" w:hAnsi="宋体" w:cs="宋体" w:hint="eastAsia"/>
          <w:color w:val="3333FF"/>
          <w:kern w:val="0"/>
          <w:sz w:val="28"/>
          <w:szCs w:val="28"/>
        </w:rPr>
        <w:t>（1）公司是以为他人提供担保为主营业务的担保公司，或者是开展保函业务的银行或者非银行金融机构；</w:t>
      </w:r>
    </w:p>
    <w:p w:rsidR="009C4EED" w:rsidRPr="00791E9B" w:rsidRDefault="009C4EED" w:rsidP="0026002C">
      <w:pPr>
        <w:widowControl/>
        <w:shd w:val="clear" w:color="auto" w:fill="FFFFFF"/>
        <w:ind w:firstLine="480"/>
        <w:jc w:val="left"/>
        <w:rPr>
          <w:rFonts w:ascii="宋体" w:eastAsia="宋体" w:hAnsi="宋体" w:cs="宋体"/>
          <w:color w:val="3333FF"/>
          <w:kern w:val="0"/>
          <w:sz w:val="28"/>
          <w:szCs w:val="28"/>
        </w:rPr>
      </w:pPr>
      <w:r w:rsidRPr="00791E9B">
        <w:rPr>
          <w:rFonts w:ascii="宋体" w:eastAsia="宋体" w:hAnsi="宋体" w:cs="宋体" w:hint="eastAsia"/>
          <w:color w:val="3333FF"/>
          <w:kern w:val="0"/>
          <w:sz w:val="28"/>
          <w:szCs w:val="28"/>
        </w:rPr>
        <w:t>（2）公司为其直接或者间接控制的公司开展经营活动向债权人提供担保；</w:t>
      </w:r>
    </w:p>
    <w:p w:rsidR="009C4EED" w:rsidRPr="00791E9B" w:rsidRDefault="009C4EED" w:rsidP="0026002C">
      <w:pPr>
        <w:widowControl/>
        <w:shd w:val="clear" w:color="auto" w:fill="FFFFFF"/>
        <w:ind w:firstLine="480"/>
        <w:jc w:val="left"/>
        <w:rPr>
          <w:rFonts w:ascii="宋体" w:eastAsia="宋体" w:hAnsi="宋体" w:cs="宋体"/>
          <w:color w:val="3333FF"/>
          <w:kern w:val="0"/>
          <w:sz w:val="28"/>
          <w:szCs w:val="28"/>
        </w:rPr>
      </w:pPr>
      <w:r w:rsidRPr="00791E9B">
        <w:rPr>
          <w:rFonts w:ascii="宋体" w:eastAsia="宋体" w:hAnsi="宋体" w:cs="宋体" w:hint="eastAsia"/>
          <w:color w:val="3333FF"/>
          <w:kern w:val="0"/>
          <w:sz w:val="28"/>
          <w:szCs w:val="28"/>
        </w:rPr>
        <w:t>（3）公司与主债务人之间存在相互担保等商业合作关系；</w:t>
      </w:r>
    </w:p>
    <w:p w:rsidR="009C4EED" w:rsidRPr="00791E9B" w:rsidRDefault="009C4EED" w:rsidP="0026002C">
      <w:pPr>
        <w:widowControl/>
        <w:shd w:val="clear" w:color="auto" w:fill="FFFFFF"/>
        <w:ind w:firstLine="480"/>
        <w:jc w:val="left"/>
        <w:rPr>
          <w:rFonts w:ascii="宋体" w:eastAsia="宋体" w:hAnsi="宋体" w:cs="宋体"/>
          <w:color w:val="3333FF"/>
          <w:kern w:val="0"/>
          <w:sz w:val="28"/>
          <w:szCs w:val="28"/>
        </w:rPr>
      </w:pPr>
      <w:r w:rsidRPr="00791E9B">
        <w:rPr>
          <w:rFonts w:ascii="宋体" w:eastAsia="宋体" w:hAnsi="宋体" w:cs="宋体" w:hint="eastAsia"/>
          <w:color w:val="3333FF"/>
          <w:kern w:val="0"/>
          <w:sz w:val="28"/>
          <w:szCs w:val="28"/>
        </w:rPr>
        <w:t>（4）担保合同系由单独或者共同持有公司三分之二以上有表决权的股东签字同意。</w:t>
      </w:r>
    </w:p>
    <w:p w:rsidR="009C4EED" w:rsidRPr="00791E9B" w:rsidRDefault="009C4EED" w:rsidP="0026002C">
      <w:pPr>
        <w:widowControl/>
        <w:shd w:val="clear" w:color="auto" w:fill="FFFFFF"/>
        <w:ind w:firstLine="480"/>
        <w:jc w:val="left"/>
        <w:rPr>
          <w:rFonts w:ascii="宋体" w:eastAsia="宋体" w:hAnsi="宋体" w:cs="宋体"/>
          <w:color w:val="3333FF"/>
          <w:kern w:val="0"/>
          <w:sz w:val="28"/>
          <w:szCs w:val="28"/>
        </w:rPr>
      </w:pPr>
      <w:r w:rsidRPr="00791E9B">
        <w:rPr>
          <w:rFonts w:ascii="宋体" w:eastAsia="宋体" w:hAnsi="宋体" w:cs="宋体" w:hint="eastAsia"/>
          <w:color w:val="3333FF"/>
          <w:kern w:val="0"/>
          <w:sz w:val="28"/>
          <w:szCs w:val="28"/>
        </w:rPr>
        <w:t>20.【越权担保的民事责任】依据前述3条规定，担保合同有效，债权人请求公司承担担保责任的，人民法院依法予以支持；担保合同无效，债权人请求公司承担担保责任的，人民法院不予支持，但可以按照担保法及有关司法解释关于担保无效的规定处理。公司举证证明债权人明知法定代表人超越权限或者机关决议系伪造或者变造，债权人请求公司承担合同无效后的民事责任的，人民法院不予支持。</w:t>
      </w:r>
    </w:p>
    <w:p w:rsidR="009C4EED" w:rsidRPr="00791E9B" w:rsidRDefault="009C4EED" w:rsidP="0026002C">
      <w:pPr>
        <w:widowControl/>
        <w:shd w:val="clear" w:color="auto" w:fill="FFFFFF"/>
        <w:ind w:firstLine="480"/>
        <w:jc w:val="left"/>
        <w:rPr>
          <w:rFonts w:ascii="宋体" w:eastAsia="宋体" w:hAnsi="宋体" w:cs="宋体"/>
          <w:color w:val="3333FF"/>
          <w:kern w:val="0"/>
          <w:sz w:val="28"/>
          <w:szCs w:val="28"/>
        </w:rPr>
      </w:pPr>
      <w:r w:rsidRPr="00791E9B">
        <w:rPr>
          <w:rFonts w:ascii="宋体" w:eastAsia="宋体" w:hAnsi="宋体" w:cs="宋体" w:hint="eastAsia"/>
          <w:color w:val="3333FF"/>
          <w:kern w:val="0"/>
          <w:sz w:val="28"/>
          <w:szCs w:val="28"/>
        </w:rPr>
        <w:t>21.【权利救济】法定代表人的越权担保行为给公司造成损失，公司请求法定代表人承担赔偿责任的，人民法院依法予以支持。公司没有提起诉讼，股东依据《公司法》第151条的规定请求法定代表人承担赔偿责任的，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22.【上市公司为他人提供担保】债权人根据上市公司公开披露的关于担保事项已经董事会或者股东大会决议通过的信息订立的担保合同，人民法院应当认定有效。</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23.【债务加入准用担保规则】法定代表人以公司名义与债务人约定加入债务并通知债权人或者向债权人表示愿意加入债务，该约定的效力问题，参照本纪要关于公司为他人提供担保的有关规则处理。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（七）关于股东代表诉讼</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24.【何时成为股东不影响起诉】股东提起股东代表诉讼，被告以行为发生时原告尚未成为公司股东为由抗辩该股东不是适格原告的，人民法院不予支持。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25.【正确适用前置程序】根据《公司法》第151条的规定，股东提起代表诉讼的前置程序之一是，股东必须先书面请求公司有关机关向人民法院提起诉讼。一般情况下，股东没有履行该前置程序的，应当驳回起诉。但是，该项前置程序针对的是公司治理的一般情况，即在股东向公司有关机关提出书面申请之时，存在公司有关机关提起诉讼的可能性。如果查明的相关事实表明，根本不存在该种可能性的，人民法院不应当以原告未履行前置程序为由驳回起诉。</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26.【股东代表诉讼的反诉】股东依据《公司法》第151条第3款的规定提起股东代表诉讼后，被告以原告股东恶意起诉侵犯其合法权益为由提起反诉的，人民法院应予受理。被告以公司在案涉纠纷中应当承担侵权或者违约等责任为由对公司提出的反诉，因不符合反诉的要件，人民法院应当裁定不予受理；已经受理的，裁定驳回起诉。</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27.【股东代表诉讼的调解】公司是股东代表诉讼的最终受益人，为避免因原告股东与被告通过调解损害公司利益，人民法院应当审查调解协议是否为公司的意思。只有在调解协议经公司股东（大）会、董事会决议通过后，人民法院才能出具调解书予以确认。至于具体决议机关，取决于公司章程的规定。公司章程没有规定的，人民法院应当认定公司股东（大）会为决议机关。</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（八）其他问题</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28.【实际出资人显名的条件】实际出资人能够提供证据证明有限责任公司过半数的其他股东知道其实际出资的事实，且对其实际行使股东权利未曾提出异议的，对实际出资人提出的登记为公司股东的请求，人民法院依法予以支持。公司以实际出资人的请求不符合公司法司法解释（三）第24条的规定为由抗辩的，人民法院不予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29. 【请求召开股东（大）会不可诉】公司召开股东（大）会本质上属于公司内部治理范围。股东请求判令公司召开股东（大）会的，人民法院应当告知其按照《公司法》第40条或者第101条规定的程序自行召开。股东坚持起诉的，人民法院应当裁定不予受理；已经受理的，裁定驳回起诉。</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三、关于合同纠纷案件的审理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会议认为，合同是市场化配置资源的主要方式，合同纠纷也是民商事纠纷的主要类型。人民法院在审理合同纠纷案件时，要坚持鼓励交易原则，充分尊重当事人的意思自治。要依法审慎认定合同效力。要根据诚实信用原则，合理解释合同条款、确定履行内容，合理确定当事人的权利义务关系，审慎适用合同解除制度，依法调整过高的违约金，强化对守约者诚信行为的保护力度，提高违法违约成本，促进诚信社会构建。</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（一）关于合同效力</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人民法院在审理合同纠纷案件过程中，要依职权审查合同是否存在无效的情形，注意无效与可撤销、未生效、效力待定等合同效力形态之间的区别，准确认定合同效力，并根据效力的不同情形，结合当事人的诉讼请求，确定相应的民事责任。</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30.【强制性规定的识别】合同法施行后，针对一些人民法院动辄以违反法律、行政法规的强制性规定为由认定合同无效，不当扩大无效合同范围的情形，合同法司法解释（二）第14条将《合同法》第52条第5项规定的“强制性规定”明确限于“效力性强制性规定”。此后，《最高人民法院关于当前形势下审理民商事合同纠纷案件若干问题的指导意见》进一步提出了“管理性强制性规定”的概念，指出违反管理性强制性规定的，人民法院应当根据具体情形认定合同效力。随着这一概念的提出，审判实践中又出现了另一种倾向，有的人民法院认为凡是行政管理性质的强制性规定都属于“管理性强制性规定”，不影响合同效力。这种望文生义的认定方法，应予纠正。</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人民法院在审理合同纠纷案件时，要依据《民法总则》第153条第1款和合同法司法解释（二）第14条的规定慎重判断“强制性规定”的性质，特别是要在考量强制性规定所保护的法益类型、违法行为的法律后果以及交易安全保护等因素的基础上认定其性质，并在裁判文书中充分说明理由。下列强制性规定，应当认定为“效力性强制性规定”：强制性规定涉及金融安全、市场秩序、国家宏观政策等公序良俗的；交易标的禁止买卖的，如禁止人体器官、毒品、枪支等买卖；违反特许经营规定的，如场外配资合同；交易方式严重违法的，如违反招投标等竞争性缔约方式订立的合同；交易场所违法的，如在批准</w:t>
      </w:r>
      <w:r w:rsidRPr="0026002C">
        <w:rPr>
          <w:rFonts w:ascii="宋体" w:eastAsia="宋体" w:hAnsi="宋体" w:cs="宋体" w:hint="eastAsia"/>
          <w:color w:val="242424"/>
          <w:kern w:val="0"/>
          <w:sz w:val="28"/>
          <w:szCs w:val="28"/>
        </w:rPr>
        <w:lastRenderedPageBreak/>
        <w:t>的交易场所之外进行期货交易。关于经营范围、交易时间、交易数量等行政管理性质的强制性规定，一般应当认定为“管理性强制性规定”。</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31.【违反规章的合同效力】违反规章一般情况下不影响合同效力，但该规章的内容涉及金融安全、市场秩序、国家宏观政策等公序良俗的，应当认定合同无效。人民法院在认定规章是否涉及公序良俗时，要在考察规范对象基础上，兼顾监管强度、交易安全保护以及社会影响等方面进行慎重考量，并在裁判文书中进行充分说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32.【合同不成立、无效或者被撤销的法律后果】《合同法》第58条就合同无效或者被撤销时的财产返还责任和损害赔偿责任作了规定，但未规定合同不成立的法律后果。考虑到合同不成立时也可能发生财产返还和损害赔偿责任问题，故应当参照适用该条的规定。</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在确定合同不成立、无效或者被撤销后财产返还或者折价补偿范围时，要根据诚实信用原则的要求，在当事人之间合理分配，不能使不诚信的当事人因合同不成立、无效或者被撤销而获益。合同不成立、无效或者被撤销情况下，当事人所承担的缔约过失责任不应超过合同履行利益。比如，依据《最高人民法院关于审理建设工程施工合同纠纷案件适用法律问题的解释》第2条规定，建设工程施工合同无效，在建设工程经竣工验收合格情况下，可以参照合同约定支付工程款，但除非增加了合同约定之外新的工程项目，一般不应超出合同约定支付工程款。</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33.【财产返还与折价补偿】合同不成立、无效或者被撤销后，在确定财产返还时，要充分考虑财产增值或者贬值的因素。双务合同不成立、无效或者被撤销后，双方因该合同取得财产的，应当相互返还。应予返还的股权、房屋等</w:t>
      </w:r>
      <w:r w:rsidRPr="0026002C">
        <w:rPr>
          <w:rFonts w:ascii="宋体" w:eastAsia="宋体" w:hAnsi="宋体" w:cs="宋体" w:hint="eastAsia"/>
          <w:color w:val="242424"/>
          <w:kern w:val="0"/>
          <w:sz w:val="28"/>
          <w:szCs w:val="28"/>
        </w:rPr>
        <w:lastRenderedPageBreak/>
        <w:t>财产相对于合同约定价款出现增值或者贬值的，人民法院要综合考虑市场因素、受让人的经营或者添附等行为与财产增值或者贬值之间的关联性，在当事人之间合理分配或者分担，避免一方因合同不成立、无效或者被撤销而获益。在标的物已经灭失、转售他人或者其他无法返还的情况下，当事人主张返还原物的，人民法院不予支持，但其主张折价补偿的，人民法院依法予以支持。折价时，应当以当事人交易时约定的价款为基础，同时考虑当事人在标的物灭失或者转售时的获益情况综合确定补偿标准。标的物灭失时当事人获得的保险金或者其他赔偿金，转售时取得的对价，均属于当事人因标的物而获得的利益。对获益高于或者低于价款的部分，也应当在当事人之间合理分配或者分担。</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34.【价款返还】双务合同不成立、无效或者被撤销时，标的物返还与价款返还互为对待给付，双方应当同时返还。关于应否支付利息问题，只要一方对标的物有使用情形的，一般应当支付使用费，该费用可与占有价款一方应当支付的资金占用费相互抵销，故在一方返还原物前，另一方仅须支付本金，而无须支付利息。</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35.【损害赔偿】合同不成立、无效或者被撤销时，仅返还财产或者折价补偿不足以弥补损失，一方还可以向有过错的另一方请求损害赔偿。在确定损害赔偿范围时，既要根据当事人的过错程度合理确定责任，又要考虑在确定财产返还范围时已经考虑过的财产增值或者贬值因素，避免双重获利或者双重受损的现象发生。</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36.【合同无效时的释明问题】在双务合同中，原告起诉请求确认合同有效并请求继续履行合同，被告主张合同无效的，或者原告起诉请求确认合同无效并返还财产，而被告主张合同有效的，都要防止机械适用“不告不理”原则，</w:t>
      </w:r>
      <w:r w:rsidRPr="0026002C">
        <w:rPr>
          <w:rFonts w:ascii="宋体" w:eastAsia="宋体" w:hAnsi="宋体" w:cs="宋体" w:hint="eastAsia"/>
          <w:color w:val="242424"/>
          <w:kern w:val="0"/>
          <w:sz w:val="28"/>
          <w:szCs w:val="28"/>
        </w:rPr>
        <w:lastRenderedPageBreak/>
        <w:t>仅就当事人的诉讼请求进行审理，而应向原告释明变更或者增加诉讼请求，或者向被告释明提出同时履行抗辩，尽可能一次性解决纠纷。例如，基于合同有给付行为的原告请求确认合同无效，但并未提出返还原物或者折价补偿、赔偿损失等请求的，人民法院应当向其释明，告知其一并提出相应诉讼请求；原告请求确认合同无效并要求被告返还原物或者赔偿损失，被告基于合同也有给付行为的，人民法院同样应当向被告释明，告知其也可以提出返还请求；人民法院经审理认定合同无效的，除了要在判决书“本院认为”部分对同时返还作出认定外，还应当在判项中作出明确表述，避免因判令单方返还而出现不公平的结果。</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第一审人民法院未予释明，第二审人民法院认为应当对合同不成立、无效或者被撤销的法律后果作出判决的，可以直接释明并改判。当然，如果返还财产或者赔偿损失的范围确实难以确定或者双方争议较大的，也可以告知当事人通过另行起诉等方式解决，并在裁判文书中予以明确。</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当事人按照释明变更诉讼请求或者提出抗辩的，人民法院应当将其归纳为案件争议焦点，组织当事人充分举证、质证、辩论。</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37.【未经批准合同的效力】法律、行政法规规定某类合同应当办理批准手续生效的，如商业银行法、证券法、保险法等法律规定购买商业银行、证券公司、保险公司5%以上股权须经相关主管部门批准，依据《合同法》第44条第2款的规定，批准是合同的法定生效条件，未经批准的合同因欠缺法律规定的特别生效条件而未生效。实践中的一个突出问题是，把未生效合同认定为无效合同，或者虽认定为未生效，却按无效合同处理。无效合同从本质上来说是欠缺合同的有效要件，或者具有合同无效的法定事由，自始不发生法律效力。而未</w:t>
      </w:r>
      <w:r w:rsidRPr="0026002C">
        <w:rPr>
          <w:rFonts w:ascii="宋体" w:eastAsia="宋体" w:hAnsi="宋体" w:cs="宋体" w:hint="eastAsia"/>
          <w:color w:val="242424"/>
          <w:kern w:val="0"/>
          <w:sz w:val="28"/>
          <w:szCs w:val="28"/>
        </w:rPr>
        <w:lastRenderedPageBreak/>
        <w:t>生效合同已具备合同的有效要件，对双方具有一定的拘束力，任何一方不得擅自撤回、解除、变更，但因欠缺法律、行政法规规定或当事人约定的特别生效条件，在该生效条件成就前，不能产生请求对方履行合同主要权利义务的法律效力。</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38.【报批义务及相关违约条款独立生效】须经行政机关批准生效的合同，对报批义务及未履行报批义务的违约责任等相关内容作出专门约定的，该约定独立生效。一方因另一方不履行报批义务，请求解除合同并请求其承担合同约定的相应违约责任的，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39.【报批义务的释明】须经行政机关批准生效的合同，一方请求另一方履行合同主要权利义务的，人民法院应当向其释明，将诉讼请求变更为请求履行报批义务。一方变更诉讼请求的，人民法院依法予以支持；经释明后当事人拒绝变更的，应当驳回其诉讼请求，但不影响其另行提起诉讼。</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40.【判决履行报批义务后的处理】人民法院判决一方履行报批义务后，该当事人拒绝履行，经人民法院强制执行仍未履行，对方请求其承担合同违约责任的，人民法院依法予以支持。一方依据判决履行报批义务，行政机关予以批准，合同发生完全的法律效力，其请求对方履行合同的，人民法院依法予以支持；行政机关没有批准，合同不具有法律上的可履行性，一方请求解除合同的，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41.【盖章行为的法律效力】司法实践中，有些公司有意刻制两套甚至多套公章，有的法定代表人或者代理人甚至私刻公章，订立合同时恶意加盖非备案的公章或者假公章，发生纠纷后法人以加盖的是假公章为由否定合同效力的情</w:t>
      </w:r>
      <w:r w:rsidRPr="0026002C">
        <w:rPr>
          <w:rFonts w:ascii="宋体" w:eastAsia="宋体" w:hAnsi="宋体" w:cs="宋体" w:hint="eastAsia"/>
          <w:color w:val="242424"/>
          <w:kern w:val="0"/>
          <w:sz w:val="28"/>
          <w:szCs w:val="28"/>
        </w:rPr>
        <w:lastRenderedPageBreak/>
        <w:t>形并不鲜见。人民法院在审理案件时，应当主要审查签约人于盖章之时有无代表权或者代理权，从而根据代表或者代理的相关规则来确定合同的效力。</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法定代表人或者其授权之人在合同上加盖法人公章的行为，表明其是以法人名义签订合同，除《公司法》第16条等法律对其职权有特别规定的情形外，应当由法人承担相应的法律后果。法人以法定代表人事后已无代表权、加盖的是假章、所盖之章与备案公章不一致等为由否定合同效力的，人民法院不予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代理人以被代理人名义签订合同，要取得合法授权。代理人取得合法授权后，以被代理人名义签订的合同，应当由被代理人承担责任。被代理人以代理人事后已无代理权、加盖的是假章、所盖之章与备案公章不一致等为由否定合同效力的，人民法院不予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42.【撤销权的行使】撤销权应当由当事人行使。当事人未请求撤销的，人民法院不应当依职权撤销合同。一方请求另一方履行合同，另一方以合同具有可撤销事由提出抗辩的，人民法院应当在审查合同是否具有可撤销事由以及是否超过法定期间等事实的基础上，对合同是否可撤销作出判断，不能仅以当事人未提起诉讼或者反诉为由不予审查或者不予支持。一方主张合同无效，依据的却是可撤销事由，此时人民法院应当全面审查合同是否具有无效事由以及当事人主张的可撤销事由。当事人关于合同无效的事由成立的，人民法院应当认定合同无效。当事人主张合同无效的理由不成立，而可撤销的事由成立的，因合同无效和可撤销的后果相同，人民法院也可以结合当事人的诉讼请求，直接判决撤销合同。</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（二）关于合同履行与救济</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在认定以物抵债协议的性质和效力时，要根据订立协议时履行期限是否已经届满予以区别对待。合同解除、违约责任都是非违约方寻求救济的主要方式，人民法院在认定合同应否解除时，要根据当事人有无解除权、是约定解除还是法定解除等不同情形，分别予以处理。在确定违约责任时，尤其要注意依法适用违约金调整的相关规则，避免简单地以民间借贷利率的司法保护上限作为调整依据。</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43.【抵销】抵销权既可以通知的方式行使，也可以提出抗辩或者提起反诉的方式行使。抵销的意思表示自到达对方时生效，抵销一经生效，其效力溯及自抵销条件成就之时，双方互负的债务在同等数额内消灭。双方互负的债务数额，是截至抵销条件成就之时各自负有的包括主债务、利息、违约金、赔偿金等在内的全部债务数额。行使抵销权一方享有的债权不足以抵销全部债务数额，当事人对抵销顺序又没有特别约定的，应当根据实现债权的费用、利息、主债务的顺序进行抵销。</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44.【履行期届满后达成的以物抵债协议】当事人在债务履行期限届满后达成以物抵债协议，抵债物尚未交付债权人，债权人请求债务人交付的，人民法院要着重审查以物抵债协议是否存在恶意损害第三人合法权益等情形，避免虚假诉讼的发生。经审查，不存在以上情况，且无其他无效事由的，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当事人在一审程序中因达成以物抵债协议申请撤回起诉的，人民法院可予准许。当事人在二审程序中申请撤回上诉的，人民法院应当告知其申请撤回起诉。当事人申请撤回起诉，经审查不损害国家利益、社会公共利益、他人合法权益的，人民法院可予准许。当事人不申请撤回起诉，请求人民法院出具调解</w:t>
      </w:r>
      <w:r w:rsidRPr="0026002C">
        <w:rPr>
          <w:rFonts w:ascii="宋体" w:eastAsia="宋体" w:hAnsi="宋体" w:cs="宋体" w:hint="eastAsia"/>
          <w:color w:val="242424"/>
          <w:kern w:val="0"/>
          <w:sz w:val="28"/>
          <w:szCs w:val="28"/>
        </w:rPr>
        <w:lastRenderedPageBreak/>
        <w:t>书对以物抵债协议予以确认的，因债务人完全可以立即履行该协议，没有必要由人民法院出具调解书，故人民法院不应准许，同时应当继续对原债权债务关系进行审理。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45.【履行期届满前达成的以物抵债协议】当事人在债务履行期届满前达成以物抵债协议，抵债物尚未交付债权人，债权人请求债务人交付的，因此种情况不同于本纪要第71条规定的让与担保，人民法院应当向其释明，其应当根据原债权债务关系提起诉讼。经释明后当事人仍拒绝变更诉讼请求的，应当驳回其诉讼请求，但不影响其根据原债权债务关系另行提起诉讼。</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46.【通知解除的条件】审判实践中，部分人民法院对合同法司法解释（二）第24条的理解存在偏差，认为不论发出解除通知的一方有无解除权，只要另一方未在异议期限内以起诉方式提出异议，就判令解除合同，这不符合合同法关于合同解除权行使的有关规定。对该条的准确理解是，只有享有法定或者约定解除权的当事人才能以通知方式解除合同。不享有解除权的一方向另一方发出解除通知，另一方即便未在异议期限内提起诉讼，也不发生合同解除的效果。人民法院在审理案件时，应当审查发出解除通知的一方是否享有约定或者法定的解除权来决定合同应否解除，不能仅以受通知一方在约定或者法定的异议期限届满内未起诉这一事实就认定合同已经解除。</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47.【约定解除条件】合同约定的解除条件成就时，守约方以此为由请求解除合同的，人民法院应当审查违约方的违约程度是否显著轻微，是否影响守约方合同目的实现，根据诚实信用原则，确定合同应否解除。违约方的违约程度显著轻微，不影响守约方合同目的实现，守约方请求解除合同的，人民法院不予支持；反之，则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48.【违约方起诉解除】违约方不享有单方解除合同的权利。但是，在一些长期性合同如房屋租赁合同履行过程中，双方形成合同僵局，一概不允许违约方通过起诉的方式解除合同，有时对双方都不利。在此前提下，符合下列条件，违约方起诉请求解除合同的，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（1）违约方不存在恶意违约的情形；</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（2）违约方继续履行合同，对其显失公平；</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（3）守约方拒绝解除合同，违反诚实信用原则。</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人民法院判决解除合同的，违约方本应当承担的违约责任不能因解除合同而减少或者免除。</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49.【合同解除的法律后果】合同解除时，一方依据合同中有关违约金、约定损害赔偿的计算方法、定金责任等违约责任条款的约定，请求另一方承担违约责任的，人民法院依法予以支持。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双务合同解除时人民法院的释明问题，参照本纪要第36条的相关规定处理。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50.【违约金过高标准及举证责任】认定约定违约金是否过高，一般应当以《合同法》第113条规定的损失为基础进行判断，这里的损失包括合同履行后可以获得的利益。除借款合同外的双务合同，作为对价的价款或者报酬给付之债，并非借款合同项下的还款义务，不能以受法律保护的民间借贷利率上限作为判断违约金是否过高的标准，而应当兼顾合同履行情况、当事人过错程度以及预期利益等因素综合确定。主张违约金过高的违约方应当对违约金是否过高承担举证责任。</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（三）关于借款合同</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人民法院在审理借款合同纠纷案件过程中，要根据防范化解重大金融风险、金融服务实体经济、降低融资成本的精神，区别对待金融借贷与民间借贷，并适用不同规则与利率标准。要依法否定高利转贷行为、职业放贷行为的效力，充分发挥司法的示范、引导作用，促进金融服务实体经济。要注意到，为深化利率市场化改革，推动降低实体利率水平，自2019年8月20日起，中国人民银行已经授权全国银行间同业拆借中心于每月20日（遇节假日顺延）9时30分公布贷款市场报价利率（LPR）,中国人民银行贷款基准利率这一标准已经取消。因此，自此之后人民法院裁判贷款利息的基本标准应改为全国银行间同业拆借中心公布的贷款市场报价利率。应予注意的是，贷款利率标准尽管发生了变化，但存款基准利率并未发生相应变化，相关标准仍可适用。</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51.【变相利息的认定】 金融借款合同纠纷中，借款人认为金融机构以服务费、咨询费、顾问费、管理费等为名变相收取利息，金融机构或者由其指定的人收取的相关费用不合理的，人民法院可以根据提供服务的实际情况确定借款人应否支付或者酌减相关费用。</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52.【高利转贷】民间借贷中，出借人的资金必须是自有资金。出借人套取金融机构信贷资金又高利转贷给借款人的民间借贷行为，既增加了融资成本，又扰乱了信贷秩序，根据民间借贷司法解释第14条第1项的规定，应当认定此类民间借贷行为无效。人民法院在适用该条规定时，应当注意把握以下几点：一是要审查出借人的资金来源。借款人能够举证证明在签订借款合同时出借人尚欠银行贷款未还的，一般可以推定为出借人套取信贷资金，但出借人能够举反证予以推翻的除外；二是从宽认定“高利”转贷行为的标准，只要出借人通过转贷行为牟利的，就可以认定为是“高利”转贷行为；三是对该条规定的</w:t>
      </w:r>
      <w:r w:rsidRPr="0026002C">
        <w:rPr>
          <w:rFonts w:ascii="宋体" w:eastAsia="宋体" w:hAnsi="宋体" w:cs="宋体" w:hint="eastAsia"/>
          <w:color w:val="242424"/>
          <w:kern w:val="0"/>
          <w:sz w:val="28"/>
          <w:szCs w:val="28"/>
        </w:rPr>
        <w:lastRenderedPageBreak/>
        <w:t>“借款人事先知道或者应当知道的”要件，不宜把握过苛。实践中，只要出借人在签订借款合同时存在尚欠银行贷款未还事实的，一般可以认为满足了该条规定的“借款人事先知道或者应当知道”这一要件。</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53.【职业放贷人】未依法取得放贷资格的以民间借贷为业的法人，以及以民间借贷为业的非法人组织或者自然人从事的民间借贷行为，应当依法认定无效。同一出借人在一定期间内多次反复从事有偿民间借贷行为的，一般可以认定为是职业放贷人。民间借贷比较活跃的地方的高级人民法院或者经其授权的中级人民法院，可以根据本地区的实际情况制定具体的认定标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四、关于担保纠纷案件的审理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会议认为，要注意担保法及其司法解释与物权法对独立担保、混合担保、担保期间等有关制度的不同规定，根据新的规定优于旧的规定的法律适用规则，优先适用物权法的规定。从属性是担保的基本属性，要慎重认定独立担保行为的效力，将其严格限定在法律或者司法解释明确规定的情形。要根据区分原则，准确认定担保合同效力。要坚持物权法定、公示公信原则，区分不动产与动产担保物权在物权变动、效力规则等方面的异同，准确适用法律。要充分发挥担保对缓解融资难融资贵问题的积极作用，不轻易否定新类型担保、非典型担保的合同效力及担保功能。</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（一）关于担保的一般规则</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54.【独立担保】从属性是担保的基本属性，但由银行或者非银行金融机构开立的独立保函除外。独立保函纠纷案件依据《最高人民法院关于审理独立保函纠纷案件若干问题的规定》处理。需要进一步明确的是：凡是由银行或者非银行金融机构开立的符合该司法解释第1条、第3条规定情形的保函，无论是</w:t>
      </w:r>
      <w:r w:rsidRPr="0026002C">
        <w:rPr>
          <w:rFonts w:ascii="宋体" w:eastAsia="宋体" w:hAnsi="宋体" w:cs="宋体" w:hint="eastAsia"/>
          <w:color w:val="242424"/>
          <w:kern w:val="0"/>
          <w:sz w:val="28"/>
          <w:szCs w:val="28"/>
        </w:rPr>
        <w:lastRenderedPageBreak/>
        <w:t>用于国际商事交易还是用于国内商事交易，均不影响保函的效力。银行或者非银行金融机构之外的当事人开立的独立保函，以及当事人有关排除担保从属性的约定，应当认定无效。但是，根据“无效法律行为的转换”原理，在否定其独立担保效力的同时，应当将其认定为从属性担保。此时，如果主合同有效，则担保合同有效，担保人与主债务人承担连带保证责任。主合同无效，则该所谓的独立担保也随之无效，担保人无过错的，不承担责任；担保人有过错的，其承担民事责任的部分，不应超过债务人不能清偿部分的三分之一。</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55.【担保责任的范围】担保人承担的担保责任范围不应当大于主债务，是担保从属性的必然要求。当事人约定的担保责任的范围大于主债务的，如针对担保责任约定专门的违约责任、担保责任的数额高于主债务、担保责任约定的利息高于主债务利息、担保责任的履行期先于主债务履行期届满，等等，均应当认定大于主债务部分的约定无效，从而使担保责任缩减至主债务的范围。</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56.【混合担保中担保人之间的追偿问题】被担保的债权既有保证又有第三人提供的物的担保的，担保法司法解释第38条明确规定，承担了担保责任的担保人可以要求其他担保人清偿其应当分担的份额。但《物权法》第176条并未作出类似规定，根据《物权法》第178条关于“担保法与本法的规定不一致的，适用本法”的规定，承担了担保责任的担保人向其他担保人追偿的，人民法院不予支持，但担保人在担保合同中约定可以相互追偿的除外。</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57.【借新还旧的担保物权】贷款到期后，借款人与贷款人订立新的借款合同，将新贷用于归还旧贷，旧贷因清偿而消灭，为旧贷设立的担保物权也随之消灭。贷款人以旧贷上的担保物权尚未进行涂销登记为由，主张对新贷行使担保物权的，人民法院不予支持，但当事人约定继续为新贷提供担保的除外。</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58.【担保债权的范围】以登记作为公示方式的不动产担保物权的担保范围，一般应当以登记的范围为准。但是，我国目前不动产担保物权登记，不同地区的系统设置及登记规则并不一致，人民法院在审理案件时应当充分注意制度设计上的差别，作出符合实际的判断：一是多数省区市的登记系统未设置“担保范围”栏目，仅有“被担保主债权数额（最高债权数额）”的表述，且只能填写固定数字。而当事人在合同中又往往约定担保物权的担保范围包括主债权及其利息、违约金等附属债权，致使合同约定的担保范围与登记不一致。显然，这种不一致是由于该地区登记系统设置及登记规则造成的该地区的普遍现象。人民法院以合同约定认定担保物权的担保范围，是符合实际的妥当选择。二是一些省区市不动产登记系统设置与登记规则比较规范，担保物权登记范围与合同约定一致在该地区是常态或者普遍现象，人民法院在审理案件时，应当以登记的担保范围为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59.【主债权诉讼时效届满的法律后果】抵押权人应当在主债权的诉讼时效期间内行使抵押权。抵押权人在主债权诉讼时效届满前未行使抵押权，抵押人在主债权诉讼时效届满后请求涂销抵押权登记的，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以登记作为公示方法的权利质权，参照适用前款规定。</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（二）关于不动产担保物权</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60.【未办理登记的不动产抵押合同的效力】不动产抵押合同依法成立，但未办理抵押登记手续，债权人请求抵押人办理抵押登记手续的，人民法院依法予以支持。因抵押物灭失以及抵押物转让他人等原因不能办理抵押登记，债权人请求抵押人以抵押物的价值为限承担责任的，人民法院依法予以支持，但其范围不得超过抵押权有效设立时抵押人所应当承担的责任。</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61.【房地分别抵押】根据《物权法》第182条之规定，仅以建筑物设定抵押的，抵押权的效力及于占用范围内的土地；仅以建设用地使用权抵押的，抵押权的效力亦及于其上的建筑物。在房地分别抵押，即建设用地使用权抵押给一个债权人，而其上的建筑物又抵押给另一个人的情况下，可能产生两个抵押权的冲突问题。基于“房地一体”规则，此时应当将建筑物和建设用地使用权视为同一财产，从而依照《物权法》第199条的规定确定清偿顺序：登记在先的先清偿；同时登记的，按照债权比例清偿。同一天登记的，视为同时登记。应予注意的是，根据《物权法》第200条的规定，建设用地使用权抵押后，该土地上新增的建筑物不属于抵押财产。</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62.【抵押权随主债权转让】抵押权是从属于主合同的从权利，根据“从随主”规则，债权转让的，除法律另有规定或者当事人另有约定外，担保该债权的抵押权一并转让。受让人向抵押人主张行使抵押权，抵押人以受让人不是抵押合同的当事人、未办理变更登记等为由提出抗辩的，人民法院不予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（三）关于动产担保物权</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63.【流动质押的设立与监管人的责任】在流动质押中，经常由债权人、出质人与监管人订立三方监管协议，此时应当查明监管人究竟是受债权人的委托还是受出质人的委托监管质物，确定质物是否已经交付债权人，从而判断质权是否有效设立。如果监管人系受债权人的委托监管质物，则其是债权人的直接占有人，应当认定完成了质物交付，质权有效设立。监管人违反监管协议约定，违规向出质人放货、因保管不善导致质物毁损灭失，债权人请求监管人承担违约责任的，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如果监管人系受出质人委托监管质物，表明质物并未交付债权人，应当认定质权未有效设立。尽管监管协议约定监管人系受债权人的委托监管质物，但有证据证明其并未履行监管职责，质物实际上仍由出质人管领控制的，也应当认定质物并未实际交付，质权未有效设立。此时，债权人可以基于质押合同的约定请求质押人承担违约责任，但其范围不得超过质权有效设立时质押人所应当承担的责任。监管人未履行监管职责的，债权人也可以请求监管人承担违约责任。</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64.【浮动抵押的效力】企业将其现有的以及将有的生产设备、原材料、半成品及产品等财产设定浮动抵押后，又将其中的生产设备等部分财产设定了动产抵押，并都办理了抵押登记的，根据《物权法》第199条的规定，登记在先的浮动抵押优先于登记在后的动产抵押。</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65.【动产抵押权与质权竞存】 同一动产上同时设立质权和抵押权的，应当参照适用《物权法》第199条的规定，根据是否完成公示以及公示先后情况来确定清偿顺序：质权有效设立、抵押权办理了抵押登记的，按照公示先后确定清偿顺序；顺序相同的，按照债权比例清偿；质权有效设立，抵押权未办理抵押登记的，质权优先于抵押权；质权未有效设立，抵押权未办理抵押登记的，因此时抵押权已经有效设立，故抵押权优先受偿。</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根据《物权法》第178条规定的精神，担保法司法解释第79条第1款不再适用。</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（四）关于非典型担保</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66.【担保关系的认定】当事人订立的具有担保功能的合同，不存在法定无效情形的，应当认定有效。虽然合同约定的权利义务关系不属于物权法规定的典型担保类型，但是其担保功能应予肯定。</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67.【约定担保物权的效力】债权人与担保人订立担保合同，约定以法律、行政法规未禁止抵押或者质押的财产设定以登记作为公示方法的担保，因无法定的登记机构而未能进行登记的，不具有物权效力。当事人请求按照担保合同的约定就该财产折价、变卖或者拍卖所得价款等方式清偿债务的，人民法院依法予以支持，但对其他权利人不具有对抗效力和优先性。</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68.【保兑仓交易】保兑仓交易作为一种新类型融资担保方式，其基本交易模式是，以银行信用为载体、以银行承兑汇票为结算工具、由银行控制货权、卖方（或者仓储方）受托保管货物并以承兑汇票与保证金之间的差额作为担保。其基本的交易流程是：卖方、买方和银行订立三方合作协议，其中买方向银行缴存一定比例的承兑保证金，银行向买方签发以卖方为收款人的银行承兑汇票，买方将银行承兑汇票交付卖方作为货款，银行根据买方缴纳的保证金的一定比例向卖方签发提货单，卖方根据提货单向买方交付对应金额的货物，买方销售货物后，将货款再缴存为保证金。</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在三方协议中，一般来说，银行的主要义务是及时签发承兑汇票并按约定方式将其交给卖方，卖方的主要义务是根据银行签发的提货单发货，并在买方未及时销售或者回赎货物时，就保证金与承兑汇票之间的差额部分承担责任。银行为保障自身利益，往往还会约定卖方要将货物交给由其指定的当事人监管，并设定质押，从而涉及监管协议以及流动质押等问题。实践中，当事人还可能</w:t>
      </w:r>
      <w:r w:rsidRPr="0026002C">
        <w:rPr>
          <w:rFonts w:ascii="宋体" w:eastAsia="宋体" w:hAnsi="宋体" w:cs="宋体" w:hint="eastAsia"/>
          <w:color w:val="242424"/>
          <w:kern w:val="0"/>
          <w:sz w:val="28"/>
          <w:szCs w:val="28"/>
        </w:rPr>
        <w:lastRenderedPageBreak/>
        <w:t>在前述基本交易模式基础上另行作出其他约定，只要不违反法律、行政法规的效力性强制性规定，这些约定应当认定有效。</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一方当事人因保兑仓交易纠纷提起诉讼的，人民法院应当以保兑仓交易合同作为审理案件的基本依据，但买卖双方没有真实买卖关系的除外。</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69.【无真实贸易背景的保兑仓交易】保兑仓交易以买卖双方有真实买卖关系为前提。双方无真实买卖关系的，该交易属于名为保兑仓交易实为借款合同，保兑仓交易因构成虚伪意思表示而无效，被隐藏的借款合同是当事人的真实意思表示，如不存在其他合同无效情形，应当认定有效。保兑仓交易认定为借款合同关系的，不影响卖方和银行之间担保关系的效力，卖方仍应当承担担保责任。</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70.【保兑仓交易的合并审理】当事人就保兑仓交易中的不同法律关系的相对方分别或者同时向同一人民法院起诉的，人民法院可以根据民事诉讼法司法解释第221条的规定，合并审理。当事人未起诉某一方当事人的，人民法院可以依职权追加未参加诉讼的当事人为第三人，以便查明相关事实，正确认定责任。</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71.【让与担保】债务人或者第三人与债权人订立合同，约定将财产形式上转让至债权人名下，债务人到期清偿债务，债权人将该财产返还给债务人或第三人，债务人到期没有清偿债务，债权人可以对财产拍卖、变卖、折价偿还债权的，人民法院应当认定合同有效。合同如果约定债务人到期没有清偿债务，财产归债权人所有的，人民法院应当认定该部分约定无效，但不影响合同其他部分的效力。</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当事人根据上述合同约定，已经完成财产权利变动的公示方式转让至债权人名下，债务人到期没有清偿债务，债权人请求确认财产归其所有的，人民法院不予支持，但债权人请求参照法律关于担保物权的规定对财产拍卖、变卖、折价优先偿还其债权的，人民法院依法予以支持。债务人因到期没有清偿债务，请求对该财产拍卖、变卖、折价偿还所欠债权人合同项下债务的，人民法院亦应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五、关于金融消费者权益保护纠纷案件的审理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会议认为，在审理金融产品发行人、销售者以及金融服务提供者（以下简称卖方机构）与金融消费者之间因销售各类高风险等级金融产品和为金融消费者参与高风险等级投资活动提供服务而引发的民商事案件中，必须坚持“卖者尽责、买者自负”原则，将金融消费者是否充分了解相关金融产品、投资活动的性质及风险并在此基础上作出自主决定作为应当查明的案件基本事实，依法保护金融消费者的合法权益，规范卖方机构的经营行为，推动形成公开、公平、公正的市场环境和市场秩序。</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72.【适当性义务】 适当性义务是指卖方机构在向金融消费者推介、销售银行理财产品、保险投资产品、信托理财产品、券商集合理财计划、杠杆基金份额、期权及其他场外衍生品等高风险等级金融产品，以及为金融消费者参与融资融券、新三板、创业板、科创板、期货等高风险等级投资活动提供服务的过程中，必须履行的了解客户、了解产品、将适当的产品（或者服务）销售（或者提供）给适合的金融消费者等义务。卖方机构承担适当性义务的目的是为了确保金融消费者能够在充分了解相关金融产品、投资活动的性质及风险的基础上作出自主决定，并承受由此产生的收益和风险。在推介、销售高风险等级金</w:t>
      </w:r>
      <w:r w:rsidRPr="0026002C">
        <w:rPr>
          <w:rFonts w:ascii="宋体" w:eastAsia="宋体" w:hAnsi="宋体" w:cs="宋体" w:hint="eastAsia"/>
          <w:color w:val="242424"/>
          <w:kern w:val="0"/>
          <w:sz w:val="28"/>
          <w:szCs w:val="28"/>
        </w:rPr>
        <w:lastRenderedPageBreak/>
        <w:t>融产品和提供高风险等级金融服务领域，适当性义务的履行是“卖者尽责”的主要内容，也是“买者自负”的前提和基础。</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73.【法律适用规则】在确定卖方机构适当性义务的内容时，应当以合同法、证券法、证券投资基金法、信托法等法律规定的基本原则和国务院发布的规范性文件作为主要依据。相关部门在部门规章、规范性文件中对高风险等级金融产品的推介、销售，以及为金融消费者参与高风险等级投资活动提供服务作出的监管规定，与法律和国务院发布的规范性文件的规定不相抵触的，可以参照适用。</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74.【责任主体】金融产品发行人、销售者未尽适当性义务，导致金融消费者在购买金融产品过程中遭受损失的，金融消费者既可以请求金融产品的发行人承担赔偿责任，也可以请求金融产品的销售者承担赔偿责任，还可以根据《民法总则》第167条的规定，请求金融产品的发行人、销售者共同承担连带赔偿责任。发行人、销售者请求人民法院明确各自的责任份额的，人民法院可以在判决发行人、销售者对金融消费者承担连带赔偿责任的同时，明确发行人、销售者在实际承担了赔偿责任后，有权向责任方追偿其应当承担的赔偿份额。</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金融服务提供者未尽适当性义务，导致金融消费者在接受金融服务后参与高风险等级投资活动遭受损失的，金融消费者可以请求金融服务提供者承担赔偿责任。</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75.【举证责任分配】在案件审理过程中，金融消费者应当对购买产品（或者接受服务）、遭受的损失等事实承担举证责任。卖方机构对其是否履行了适当性义务承担举证责任。卖方机构不能提供其已经建立了金融产品（或者服</w:t>
      </w:r>
      <w:r w:rsidRPr="0026002C">
        <w:rPr>
          <w:rFonts w:ascii="宋体" w:eastAsia="宋体" w:hAnsi="宋体" w:cs="宋体" w:hint="eastAsia"/>
          <w:color w:val="242424"/>
          <w:kern w:val="0"/>
          <w:sz w:val="28"/>
          <w:szCs w:val="28"/>
        </w:rPr>
        <w:lastRenderedPageBreak/>
        <w:t>务）的风险评估及相应管理制度、对金融消费者的风险认知、风险偏好和风险承受能力进行了测试、向金融消费者告知产品（或者服务）的收益和主要风险因素等相关证据的，应当承担举证不能的法律后果。</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76.【告知说明义务】告知说明义务的履行是金融消费者能够真正了解各类高风险等级金融产品或者高风险等级投资活动的投资风险和收益的关键，人民法院应当根据产品、投资活动的风险和金融消费者的实际情况，综合理性人能够理解的客观标准和金融消费者能够理解的主观标准来确定卖方机构是否已经履行了告知说明义务。卖方机构简单地以金融消费者手写了诸如“本人明确知悉可能存在本金损失风险”等内容主张其已经履行了告知说明义务，不能提供其他相关证据的，人民法院对其抗辩理由不予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77.【损失赔偿数额】卖方机构未尽适当性义务导致金融消费者损失的，应当赔偿金融消费者所受的实际损失。实际损失为损失的本金和利息，利息按照中国人民银行发布的同期同类存款基准利率计算。</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金融消费者因购买高风险等级金融产品或者为参与高风险投资活动接受服务，以卖方机构存在欺诈行为为由，主张卖方机构应当根据《消费者权益保护法》第55条的规定承担惩罚性赔偿责任的，人民法院不予支持。卖方机构的行为构成欺诈的，对金融消费者提出赔偿其支付金钱总额的利息损失请求，应当注意区分不同情况进行处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（1）金融产品的合同文本中载明了预期收益率、业绩比较基准或者类似约定的，可以将其作为计算利息损失的标准；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（2）合同文本以浮动区间的方式对预期收益率或者业绩比较基准等进行约定，金融消费者请求按照约定的上限作为利息损失计算标准的，人民法院依法予以支持；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3）合同文本虽然没有关于预期收益率、业绩比较基准或者类似约定，但金融消费者能够提供证据证明产品发行的广告宣传资料中载明了预期收益率、业绩比较基准或者类似表述的，应当将宣传资料作为合同文本的组成部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（4）合同文本及广告宣传资料中未载明预期收益率、业绩比较基准或者类似表述的，按照全国银行间同业拆借中心公布的贷款市场报价利率计算。</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78．【免责事由】因金融消费者故意提供虚假信息、拒绝听取卖方机构的建议等自身原因导致其购买产品或者接受服务不适当，卖方机构请求免除相应责任的，人民法院依法予以支持，但金融消费者能够证明该虚假信息的出具系卖方机构误导的除外。卖方机构能够举证证明根据金融消费者的既往投资经验、受教育程度等事实，适当性义务的违反并未影响金融消费者作出自主决定的，对其关于应当由金融消费者自负投资风险的抗辩理由，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六、关于证券纠纷案件的审理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（一）关于证券虚假陈述</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会议认为，《最高人民法院关于审理证券市场因虚假陈述引发的民事赔偿案件的若干规定》施行以来，证券市场的发展出现了新的情况，证券虚假陈述纠纷案件的审理对司法能力提出了更高的要求。在案件审理过程中，对于需要借助其他学科领域的专业知识进行职业判断的问题，要充分发挥专家证人的作用，使得案件的事实认定符合证券市场的基本常识和普遍认知或者认可的经验</w:t>
      </w:r>
      <w:r w:rsidRPr="0026002C">
        <w:rPr>
          <w:rFonts w:ascii="宋体" w:eastAsia="宋体" w:hAnsi="宋体" w:cs="宋体" w:hint="eastAsia"/>
          <w:color w:val="242424"/>
          <w:kern w:val="0"/>
          <w:sz w:val="28"/>
          <w:szCs w:val="28"/>
        </w:rPr>
        <w:lastRenderedPageBreak/>
        <w:t>法则，责任承担与侵权行为及其主观过错程度相匹配，在切实维护投资者合法权益的同时，通过民事责任追究实现震慑违法的功能，维护公开、公平、公正的资本市场秩序。</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79.【共同管辖的案件移送】原告以发行人、上市公司以外的虚假陈述行为人为被告提起诉讼，被告申请追加发行人或者上市公司为共同被告的，人民法院应予准许。人民法院在追加后发现其他有管辖权的人民法院已先行受理因同一虚假陈述引发的民事赔偿案件的，应当按照民事诉讼法司法解释第36条的规定，将案件移送给先立案的人民法院。</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80.【案件审理方式】案件审理方式方面，在传统的“一案一立、分别审理”的方式之外，一些人民法院已经进行了将部分案件合并审理、在示范判决基础上委托调解等改革，初步实现了案件审理的集约化和诉讼经济。在认真总结审判实践经验的基础上，有条件的地方人民法院可以选择个案以《民事诉讼法》第54条规定的代表人诉讼方式进行审理，逐步展开试点工作。就案件审理中涉及的适格原告范围认定、公告通知方式、投资者权利登记、代表人推选、执行款项的发放等具体工作，积极协调相关部门和有关方面，推动信息技术审判辅助平台和常态化、可持续的工作机制建设，保障投资者能够便捷、高效、透明和低成本地维护自身合法权益，为构建符合中国国情的证券民事诉讼制度积累审判经验，培养审判队伍。</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81.【立案登记】多个投资者就同一虚假陈述向人民法院提起诉讼，可以采用代表人诉讼方式对案件进行审理的，人民法院在登记立案时可以根据原告起诉状中所描述的虚假陈述的数量、性质及其实施日、揭露日或者更正日等时间</w:t>
      </w:r>
      <w:r w:rsidRPr="0026002C">
        <w:rPr>
          <w:rFonts w:ascii="宋体" w:eastAsia="宋体" w:hAnsi="宋体" w:cs="宋体" w:hint="eastAsia"/>
          <w:color w:val="242424"/>
          <w:kern w:val="0"/>
          <w:sz w:val="28"/>
          <w:szCs w:val="28"/>
        </w:rPr>
        <w:lastRenderedPageBreak/>
        <w:t>节点，将投资者作为共同原告统一立案登记。原告主张被告实施了多个虚假陈述的，可以分别立案登记。</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82.【案件甄别及程序决定】人民法院决定采用《民事诉讼法》第54条规定的方式审理案件的，在发出公告前，应当先行就被告的行为是否构成虚假陈述，投资者的交易方向与诱多、诱空的虚假陈述是否一致，以及虚假陈述的实施日、揭露日或者更正日等案件基本事实进行审查。</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83.【选定代表人】权利登记的期间届满后，人民法院应当通知当事人在指定期间内完成代表人的推选工作。推选不出代表人的，人民法院可以与当事人商定代表人。人民法院在提出人选时，应当将当事人诉讼请求的典型性和利益诉求的份额等作为考量因素，确保代表行为能够充分、公正地表达投资者的诉讼主张。国家设立的投资者保护机构以自己的名义提起诉讼，或者接受投资者的委托指派工作人员或者委托诉讼代理人参与案件审理活动的，人民法院可以商定该机构或者其代理的当事人作为代表人。</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84.【揭露日和更正日的认定】虚假陈述的揭露和更正，是指虚假陈述被市场所知悉、了解，其精确程度并不以“镜像规则”为必要，不要求达到全面、完整、准确的程度。原则上，只要交易市场对监管部门立案调查、权威媒体刊载的揭露文章等信息存在着明显的反应，对一方主张市场已经知悉虚假陈述的抗辩，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85.【重大性要件的认定】审判实践中，部分人民法院对重大性要件和信赖要件存在着混淆认识，以行政处罚认定的信息披露违法行为对投资者的交易决定没有影响为由否定违法行为的重大性，应当引起注意。重大性是指可能对投资者进行投资决策具有重要影响的信息，虚假陈述已经被监管部门行政处罚</w:t>
      </w:r>
      <w:r w:rsidRPr="0026002C">
        <w:rPr>
          <w:rFonts w:ascii="宋体" w:eastAsia="宋体" w:hAnsi="宋体" w:cs="宋体" w:hint="eastAsia"/>
          <w:color w:val="242424"/>
          <w:kern w:val="0"/>
          <w:sz w:val="28"/>
          <w:szCs w:val="28"/>
        </w:rPr>
        <w:lastRenderedPageBreak/>
        <w:t>的，应当认为是具有重大性的违法行为。在案件审理过程中，对于一方提出的监管部门作出处罚决定的行为不具有重大性的抗辩，人民法院不予支持，同时应当向其释明，该抗辩并非民商事案件的审理范围，应当通过行政复议、行政诉讼加以解决。</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（二）关于场外配资</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会议认为，将证券市场的信用交易纳入国家统一监管的范围，是维护金融市场透明度和金融稳定的重要内容。不受监管的场外配资业务，不仅盲目扩张了资本市场信用交易的规模，也容易冲击资本市场的交易秩序。融资融券作为证券市场的主要信用交易方式和证券经营机构的核心业务之一，依法属于国家特许经营的金融业务，未经依法批准，任何单位和个人不得非法从事配资业务。</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86.【场外配资合同的效力】从审判实践看，场外配资业务主要是指一些P2P公司或者私募类配资公司利用互联网信息技术，搭建起游离于监管体系之外的融资业务平台，将资金融出方、资金融入方即用资人和券商营业部三方连接起来，配资公司利用计算机软件系统的二级分仓功能将其自有资金或者以较低成本融入的资金出借给用资人，赚取利息收入的行为。这些场外配资公司所开展的经营活动，本质上属于只有证券公司才能依法开展的融资活动，不仅规避了监管部门对融资融券业务中资金来源、投资标的、杠杆比例等诸多方面的限制，也加剧了市场的非理性波动。在案件审理过程中，除依法取得融资融券资格的证券公司与客户开展的融资融券业务外，对其他任何单位或者个人与用资人的场外配资合同，人民法院应当根据《证券法》第142条、合同法司法解释（一）第10条的规定，认定为无效。</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87.【合同无效的责任承担】场外配资合同被确认无效后，配资方依场外配资合同的约定，请求用资人向其支付约定的利息和费用的，人民法院不予支持。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配资方依场外配资合同的约定，请求分享用资人因使用配资所产生的收益的，人民法院不予支持。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用资人以其因使用配资导致投资损失为由请求配资方予以赔偿的，人民法院不予支持。用资人能够证明因配资方采取更改密码等方式控制账户使得用资人无法及时平仓止损，并据此请求配资方赔偿其因此遭受的损失的，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用资人能够证明配资合同是因配资方招揽、劝诱而订立，请求配资方赔偿其全部或者部分损失的，人民法院应当综合考虑配资方招揽、劝诱行为的方式、对用资人的实际影响、用资人自身的投资经历、风险判断和承受能力等因素，判决配资方承担与其过错相适应的赔偿责任。</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七、关于营业信托纠纷案件的审理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会议认为，从审判实践看，营业信托纠纷主要表现为事务管理信托纠纷和主动管理信托纠纷两种类型。在事务管理信托纠纷案件中，对信托公司开展和参与的多层嵌套、通道业务、回购承诺等融资活动，要以其实际构成的法律关系确定其效力，并在此基础上依法确定各方的权利义务。在主动管理信托纠纷案件中，应当重点审查受托人在“受人之托，忠人之事”的财产管理过程中，是否恪尽职守，履行了谨慎、有效管理等法定或者约定义务。</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88.【营业信托纠纷的认定】信托公司根据法律法规以及金融监督管理部门的监管规定，以取得信托报酬为目的接受委托人的委托，以受托人身份处理信</w:t>
      </w:r>
      <w:r w:rsidRPr="0026002C">
        <w:rPr>
          <w:rFonts w:ascii="宋体" w:eastAsia="宋体" w:hAnsi="宋体" w:cs="宋体" w:hint="eastAsia"/>
          <w:color w:val="242424"/>
          <w:kern w:val="0"/>
          <w:sz w:val="28"/>
          <w:szCs w:val="28"/>
        </w:rPr>
        <w:lastRenderedPageBreak/>
        <w:t>托事务的经营行为，属于营业信托。由此产生的信托当事人之间的纠纷，为营业信托纠纷。</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根据《关于规范金融机构资产管理业务的指导意见》的规定，其他金融机构开展的资产管理业务构成信托关系的，当事人之间的纠纷适用信托法及其他有关规定处理。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89.【资产或者资产收益权转让及回购】信托公司在资金信托成立后，以募集的信托资金受让特定资产或者特定资产收益权，属于信托公司在资金依法募集后的资金运用行为，由此引发的纠纷不应当认定为营业信托纠纷。如果合同中约定由转让方或者其指定的第三方在一定期间后以交易本金加上溢价款等固定价款无条件回购的，无论转让方所转让的标的物是否真实存在、是否实际交付或者过户，只要合同不存在法定无效事由，对信托公司提出的由转让方或者其指定的第三方按约定承担责任的诉讼请求，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当事人在相关合同中同时约定采用信托公司受让目标公司股权、向目标公司增资方式并以相应股权担保债权实现的，应当认定在当事人之间成立让与担保法律关系。当事人之间的具体权利义务，根据本纪要第71 条的规定加以确定。</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90.【劣后级受益人的责任承担】信托文件及相关合同将受益人区分为优先级受益人和劣后级受益人等不同类别，约定优先级受益人以其财产认购信托计划份额，在信托到期后，劣后级受益人负有对优先级受益人从信托财产获得利益与其投资本金及约定收益之间的差额承担补足义务，优先级受益人请求劣后级受益人按照约定承担责任的，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信托文件中关于不同类型受益人权利义务关系的约定，不影响受益人与受托人之间信托法律关系的认定。</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91.【增信文件的性质】信托合同之外的当事人提供第三方差额补足、代为履行到期回购义务、流动性支持等类似承诺文件作为增信措施，其内容符合法律关于保证的规定的，人民法院应当认定当事人之间成立保证合同关系。其内容不符合法律关于保证的规定的，依据承诺文件的具体内容确定相应的权利义务关系，并根据案件事实情况确定相应的民事责任。</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92.【保底或者刚兑条款无效】信托公司、商业银行等金融机构作为资产管理产品的受托人与受益人订立的含有保证本息固定回报、保证本金不受损失等保底或者刚兑条款的合同，人民法院应当认定该条款无效。受益人请求受托人对其损失承担与其过错相适应的赔偿责任的，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实践中，保底或者刚兑条款通常不在资产管理产品合同中明确约定，而是以“抽屉协议”或者其他方式约定，不管形式如何，均应认定无效。</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93.【通道业务的效力】当事人在信托文件中约定，委托人自主决定信托设立、信托财产运用对象、信托财产管理运用处分方式等事宜，自行承担信托资产的风险管理责任和相应风险损失，受托人仅提供必要的事务协助或者服务，不承担主动管理职责的，应当认定为通道业务。《中国人民银行、中国银行保险监督管理委员会、中国证券监督管理委员会、国家外汇管理局关于规范金融机构资产管理业务的指导意见》第22条在规定“金融机构不得为其他金融机构的资产管理产品提供规避投资范围、杠杆约束等监管要求的通道服务”的同时，也在第29条明确按照“新老划断”原则，将过渡期设置为截止2020年底，确保平稳过渡。在过渡期内，对通道业务中存在的利用信托通道掩盖风</w:t>
      </w:r>
      <w:r w:rsidRPr="0026002C">
        <w:rPr>
          <w:rFonts w:ascii="宋体" w:eastAsia="宋体" w:hAnsi="宋体" w:cs="宋体" w:hint="eastAsia"/>
          <w:color w:val="242424"/>
          <w:kern w:val="0"/>
          <w:sz w:val="28"/>
          <w:szCs w:val="28"/>
        </w:rPr>
        <w:lastRenderedPageBreak/>
        <w:t>险，规避资金投向、资产分类、拨备计提和资本占用等监管规定，或者通过信托通道将表内资产虚假出表等信托业务，如果不存在其他无效事由，一方以信托目的违法违规为由请求确认无效的，人民法院不予支持。至于委托人和受托人之间的权利义务关系，应当依据信托文件的约定加以确定。</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94.【受托人的举证责任】资产管理产品的委托人以受托人未履行勤勉尽责、公平对待客户等义务损害其合法权益为由，请求受托人承担损害赔偿责任的，应当由受托人举证证明其已经履行了义务。受托人不能举证证明，委托人请求其承担相应赔偿责任的，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95.【信托财产的诉讼保全】信托财产在信托存续期间独立于委托人、受托人、受益人各自的固有财产。委托人将其财产委托给受托人进行管理，在信托依法设立后，该信托财产即独立于委托人未设立信托的其他固有财产。受托人因承诺信托而取得的信托财产，以及通过对信托财产的管理、运用、处分等方式取得的财产，均独立于受托人的固有财产。受益人对信托财产享有的权利表现为信托受益权，信托财产并非受益人的责任财产。因此，当事人因其与委托人、受托人或者受益人之间的纠纷申请对存管银行或者信托公司专门账户中的信托资金采取保全措施的，除符合《信托法》第17条规定的情形外，人民法院不应当准许。已经采取保全措施的，存管银行或者信托公司能够提供证据证明该账户为信托账户的，应当立即解除保全措施。对信托公司管理的其他信托财产的保全，也应当根据前述规则办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当事人申请对受益人的受益权采取保全措施的，人民法院应当根据《信托法》第47条的规定进行审查，决定是否采取保全措施。决定采取保全措施的，应当将保全裁定送达受托人和受益人。</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96.【信托公司固有财产的诉讼保全】除信托公司作为被告外，原告申请对信托公司固有资金账户的资金采取保全措施的，人民法院不应准许。信托公司作为被告，确有必要对其固有财产采取诉讼保全措施的，必须强化善意执行理念，防范发生金融风险。要严格遵守相应的适用条件与法定程序，坚决杜绝超标的执行。在采取具体保全措施时，要尽量寻求依法平等保护各方利益的平衡点，优先采取方便执行且对信托公司正常经营影响最小的执行措施，能采取“活封”“活扣”措施的，尽量不进行“死封”“死扣”。在条件允许的情况下，可以为信托公司预留必要的流动资金和往来账户，最大限度降低对信托公司正常经营活动的不利影响。信托公司申请解除财产保全符合法律、司法解释规定情形的，应当在法定期限内及时解除保全措施。</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八、关于财产保险合同纠纷案件的审理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会议认为，妥善审理财产保险合同纠纷案件，对于充分发挥保险的风险管理和保障功能，依法保护各方当事人合法权益，实现保险业持续健康发展和服务实体经济，具有重大意义。</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97.【未依约支付保险费的合同效力】当事人在财产保险合同中约定以投保人支付保险费作为合同生效条件，但对该生效条件是否为全额支付保险费约定不明，已经支付了部分保险费的投保人主张保险合同已经生效的，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98.【仲裁协议对保险人的效力】被保险人和第三者在保险事故发生前达成的仲裁协议，对行使保险代位求偿权的保险人是否具有约束力，实务中存在争议。保险代位求偿权是一种法定债权转让，保险人在向被保险人赔偿保险金后，有权行使被保险人对第三者请求赔偿的权利。被保险人和第三者在保险事</w:t>
      </w:r>
      <w:r w:rsidRPr="0026002C">
        <w:rPr>
          <w:rFonts w:ascii="宋体" w:eastAsia="宋体" w:hAnsi="宋体" w:cs="宋体" w:hint="eastAsia"/>
          <w:color w:val="242424"/>
          <w:kern w:val="0"/>
          <w:sz w:val="28"/>
          <w:szCs w:val="28"/>
        </w:rPr>
        <w:lastRenderedPageBreak/>
        <w:t>故发生前达成的仲裁协议，对保险人具有约束力。考虑到涉外民商事案件的处理常常涉及国际条约、国际惯例的适用，相关问题具有特殊性，故具有涉外因素的民商事纠纷案件中该问题的处理，不纳入本条规范的范围。</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99.【直接索赔的诉讼时效】商业责任保险的被保险人给第三者造成损害，被保险人对第三者应当承担的赔偿责任确定后，保险人应当根据被保险人的请求，直接向第三者赔偿保险金。被保险人怠于提出请求的，第三者有权依据《保险法》第65条第2款的规定，就其应获赔偿部分直接向保险人请求赔偿保险金。保险人拒绝赔偿的，第三者请求保险人直接赔偿保险金的诉讼时效期间的起算时间如何认定，实务中存在争议。根据诉讼时效制度的基本原理，第三者请求保险人直接赔偿保险金的诉讼时效期间，自其知道或者应当知道向保险人的保险金赔偿请求权行使条件成就之日起计算。</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九、关于票据纠纷案件的审理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会议认为，人民法院在审理票据纠纷案件时，应当注意区分票据的种类和功能，正确理解票据行为无因性的立法目的，在维护票据流通性功能的同时，依法认定票据行为的效力，依法确认当事人之间的权利义务关系以及保护合法持票人的权益，防范和化解票据融资市场风险，维护票据市场的交易安全。</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100.【合谋伪造贴现申请材料的后果】贴现行的负责人或者有权从事该业务的工作人员与贴现申请人合谋，伪造贴现申请人与其前手之间具有真实的商品交易关系的合同、增值税专用发票等材料申请贴现，贴现行主张其享有票据权利的，人民法院不予支持。对贴现行因支付资金而产生的损失，按照基础关系处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101.【民间贴现行为的效力】票据贴现属于国家特许经营业务，合法持票人向不具有法定贴现资质的当事人进行“贴现”的，该行为应当认定无效，贴现款和票据应当相互返还。当事人不能返还票据的，原合法持票人可以拒绝返还贴现款。人民法院在民商事案件审理过程中，发现不具有法定资质的当事人以“贴现”为业的，因该行为涉嫌犯罪，应当将有关材料移送公安机关。民商事案件的审理必须以相关刑事案件的审理结果为依据的，应当中止诉讼，待刑事案件审结后，再恢复案件的审理。案件的基本事实无须以相关刑事案件的审理结果为依据的，人民法院应当继续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根据票据行为无因性原理，在合法持票人向不具有贴现资质的主体进行“贴现”，该“贴现”人给付贴现款后直接将票据交付其后手，其后手支付对价并记载自己为被背书人后，又基于真实的交易关系和债权债务关系将票据进行背书转让的情形下，应当认定最后持票人为合法持票人。</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102.【转贴现协议】转贴现是通过票据贴现持有票据的商业银行为了融通资金，在票据到期日之前将票据权利转让给其他商业银行，由转贴现行在收取一定的利息后，将转贴现款支付给持票人的票据转让行为。转贴现行提示付款被拒付后，依据转贴现协议的约定，请求未在票据上背书的转贴现申请人按照合同法律关系返还转贴现款并赔偿损失的，案由应当确定为合同纠纷。转贴现合同法律关系有效成立的，对于原告的诉讼请求，人民法院依法予以支持。当事人虚构转贴现事实，或者当事人之间不存在真实的转贴现合同法律关系的，人民法院应当向当事人释明按照真实交易关系提出诉讼请求，并按照真实交易关系和当事人约定本意依法确定当事人的责任。</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103.【票据清单交易、封包交易案件中的票据权利】审判实践中，以票据贴现为手段的多链条融资模式引发的案件应当引起重视。这种交易俗称票据清单交易、封包交易，是指商业银行之间就案涉票据订立转贴现或者回购协议，附以票据清单，或者将票据封包作为质押，双方约定按照票据清单中列明的基本信息进行票据转贴现或者回购，但往往并不进行票据交付和背书。实务中，双方还往往再订立一份代保管协议，约定由原票据持有人代对方继续持有票据，从而实现合法、合规的形式要求。</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出资银行仅以参与交易的单个或者部分银行为被告提起诉讼行使票据追索权，被告能够举证证明票据交易存在诸如不符合正常转贴现交易顺序的倒打款、未进行背书转让、票据未实际交付等相关证据，并据此主张相关金融机构之间并无转贴现的真实意思表示，抗辩出资银行不享有票据权利的，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出资银行在取得商业承兑汇票后又将票据转贴现给其他商业银行，持票人向其前手主张票据权利的，人民法院依法予以支持。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104.【票据清单交易、封包交易案件的处理原则】在村镇银行、农信社等作为直贴行，农信社、农商行、城商行、股份制银行等多家金融机构共同开展以商业承兑汇票为基础的票据清单交易、封包交易引发的纠纷案件中，在商业承兑汇票的出票人等实际用资人不能归还票款的情况下，为实现纠纷的一次性解决，出资银行以实际用资人和参与交易的其他金融机构为共同被告，请求实际用资人归还本息、参与交易的其他金融机构承担与其过错相适应的赔偿责任的，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出资银行仅以整个交易链条的部分当事人为被告提起诉讼的，人民法院应当向其释明，其应当申请追加参与交易的其他当事人作为共同被告。出资银行拒绝追加实际用资人为被告的，人民法院应当驳回其诉讼请求；出资银行拒绝追加参与交易的其他金融机构为被告的，人民法院在确定其他金融机构的过错责任范围时，应当将未参加诉讼的当事人应当承担的相应份额作为考量因素，相应减轻本案当事人的责任。在确定参与交易的其他金融机构的过错责任范围时，可以参照其收取的“通道费”“过桥费”等费用的比例以及案件的其他情况综合加以确定。</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105.【票据清单交易、封包交易案件中的民刑交叉问题】人民法院在案件审理过程中，如果发现公安机关已经就实际用资人、直贴行、出资银行的工作人员涉嫌骗取票据承兑罪、伪造印章罪等立案侦查，一方当事人根据《最高人民法院关于在审理经济纠纷案件中涉及经济犯罪嫌疑若干问题的规定》第11条的规定申请将案件移送公安机关的，因该节事实对于查明出资银行是否为正当持票人，以及参与交易的其他金融机构的抗辩理由能否成立存在重要关联，人民法院应当将有关材料移送公安机关。民商事案件的审理必须以相关刑事案件的审理结果为依据的，应当中止诉讼，待刑事案件审结后，再恢复案件的审理。案件的基本事实无须以相关刑事案件的审理结果为依据的，人民法院应当继续案件的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参与交易的其他商业银行以公安机关已经对其工作人员涉嫌受贿、伪造印章等犯罪立案侦查为由请求将案件移送公安机关的，因该节事实并不影响相关当事人民事责任的承担，人民法院应当根据《最高人民法院关于在审理经济纠纷案件中涉及经济犯罪嫌疑若干问题的规定》第10条的规定继续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106.【恶意申请公示催告的救济】公示催告程序本为对合法持票人进行失票救济所设，但实践中却沦为部分票据出卖方在未获得票款情形下，通过伪报票据丧失事实申请公示催告、阻止合法持票人行使票据权利的工具。对此，民事诉讼法司法解释已经作出了相应规定。适用时，应当区别付款人是否已经付款等情形，作出不同认定：</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在除权判决作出后，付款人尚未付款的情况下，最后合法持票人可以根据《民事诉讼法》第223条的规定，在法定期限内请求撤销除权判决，待票据恢复效力后再依法行使票据权利。最后合法持票人也可以基于基础法律关系向其直接前手退票并请求其直接前手另行给付基础法律关系项下的对价。</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（2）除权判决作出后，付款人已经付款的，因恶意申请公示催告并持除权判决获得票款的行为损害了最后合法持票人的权利，最后合法持票人请求申请人承担侵权损害赔偿责任的，人民法院依法予以支持。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十、关于破产纠纷案件的审理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会议认为，审理好破产案件对于推动高质量发展、深化供给侧结构性改革、营造稳定公平透明可预期的营商环境，具有十分重要的意义。要继续深入推进破产审判工作的市场化、法治化、专业化、信息化，充分发挥破产审判公平清理债权债务、促进优胜劣汰、优化资源配置、维护市场经济秩序等重要功能。一是要继续加大对破产保护理念的宣传和落实，及时发挥破产重整制度的积极拯救功能，通过平衡债权人、债务人、出资人、员工等利害关系人的利益，实现社会整体价值最大化；注重发挥和解程序简便快速清理债权债务关系的功能，鼓励当事人通过和解程序或者达成自行和解的方式实现各方利益共赢；积极推进清算程序中的企业整体处置方式，有效维护企业营运价值和职工就业。</w:t>
      </w:r>
      <w:r w:rsidRPr="0026002C">
        <w:rPr>
          <w:rFonts w:ascii="宋体" w:eastAsia="宋体" w:hAnsi="宋体" w:cs="宋体" w:hint="eastAsia"/>
          <w:color w:val="242424"/>
          <w:kern w:val="0"/>
          <w:sz w:val="28"/>
          <w:szCs w:val="28"/>
        </w:rPr>
        <w:lastRenderedPageBreak/>
        <w:t>二是要推进不符合国家产业政策、丧失经营价值的企业主体尽快从市场退出，通过依法简化破产清算程序流程加快对“僵尸企业”的清理。三是要注重提升破产制度实施的经济效益，降低破产程序运行的时间和成本，有效维护企业营运价值，最大程度发挥各类要素和资源潜力，减少企业破产给社会经济造成的损害。四是要积极稳妥进行实践探索，加强理论研究，分步骤、有重点地推进建立自然人破产制度，进一步推动健全市场主体退出制度。</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107.【继续推动破产案件的及时受理】充分发挥破产重整案件信息网的线上预约登记功能，提高破产案件的受理效率。当事人提出破产申请的，人民法院不得以非法定理由拒绝接收破产申请材料。如果可能影响社会稳定的，要加强府院协调，制定相应预案，但不应当以“影响社会稳定”之名，行消极不作为之实。破产申请材料不完备的，立案部门应当告知当事人在指定期限内补充材料，待材料齐备后以“破申”作为案件类型代字编制案号登记立案，并及时将案件移送破产审判部门进行破产审查。</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注重发挥破产和解制度简便快速清理债权债务关系的功能，债务人根据《企业破产法》第95条的规定，直接提出和解申请，或者在破产申请受理后宣告破产前申请和解的，人民法院应当依法受理并及时作出是否批准的裁定。</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108.【破产申请的不予受理和撤回】人民法院裁定受理破产申请前，提出破产申请的债权人的债权因清偿或者其他原因消灭的，因申请人不再具备申请资格，人民法院应当裁定不予受理。但该裁定不影响其他符合条件的主体再次提出破产申请。破产申请受理后，管理人以上述清偿符合《企业破产法》第31条、第32条为由请求撤销的，人民法院查实后应当予以支持。</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人民法院裁定受理破产申请系对债务人具有破产原因的初步认可，破产申请受理后，申请人请求撤回破产申请的，人民法院不予准许。除非存在《企业破产法》第12条第2款规定的情形，人民法院不得裁定驳回破产申请。</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109.【受理后债务人财产保全措施的处理】要切实落实破产案件受理后相关保全措施应予解除、相关执行措施应当中止、债务人财产应当及时交付管理人等规定，充分运用信息化技术手段，通过信息共享与整合，维护债务人财产的完整性。相关人民法院拒不解除保全措施或者拒不中止执行的，破产受理人民法院可以请求该法院的上级人民法院依法予以纠正。对债务人财产采取保全措施或者执行措施的人民法院未依法及时解除保全措施、移交处置权，或者中止执行程序并移交有关财产的，上级人民法院应当依法予以纠正。相关人员违反上述规定造成严重后果的，破产受理人民法院可以向人民法院纪检监察部门移送其违法审判责任线索。</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人民法院审理企业破产案件时，有关债务人财产被其他具有强制执行权力的国家行政机关，包括税务机关、公安机关、海关等采取保全措施或者执行程序的, 人民法院应当积极与上述机关进行协调和沟通，取得有关机关的配合，参照上述具体操作规程，解除有关保全措施，中止有关执行程序，以便保障破产程序顺利进行。</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110.【受理后有关债务人诉讼的处理】人民法院受理破产申请后，已经开始而尚未终结的有关债务人的民事诉讼，在管理人接管债务人财产和诉讼事务后继续进行。债权人已经对债务人提起的给付之诉，破产申请受理后，人民法院应当继续审理，但是在判定相关当事人实体权利义务时，应当注意与企业破产法及其司法解释的规定相协调。</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上述裁判作出并生效前，债权人可以同时向管理人申报债权，但其作为债权尚未确定的债权人,原则上不得行使表决权，除非人民法院临时确定其债权额。上述裁判生效后，债权人应当根据裁判认定的债权数额在破产程序中依法统一受偿，其对债务人享有的债权利息应当按照《企业破产法》第46条第2款的规定停止计算。</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人民法院受理破产申请后，债权人新提起的要求债务人清偿的民事诉讼，人民法院不予受理，同时告知债权人应当向管理人申报债权。债权人申报债权后，对管理人编制的债权表记载有异议的，可以根据《企业破产法》第58条的规定提起债权确认之诉。</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111.【债务人自行管理的条件】重整期间，债务人同时符合下列条件的，经申请，人民法院可以批准债务人在管理人的监督下自行管理财产和营业事务：</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（1）债务人的内部治理机制仍正常运转；</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（2）债务人自行管理有利于债务人继续经营；</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（3）债务人不存在隐匿、转移财产的行为；</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（4）债务人不存在其他严重损害债权人利益的行为。</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债务人提出重整申请时可以一并提出自行管理的申请。经人民法院批准由债务人自行管理财产和营业事务的，企业破产法规定的管理人职权中有关财产管理和营业经营的职权应当由债务人行使。</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管理人应当对债务人的自行管理行为进行监督。管理人发现债务人存在严重损害债权人利益的行为或者有其他不适宜自行管理情形的，可以申请人民法院作出终止债务人自行管理的决定。人民法院决定终止的，应当通知管理人接管</w:t>
      </w:r>
      <w:r w:rsidRPr="0026002C">
        <w:rPr>
          <w:rFonts w:ascii="宋体" w:eastAsia="宋体" w:hAnsi="宋体" w:cs="宋体" w:hint="eastAsia"/>
          <w:color w:val="242424"/>
          <w:kern w:val="0"/>
          <w:sz w:val="28"/>
          <w:szCs w:val="28"/>
        </w:rPr>
        <w:lastRenderedPageBreak/>
        <w:t>债务人财产和营业事务。债务人有上述行为而管理人未申请人民法院作出终止决定的，债权人等利害关系人可以向人民法院提出申请。</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112.【重整中担保物权的恢复行使】重整程序中，要依法平衡保护担保物权人的合法权益和企业重整价值。重整申请受理后，管理人或者自行管理的债务人应当及时确定设定有担保物权的债务人财产是否为重整所必需。如果认为担保物不是重整所必需，管理人或者自行管理的债务人应当及时对担保物进行拍卖或者变卖，拍卖或者变卖担保物所得价款在支付拍卖、变卖费用后优先清偿担保物权人的债权。</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在担保物权暂停行使期间，担保物权人根据《企业破产法》第75条的规定向人民法院请求恢复行使担保物权的，人民法院应当自收到恢复行使担保物权申请之日起三十日内作出裁定。经审查，担保物权人的申请不符合第75条的规定，或者虽然符合该条规定但管理人或者自行管理的债务人有证据证明担保物是重整所必需，并且提供与减少价值相应担保或者补偿的，人民法院应当裁定不予批准恢复行使担保物权。担保物权人不服该裁定的，可以自收到裁定书之日起十日内，向作出裁定的人民法院申请复议。人民法院裁定批准行使担保物权的，管理人或者自行管理的债务人应当自收到裁定书之日起十五日内启动对担保物的拍卖或者变卖，拍卖或者变卖担保物所得价款在支付拍卖、变卖费用后优先清偿担保物权人的债权。</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113.【重整计划监督期间的管理人报酬及诉讼管辖】要依法确保重整计划的执行和有效监督。重整计划的执行期间和监督期间原则上应当一致。二者不一致的，人民法院在确定和调整重整程序中的管理人报酬方案时，应当根据重整期间和重整计划监督期间管理人工作量的不同予以区别对待。其中，重整期间</w:t>
      </w:r>
      <w:r w:rsidRPr="0026002C">
        <w:rPr>
          <w:rFonts w:ascii="宋体" w:eastAsia="宋体" w:hAnsi="宋体" w:cs="宋体" w:hint="eastAsia"/>
          <w:color w:val="242424"/>
          <w:kern w:val="0"/>
          <w:sz w:val="28"/>
          <w:szCs w:val="28"/>
        </w:rPr>
        <w:lastRenderedPageBreak/>
        <w:t>的管理人报酬应当根据管理人对重整发挥的实际作用等因素予以确定和支付；重整计划监督期间管理人报酬的支付比例和支付时间，应当根据管理人监督职责的履行情况，与债权人按照重整计划实际受偿比例和受偿时间相匹配。</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重整计划执行期间，因重整程序终止后新发生的事实或者事件引发的有关债务人的民事诉讼，不适用《企业破产法》第21条有关集中管辖的规定。除重整计划有明确约定外，上述纠纷引发的诉讼，不再由管理人代表债务人进行。</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114.【重整程序与破产清算程序的衔接】重整期间或者重整计划执行期间，债务人因法定事由被宣告破产的，人民法院不再另立新的案号，原重整程序的管理人原则上应当继续履行破产清算程序中的职责。原重整程序的管理人不能继续履行职责或者不适宜继续担任管理人的，人民法院应当依法重新指定管理人。</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重整程序转破产清算案件中的管理人报酬，应当综合管理人为重整工作和清算工作分别发挥的实际作用等因素合理确定。重整期间因法定事由转入破产清算程序的，应当按照破产清算案件确定管理人报酬。重整计划执行期间因法定事由转入破产清算程序的，后续破产清算阶段的管理人报酬应当根据管理人实际工作量予以确定，不能简单根据债务人最终清偿的财产价值总额计算。</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重整程序因人民法院裁定批准重整计划草案而终止的，重整案件可作结案处理。重整计划执行完毕后，人民法院可以根据管理人等利害关系人申请，作出重整程序终结的裁定。</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115.【庭外重组协议效力在重整程序中的延伸】继续完善庭外重组与庭内重整的衔接机制，降低制度性成本，提高破产制度效率。人民法院受理重整申请前，债务人和部分债权人已经达成的有关协议与重整程序中制作的重整计划草</w:t>
      </w:r>
      <w:r w:rsidRPr="0026002C">
        <w:rPr>
          <w:rFonts w:ascii="宋体" w:eastAsia="宋体" w:hAnsi="宋体" w:cs="宋体" w:hint="eastAsia"/>
          <w:color w:val="242424"/>
          <w:kern w:val="0"/>
          <w:sz w:val="28"/>
          <w:szCs w:val="28"/>
        </w:rPr>
        <w:lastRenderedPageBreak/>
        <w:t>案内容一致的，有关债权人对该协议的同意视为对该重整计划草案表决的同意。但重整计划草案对协议内容进行了修改并对有关债权人有不利影响，或者与有关债权人重大利益相关的，受到影响的债权人有权按照企业破产法的规定对重整计划草案重新进行表决。</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116.【审计、评估等中介机构的确定及责任】要合理区分人民法院和管理人在委托审计、评估等财产管理工作中的职责。破产程序中确实需要聘请中介机构对债务人财产进行审计、评估的，根据《企业破产法》第28条的规定，经人民法院许可后，管理人可以自行公开聘请，但是应当对其聘请的中介机构的相关行为进行监督。上述中介机构因不当履行职责给债务人、债权人或者第三人造成损害的，应当承担赔偿责任。管理人在聘用过程中存在过错的，应当在其过错范围内承担相应的补充赔偿责任。</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117.【公司解散清算与破产清算的衔接】要依法区分公司解散清算与破产清算的不同功能和不同适用条件。债务人同时符合破产清算条件和强制清算条件的，应当及时适用破产清算程序实现对债权人利益的公平保护。债权人对符合破产清算条件的债务人提起公司强制清算申请，经人民法院释明，债权人仍然坚持申请对债务人强制清算的，人民法院应当裁定不予受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118.【无法清算案件的审理与责任承担】人民法院在审理债务人相关人员下落不明或者财产状况不清的破产案件时，应当充分贯彻债权人利益保护原则，避免债务人通过破产程序不当损害债权人利益，同时也要避免不当突破股东有限责任原则。</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人民法院在适用《最高人民法院关于债权人对人员下落不明或者财产状况不清的债务人申请破产清算案件如何处理的批复》第3款的规定，判定债务人相</w:t>
      </w:r>
      <w:r w:rsidRPr="0026002C">
        <w:rPr>
          <w:rFonts w:ascii="宋体" w:eastAsia="宋体" w:hAnsi="宋体" w:cs="宋体" w:hint="eastAsia"/>
          <w:color w:val="242424"/>
          <w:kern w:val="0"/>
          <w:sz w:val="28"/>
          <w:szCs w:val="28"/>
        </w:rPr>
        <w:lastRenderedPageBreak/>
        <w:t>关人员承担责任时，应当依照企业破产法的相关规定来确定相关主体的义务内容和责任范围，不得根据公司法司法解释（二）第18条第2款的规定来判定相关主体的责任。</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上述批复第3款规定的“债务人的有关人员不履行法定义务，人民法院可依据有关法律规定追究其相应法律责任”，系指债务人的法定代表人、财务管理人员和其他经营管理人员不履行《企业破产法》第15条规定的配合清算义务，人民法院可以根据《企业破产法》第126条、第127条追究其相应法律责任，或者参照《民事诉讼法》第111条的规定，依法拘留，构成犯罪的，依法追究刑事责任；债务人的法定代表人或者实际控制人不配合清算的，人民法院可以依据《出境入境管理法》第12条的规定，对其作出不准出境的决定，以确保破产程序顺利进行。</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上述批复第3款规定的“其行为导致无法清算或者造成损失”，系指债务人的有关人员不配合清算的行为导致债务人财产状况不明，或者依法负有清算责任的人未依照《企业破产法》第7条第3款的规定及时履行破产申请义务，导致债务人主要财产、账册、重要文件等灭失，致使管理人无法执行清算职务，给债权人利益造成损害。“有关权利人起诉请求其承担相应民事责任”，系指管理人请求上述主体承担相应损害赔偿责任并将因此获得的赔偿归入债务人财产。管理人未主张上述赔偿，个别债权人可以代表全体债权人提起上述诉讼。</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上述破产清算案件被裁定终结后，相关主体以债务人主要财产、账册、重要文件等重新出现为由，申请对破产清算程序启动审判监督的，人民法院不予受理，但符合《企业破产法》第123条规定的，债权人可以请求人民法院追加分配。</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lastRenderedPageBreak/>
        <w:t>十一、关于案外人救济案件的审理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案外人救济案件包括案外人申请再审、案外人执行异议之诉和第三人撤销之诉三种类型。修改后的民事诉讼法在保留案外人执行异议之诉及案外人申请再审的基础上，新设立第三人撤销之诉制度，在为案外人权利保障提供更多救济渠道的同时，因彼此之间错综复杂的关系也容易导致认识上的偏差，有必要厘清其相互之间的关系，以便正确适用不同程序，依法充分保护各方主体合法权益。</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119.【案外人执行异议之诉的审理】案外人执行异议之诉以排除对特定标的物的执行为目的，从程序上而言，案外人依据《民事诉讼法》第227条提出执行异议被驳回的，即可向执行人民法院提起执行异议之诉。人民法院对执行异议之诉的审理，一般应当就案外人对执行标的物是否享有权利、享有什么样的权利、权利是否足以排除强制执行进行判断。至于是否作出具体的确权判项，视案外人的诉讼请求而定。案外人未提出确权或者给付诉讼请求的，不作出确权判项，仅在裁判理由中进行分析判断并作出是否排除执行的判项即可。但案外人既提出确权、给付请求，又提出排除执行请求的，人民法院对该请求是否支持、是否排除执行，均应当在具体判项中予以明确。执行异议之诉不以否定作为执行依据的生效裁判为目的，案外人如认为裁判确有错误的，只能通过申请再审或者提起第三人撤销之诉的方式进行救济。</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120.【债权人能否提起第三人撤销之诉】第三人撤销之诉中的第三人仅局限于《民事诉讼法》第56条规定的有独立请求权及无独立请求权的第三人，而且一般不包括债权人。但是，设立第三人撤销之诉的目的在于，救济第三人享有</w:t>
      </w:r>
      <w:r w:rsidRPr="0026002C">
        <w:rPr>
          <w:rFonts w:ascii="宋体" w:eastAsia="宋体" w:hAnsi="宋体" w:cs="宋体" w:hint="eastAsia"/>
          <w:color w:val="242424"/>
          <w:kern w:val="0"/>
          <w:sz w:val="28"/>
          <w:szCs w:val="28"/>
        </w:rPr>
        <w:lastRenderedPageBreak/>
        <w:t>的因不能归责于本人的事由未参加诉讼但因生效裁判文书内容错误受到损害的民事权益，因此，债权人在下列情况下可以提起第三人撤销之诉：</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（1）该债权是法律明确给予特殊保护的债权，如《合同法》第286条规定的建设工程价款优先受偿权，《海商法》第22条规定的船舶优先权；</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（2）因债务人与他人的权利义务被生效裁判文书确定，导致债权人本来可以对《合同法》第74条和《企业破产法》第31条规定的债务人的行为享有撤销权而不能行使的；</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（3）债权人有证据证明，裁判文书主文确定的债权内容部分或者全部虚假的。</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债权人提起第三人撤销之诉还要符合法律和司法解释规定的其他条件。对于除此之外的其他债权，债权人原则上不得提起第三人撤销之诉。</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121.【必要共同诉讼漏列的当事人申请再审】民事诉讼法司法解释对必要共同诉讼漏列的当事人申请再审规定了两种不同的程序，二者在管辖法院及申请再审期限的起算点上存在明显差别，人民法院在审理相关案件时应予注意：</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（1）该当事人在执行程序中以案外人身份提出异议，异议被驳回的，根据民事诉讼法司法解释第423条的规定，其可以在驳回异议裁定送达之日起6个月内向原审人民法院申请再审；</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2）该当事人未在执行程序中以案外人身份提出异议的，根据民事诉讼法司法解释第422条的规定，其可以根据《民事诉讼法》第200条第8项的规定，自知道或者应当知道生效裁判之日起6个月内向上一级人民法院申请再审。当事人一方人数众多或者当事人双方为公民的案件，也可以向原审人民法院申请再审。</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122.【程序启动后案外人不享有程序选择权】案外人申请再审与第三人撤销之诉功能上近似，如果案外人既有申请再审的权利，又符合第三人撤销之诉的条件，对于案外人是否可以行使选择权，民事诉讼法司法解释采取了限制的司法态度，即依据民事诉讼法司法解释第303条的规定，按照启动程序的先后，案外人只能选择相应的救济程序：案外人先启动执行异议程序的，对执行异议裁定不服，认为原裁判内容错误损害其合法权益的，只能向作出原裁判的人民法院申请再审，而不能提起第三人撤销之诉；案外人先启动了第三人撤销之诉，即便在执行程序中又提出执行异议，也只能继续进行第三人撤销之诉，而不能依《民事诉讼法》第227条申请再审。</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123.【案外人依据另案生效裁判对非金钱债权的执行提起执行异议之诉】审判实践中，案外人有时依据另案生效裁判所认定的与执行标的物有关的权利提起执行异议之诉，请求排除对标的物的执行。此时，鉴于作为执行依据的生效裁判与作为案外人提出执行异议依据的生效裁判，均涉及对同一标的物权属或给付的认定，性质上属于两个生效裁判所认定的权利之间可能产生的冲突，人民法院在审理执行异议之诉时，需区别不同情况作出判断：如果作为执行依据的生效裁判是确权裁判，不论作为执行异议依据的裁判是确权裁判还是给付裁判，一般不应据此排除执行，但人民法院应当告知案外人对作为执行依据的确权裁判申请再审；如果作为执行依据的生效裁判是给付标的物的裁判，而作为提出异议之诉依据的裁判是确权裁判，一般应据此排除执行，此时人民法院应告知其对该确权裁判申请再审；如果两个裁判均属给付标的物的裁判，人民法院需依法判断哪个裁判所认定的给付权利具有优先性，进而判断是否可以排除执行。</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lastRenderedPageBreak/>
        <w:t>124.【案外人依据另案生效裁判对金钱债权的执行提起执行异议之诉】作为执行依据的生效裁判并未涉及执行标的物，只是执行中为实现金钱债权对特定标的物采取了执行措施。对此种情形，《最高人民法院关于人民法院办理执行异议和复议案件若干问题的规定》第26条规定了解决案外人执行异议的规则，在审理执行异议之诉时可以参考适用。依据该条规定，作为案外人提起执行异议之诉依据的裁判将执行标的物确权给案外人，可以排除执行；作为案外人提起执行异议之诉依据的裁判，未将执行标的物确权给案外人，而是基于不以转移所有权为目的的有效合同（如租赁、借用、保管合同），判令向案外人返还执行标的物的，其性质属于物权请求权，亦可以排除执行；基于以转移所有权为目的有效合同（如买卖合同），判令向案外人交付标的物的，其性质属于债权请求权，不能排除执行。</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应予注意的是，在金钱债权执行中，如果案外人提出执行异议之诉依据的生效裁判认定以转移所有权为目的的合同（如买卖合同）无效或应当解除，进而判令向案外人返还执行标的物的，此时案外人享有的是物权性质的返还请求权，本可排除金钱债权的执行，但在双务合同无效的情况下，双方互负返还义务，在案外人未返还价款的情况下，如果允许其排除金钱债权的执行，将会使申请执行人既执行不到被执行人名下的财产，又执行不到本应返还给被执行人的价款，显然有失公允。为平衡各方当事人的利益，只有在案外人已经返还价款的情况下，才能排除普通债权人的执行。反之，案外人未返还价款的，不能排除执行。</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125.【案外人系商品房消费者】实践中，商品房消费者向房地产开发企业购买商品房，往往没有及时办理房地产过户手续。房地产开发企业因欠债而被强</w:t>
      </w:r>
      <w:r w:rsidRPr="0026002C">
        <w:rPr>
          <w:rFonts w:ascii="宋体" w:eastAsia="宋体" w:hAnsi="宋体" w:cs="宋体" w:hint="eastAsia"/>
          <w:color w:val="242424"/>
          <w:kern w:val="0"/>
          <w:sz w:val="28"/>
          <w:szCs w:val="28"/>
        </w:rPr>
        <w:lastRenderedPageBreak/>
        <w:t>制执行，人民法院在对尚登记在房地产开发企业名下但已出卖给消费者的商品房采取执行措施时，商品房消费者往往会提出执行异议，以排除强制执行。对此，《最高人民法院关于人民法院办理执行异议和复议案件若干问题的规定》第29条规定，符合下列情形的，应当支持商品房消费者的诉讼请求：一是在人民法院查封之前已签订合法有效的书面买卖合同；二是所购商品房系用于居住且买受人名下无其他用于居住的房屋；三是已支付的价款超过合同约定总价款的百分之五十。人民法院在审理执行异议之诉案件时，可参照适用此条款。</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问题是，对于其中 “所购商品房系用于居住且买受人名下无其他用于居住的房屋”如何理解，审判实践中掌握的标准不一。“买受人名下无其他用于居住的房屋”，可以理解为在案涉房屋同一设区的市或者县级市范围内商品房消费者名下没有用于居住的房屋。商品房消费者名下虽然已有1套房屋，但购买的房屋在面积上仍然属于满足基本居住需要的，可以理解为符合该规定的精神。</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对于其中 “已支付的价款超过合同约定总价款的百分之五十” 如何理解，审判实践中掌握的标准也不一致。如果商品房消费者支付的价款接近于百分之五十，且已按照合同约定将剩余价款支付给申请执行人或者按照人民法院的要求交付执行的，可以理解为符合该规定的精神。</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126.【商品房消费者的权利与抵押权的关系】根据《最高人民法院关于建设工程价款优先受偿权问题的批复》第1条、第2条的规定，交付全部或者大部分款项的商品房消费者的权利优先于抵押权人的抵押权，故抵押权人申请执行登记在房地产开发企业名下但已销售给消费者的商品房，消费者提出执行异议的，人民法院依法予以支持。但应当特别注意的是，此情况是针对实践中存在</w:t>
      </w:r>
      <w:r w:rsidRPr="0026002C">
        <w:rPr>
          <w:rFonts w:ascii="宋体" w:eastAsia="宋体" w:hAnsi="宋体" w:cs="宋体" w:hint="eastAsia"/>
          <w:color w:val="242424"/>
          <w:kern w:val="0"/>
          <w:sz w:val="28"/>
          <w:szCs w:val="28"/>
        </w:rPr>
        <w:lastRenderedPageBreak/>
        <w:t>的商品房预售不规范现象为保护消费者生存权而作出的例外规定，必须严格把握条件，避免扩大范围，以免动摇抵押权具有优先性的基本原则。因此，这里的商品房消费者应当仅限于符合本纪要第125条规定的商品房消费者。买受人不是本纪要第125条规定的商品房消费者，而是一般的房屋买卖合同的买受人，不适用上述处理规则。</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127.【案外人系商品房消费者之外的一般买受人】金钱债权执行中，商品房消费者之外的一般买受人对登记在被执行人名下的不动产提出异议，请求排除执行的，《最高人民法院关于人民法院办理执行异议和复议案件若干问题的规定》第28条规定，符合下列情形的依法予以支持：一是在人民法院查封之前已签订合法有效的书面买卖合同；二是在人民法院查封之前已合法占有该不动产；三是已支付全部价款，或者已按照合同约定支付部分价款且将剩余价款按照人民法院的要求交付执行；四是非因买受人自身原因未办理过户登记。人民法院在审理执行异议之诉案件时，可参照适用此条款。</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实践中，对于该规定的前3个条件，理解并无分歧。对于其中的第4个条件，理解不一致。一般而言，买受人只要有向房屋登记机构递交过户登记材料，或向出卖人提出了办理过户登记的请求等积极行为的，可以认为符合该条件。买受人无上述积极行为，其未办理过户登记有合理的客观理由的，亦可认定符合该条件。</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b/>
          <w:bCs/>
          <w:color w:val="242424"/>
          <w:kern w:val="0"/>
          <w:sz w:val="28"/>
          <w:szCs w:val="28"/>
        </w:rPr>
        <w:t>十二、关于民刑交叉案件的程序处理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会议认为，近年来，在民间借贷、P2P等融资活动中，与涉嫌诈骗、合同诈骗、票据诈骗、集资诈骗、非法吸收公众存款等犯罪有关的民商事案件的数量有所增加，出现了一些新情况和新问题。在审理案件时，应当依照《最高人民</w:t>
      </w:r>
      <w:r w:rsidRPr="0026002C">
        <w:rPr>
          <w:rFonts w:ascii="宋体" w:eastAsia="宋体" w:hAnsi="宋体" w:cs="宋体" w:hint="eastAsia"/>
          <w:color w:val="242424"/>
          <w:kern w:val="0"/>
          <w:sz w:val="28"/>
          <w:szCs w:val="28"/>
        </w:rPr>
        <w:lastRenderedPageBreak/>
        <w:t>法院关于在审理经济纠纷案件中涉及经济犯罪嫌疑若干问题的规定》《最高人民法院关于审理非法集资刑事案件具体应用法律若干问题的解释》《最高人民法院最高人民检察院公安部关于办理非法集资刑事案件适用法律若干问题的意见》以及民间借贷司法解释等规定，处理好民刑交叉案件之间的程序关系。</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128.【分别审理】同一当事人因不同事实分别发生民商事纠纷和涉嫌刑事犯罪，民商事案件与刑事案件应当分别审理，主要有下列情形：</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（1）主合同的债务人涉嫌刑事犯罪或者刑事裁判认定其构成犯罪，债权人请求担保人承担民事责任的；</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（2）行为人以法人、非法人组织或者他人名义订立合同的行为涉嫌刑事犯罪或者刑事裁判认定其构成犯罪，合同相对人请求该法人、非法人组织或者他人承担民事责任的；</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（3）法人或者非法人组织的法定代表人、负责人或者其他工作人员的职务行为涉嫌刑事犯罪或者刑事裁判认定其构成犯罪，受害人请求该法人或者非法人组织承担民事责任的；</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（4）侵权行为人涉嫌刑事犯罪或者刑事裁判认定其构成犯罪，被保险人、受益人或者其他赔偿权利人请求保险人支付保险金的；</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（5）受害人请求涉嫌刑事犯罪的行为人之外的其他主体承担民事责任的。</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审判实践中出现的问题是，在上述情形下，有的人民法院仍然以民商事案件涉嫌刑事犯罪为由不予受理，已经受理的，裁定驳回起诉。对此，应予纠正。</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129.【涉众型经济犯罪与民商事案件的程序处理】2014年颁布实施的《最高人民法院最高人民检察院公安部关于办理非法集资刑事案件适用法律若干问题的意见》和2019年1月颁布实施的《最高人民法院最高人民检察院公安部关</w:t>
      </w:r>
      <w:r w:rsidRPr="0026002C">
        <w:rPr>
          <w:rFonts w:ascii="宋体" w:eastAsia="宋体" w:hAnsi="宋体" w:cs="宋体" w:hint="eastAsia"/>
          <w:color w:val="242424"/>
          <w:kern w:val="0"/>
          <w:sz w:val="28"/>
          <w:szCs w:val="28"/>
        </w:rPr>
        <w:lastRenderedPageBreak/>
        <w:t>于办理非法集资刑事案件若干问题的意见》规定的涉嫌集资诈骗、非法吸收公众存款等涉众型经济犯罪，所涉人数众多、当事人分布地域广、标的额特别巨大、影响范围广，严重影响社会稳定，对于受害人就同一事实提起的以犯罪嫌疑人或者刑事被告人为被告的民事诉讼，人民法院应当裁定不予受理，并将有关材料移送侦查机关、检察机关或者正在审理该刑事案件的人民法院。受害人的民事权利保护应当通过刑事追赃、退赔的方式解决。正在审理民商事案件的人民法院发现有上述涉众型经济犯罪线索的，应当及时将犯罪线索和有关材料移送侦查机关。侦查机关作出立案决定前，人民法院应当中止审理；作出立案决定后，应当裁定驳回起诉；侦查机关未及时立案的，人民法院必要时可以将案件报请党委政法委协调处理。除上述情形人民法院不予受理外，要防止通过刑事手段干预民商事审判，搞地方保护，影响营商环境。</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当事人因租赁、买卖、金融借款等与上述涉众型经济犯罪无关的民事纠纷，请求上述主体承担民事责任的，人民法院应予受理。</w:t>
      </w:r>
    </w:p>
    <w:p w:rsidR="009C4EED" w:rsidRPr="0026002C" w:rsidRDefault="009C4EED" w:rsidP="0026002C">
      <w:pPr>
        <w:widowControl/>
        <w:shd w:val="clear" w:color="auto" w:fill="FFFFFF"/>
        <w:ind w:firstLine="480"/>
        <w:jc w:val="left"/>
        <w:rPr>
          <w:rFonts w:ascii="宋体" w:eastAsia="宋体" w:hAnsi="宋体" w:cs="宋体"/>
          <w:color w:val="242424"/>
          <w:kern w:val="0"/>
          <w:sz w:val="28"/>
          <w:szCs w:val="28"/>
        </w:rPr>
      </w:pPr>
      <w:r w:rsidRPr="0026002C">
        <w:rPr>
          <w:rFonts w:ascii="宋体" w:eastAsia="宋体" w:hAnsi="宋体" w:cs="宋体" w:hint="eastAsia"/>
          <w:color w:val="242424"/>
          <w:kern w:val="0"/>
          <w:sz w:val="28"/>
          <w:szCs w:val="28"/>
        </w:rPr>
        <w:t>130.【民刑交叉案件中民商事案件中止审理的条件】人民法院在审理民商事案件时，如果民商事案件必须以相关刑事案件的审理结果为依据，而刑事案件尚未审结的，应当根据《民事诉讼法》第150条第5项的规定裁定中止诉讼。待刑事案件审结后，再恢复民商事案件的审理。如果民商事案件不是必须以相关的刑事案件的审理结果为依据，则民商事案件应当继续审理。</w:t>
      </w:r>
    </w:p>
    <w:p w:rsidR="008C7D11" w:rsidRDefault="008C7D11" w:rsidP="0026002C">
      <w:pPr>
        <w:rPr>
          <w:rFonts w:ascii="宋体" w:eastAsia="宋体" w:hAnsi="宋体"/>
          <w:sz w:val="28"/>
          <w:szCs w:val="28"/>
        </w:rPr>
      </w:pPr>
    </w:p>
    <w:p w:rsidR="005F18D8" w:rsidRPr="005F18D8" w:rsidRDefault="005F18D8" w:rsidP="005F18D8">
      <w:pPr>
        <w:widowControl/>
        <w:jc w:val="left"/>
        <w:outlineLvl w:val="0"/>
        <w:rPr>
          <w:rFonts w:ascii="宋体" w:eastAsia="宋体" w:hAnsi="宋体" w:cs="宋体"/>
          <w:b/>
          <w:bCs/>
          <w:color w:val="000000"/>
          <w:kern w:val="36"/>
          <w:sz w:val="28"/>
          <w:szCs w:val="28"/>
        </w:rPr>
      </w:pPr>
      <w:r w:rsidRPr="005F18D8">
        <w:rPr>
          <w:rFonts w:ascii="宋体" w:eastAsia="宋体" w:hAnsi="宋体" w:cs="宋体"/>
          <w:b/>
          <w:bCs/>
          <w:color w:val="000000"/>
          <w:kern w:val="36"/>
          <w:sz w:val="28"/>
          <w:szCs w:val="28"/>
        </w:rPr>
        <w:t>最高检：公司企业人员涉嫌挪用资金犯罪起诉前退还的可依法不起诉</w:t>
      </w:r>
    </w:p>
    <w:p w:rsidR="005F18D8" w:rsidRPr="005F18D8" w:rsidRDefault="005F18D8" w:rsidP="005F18D8">
      <w:pPr>
        <w:widowControl/>
        <w:jc w:val="left"/>
        <w:rPr>
          <w:rFonts w:ascii="宋体" w:eastAsia="宋体" w:hAnsi="宋体" w:cs="宋体"/>
          <w:color w:val="505050"/>
          <w:kern w:val="0"/>
          <w:sz w:val="28"/>
          <w:szCs w:val="28"/>
        </w:rPr>
      </w:pPr>
      <w:r w:rsidRPr="005F18D8">
        <w:rPr>
          <w:rFonts w:ascii="宋体" w:eastAsia="宋体" w:hAnsi="宋体" w:cs="宋体"/>
          <w:color w:val="505050"/>
          <w:kern w:val="0"/>
          <w:sz w:val="28"/>
          <w:szCs w:val="28"/>
        </w:rPr>
        <w:t>光明网 07-25 07:06</w:t>
      </w:r>
    </w:p>
    <w:p w:rsidR="005F18D8" w:rsidRPr="005F18D8" w:rsidRDefault="005F18D8" w:rsidP="005F18D8">
      <w:pPr>
        <w:widowControl/>
        <w:spacing w:after="300"/>
        <w:rPr>
          <w:rFonts w:ascii="宋体" w:eastAsia="宋体" w:hAnsi="宋体" w:cs="宋体"/>
          <w:color w:val="505050"/>
          <w:kern w:val="0"/>
          <w:sz w:val="28"/>
          <w:szCs w:val="28"/>
        </w:rPr>
      </w:pPr>
      <w:r w:rsidRPr="005F18D8">
        <w:rPr>
          <w:rFonts w:ascii="宋体" w:eastAsia="宋体" w:hAnsi="宋体" w:cs="宋体"/>
          <w:color w:val="505050"/>
          <w:kern w:val="0"/>
          <w:sz w:val="28"/>
          <w:szCs w:val="28"/>
        </w:rPr>
        <w:lastRenderedPageBreak/>
        <w:t>新华社北京7月24日电（记者陈菲）最高人民检察院日前下发《关于充分发挥检察职能服务保障“六稳”“六保”的意见》，提出了11条具体举措，对充分发挥检察职能服务保障“六稳”“六保”作出细化要求。</w:t>
      </w:r>
    </w:p>
    <w:p w:rsidR="005F18D8" w:rsidRPr="005F18D8" w:rsidRDefault="005F18D8" w:rsidP="005F18D8">
      <w:pPr>
        <w:widowControl/>
        <w:spacing w:after="300"/>
        <w:rPr>
          <w:rFonts w:ascii="宋体" w:eastAsia="宋体" w:hAnsi="宋体" w:cs="宋体"/>
          <w:color w:val="505050"/>
          <w:kern w:val="0"/>
          <w:sz w:val="28"/>
          <w:szCs w:val="28"/>
        </w:rPr>
      </w:pPr>
      <w:r w:rsidRPr="005F18D8">
        <w:rPr>
          <w:rFonts w:ascii="宋体" w:eastAsia="宋体" w:hAnsi="宋体" w:cs="宋体"/>
          <w:color w:val="505050"/>
          <w:kern w:val="0"/>
          <w:sz w:val="28"/>
          <w:szCs w:val="28"/>
        </w:rPr>
        <w:t>其中，对于依法保护企业正常生产经营活动，意见指出，加大力度惩治各类侵犯企业财产、损害企业利益的犯罪。依法严格追诉职务侵占、非国家工作人员受贿和挪用资金犯罪，根据犯罪数额和情节，综合考虑犯罪行为对民营企业经营发展、商业信誉、内部治理、外部环境的影响程度，精准提出量刑建议。</w:t>
      </w:r>
      <w:r w:rsidRPr="005F18D8">
        <w:rPr>
          <w:rFonts w:ascii="宋体" w:eastAsia="宋体" w:hAnsi="宋体" w:cs="宋体"/>
          <w:color w:val="FF0000"/>
          <w:kern w:val="0"/>
          <w:sz w:val="28"/>
          <w:szCs w:val="28"/>
        </w:rPr>
        <w:t>对提起公诉前退还挪用资金或者具有其他情节轻微情形的，可以依法不起诉；</w:t>
      </w:r>
      <w:r w:rsidRPr="005F18D8">
        <w:rPr>
          <w:rFonts w:ascii="宋体" w:eastAsia="宋体" w:hAnsi="宋体" w:cs="宋体"/>
          <w:color w:val="505050"/>
          <w:kern w:val="0"/>
          <w:sz w:val="28"/>
          <w:szCs w:val="28"/>
        </w:rPr>
        <w:t>对数额特别巨大拒不退还或者具有其他情节特别严重情形的，依法从严追诉。</w:t>
      </w:r>
    </w:p>
    <w:p w:rsidR="005F18D8" w:rsidRPr="005F18D8" w:rsidRDefault="005F18D8" w:rsidP="005F18D8">
      <w:pPr>
        <w:widowControl/>
        <w:spacing w:after="300"/>
        <w:rPr>
          <w:rFonts w:ascii="宋体" w:eastAsia="宋体" w:hAnsi="宋体" w:cs="宋体"/>
          <w:color w:val="505050"/>
          <w:kern w:val="0"/>
          <w:sz w:val="28"/>
          <w:szCs w:val="28"/>
        </w:rPr>
      </w:pPr>
      <w:r w:rsidRPr="005F18D8">
        <w:rPr>
          <w:rFonts w:ascii="宋体" w:eastAsia="宋体" w:hAnsi="宋体" w:cs="宋体"/>
          <w:color w:val="505050"/>
          <w:kern w:val="0"/>
          <w:sz w:val="28"/>
          <w:szCs w:val="28"/>
        </w:rPr>
        <w:t>意见明确，依法慎重处理贷款类犯罪案件。在办理骗取贷款等犯罪案件时，充分考虑企业“融资难”“融资贵”的实际情况，注意从借款人采取的欺骗手段是否属于明显虚构事实或者隐瞒真相，是否与银行工作人员合谋、受其指使，是否非法影响银行放贷决策、危及信贷资金安全，是否造成重大损失等方面，合理判断其行为危害性，不苛求企业等借款人。</w:t>
      </w:r>
      <w:r w:rsidRPr="005F18D8">
        <w:rPr>
          <w:rFonts w:ascii="宋体" w:eastAsia="宋体" w:hAnsi="宋体" w:cs="宋体"/>
          <w:color w:val="FF0000"/>
          <w:kern w:val="0"/>
          <w:sz w:val="28"/>
          <w:szCs w:val="28"/>
        </w:rPr>
        <w:t>对于借款人因生产经营需要，在贷款过程中虽有违规行为，但未造成实际损失的，一般不作为犯罪处理</w:t>
      </w:r>
      <w:r w:rsidRPr="005F18D8">
        <w:rPr>
          <w:rFonts w:ascii="宋体" w:eastAsia="宋体" w:hAnsi="宋体" w:cs="宋体"/>
          <w:color w:val="505050"/>
          <w:kern w:val="0"/>
          <w:sz w:val="28"/>
          <w:szCs w:val="28"/>
        </w:rPr>
        <w:t>。对于借款人采取欺骗手段获取贷款，虽给银行造成损失，但证据不足以认定借款人有非法占有目的的，不能以贷款诈骗罪定性处理。</w:t>
      </w:r>
    </w:p>
    <w:p w:rsidR="005F18D8" w:rsidRPr="005F18D8" w:rsidRDefault="005F18D8" w:rsidP="005F18D8">
      <w:pPr>
        <w:widowControl/>
        <w:spacing w:after="300"/>
        <w:rPr>
          <w:rFonts w:ascii="宋体" w:eastAsia="宋体" w:hAnsi="宋体" w:cs="宋体"/>
          <w:color w:val="505050"/>
          <w:kern w:val="0"/>
          <w:sz w:val="28"/>
          <w:szCs w:val="28"/>
        </w:rPr>
      </w:pPr>
      <w:r w:rsidRPr="005F18D8">
        <w:rPr>
          <w:rFonts w:ascii="宋体" w:eastAsia="宋体" w:hAnsi="宋体" w:cs="宋体"/>
          <w:color w:val="505050"/>
          <w:kern w:val="0"/>
          <w:sz w:val="28"/>
          <w:szCs w:val="28"/>
        </w:rPr>
        <w:t>意见要求，依法慎重处理拒不支付劳动报酬犯罪案件。充分考虑企业生产经营实际，注意把握企业因资金周转困难拖欠劳动报酬与恶意欠薪的界限，灵活采取检察建议、督促履行、协调追欠追赃垫付等形式，既有效维护劳动者权益，又保障</w:t>
      </w:r>
      <w:r w:rsidRPr="005F18D8">
        <w:rPr>
          <w:rFonts w:ascii="宋体" w:eastAsia="宋体" w:hAnsi="宋体" w:cs="宋体"/>
          <w:color w:val="505050"/>
          <w:kern w:val="0"/>
          <w:sz w:val="28"/>
          <w:szCs w:val="28"/>
        </w:rPr>
        <w:lastRenderedPageBreak/>
        <w:t>企业生产经营。对恶意欠薪涉嫌犯罪，但在提起公诉前支付劳动报酬，并依法承担相应赔偿责任的，可以依法不起诉。</w:t>
      </w:r>
    </w:p>
    <w:p w:rsidR="005F18D8" w:rsidRPr="005F18D8" w:rsidRDefault="005F18D8" w:rsidP="005F18D8">
      <w:pPr>
        <w:widowControl/>
        <w:spacing w:after="300"/>
        <w:rPr>
          <w:rFonts w:ascii="宋体" w:eastAsia="宋体" w:hAnsi="宋体" w:cs="宋体"/>
          <w:color w:val="505050"/>
          <w:kern w:val="0"/>
          <w:sz w:val="28"/>
          <w:szCs w:val="28"/>
        </w:rPr>
      </w:pPr>
      <w:r w:rsidRPr="005F18D8">
        <w:rPr>
          <w:rFonts w:ascii="宋体" w:eastAsia="宋体" w:hAnsi="宋体" w:cs="宋体"/>
          <w:color w:val="505050"/>
          <w:kern w:val="0"/>
          <w:sz w:val="28"/>
          <w:szCs w:val="28"/>
        </w:rPr>
        <w:t>意见还指出，严格把握涉企业生产经营、创新创业的新类型案件的法律政策界限。对于企业创新产品与现有国家标准难以对应的，应当深入调查，进行实质性评估，加强请示报告，准确认定产品属性和质量，防止简单化“对号入座”，以生产、销售伪劣产品定罪处罚。</w:t>
      </w:r>
    </w:p>
    <w:p w:rsidR="005F18D8" w:rsidRPr="005F18D8" w:rsidRDefault="005F18D8" w:rsidP="005F18D8">
      <w:pPr>
        <w:widowControl/>
        <w:spacing w:after="300"/>
        <w:rPr>
          <w:rFonts w:ascii="宋体" w:eastAsia="宋体" w:hAnsi="宋体" w:cs="宋体"/>
          <w:color w:val="505050"/>
          <w:kern w:val="0"/>
          <w:sz w:val="24"/>
          <w:szCs w:val="24"/>
        </w:rPr>
      </w:pPr>
      <w:r w:rsidRPr="005F18D8">
        <w:rPr>
          <w:rFonts w:ascii="宋体" w:eastAsia="宋体" w:hAnsi="宋体" w:cs="宋体"/>
          <w:color w:val="505050"/>
          <w:kern w:val="0"/>
          <w:sz w:val="28"/>
          <w:szCs w:val="28"/>
        </w:rPr>
        <w:t>来源： 新华社</w:t>
      </w:r>
    </w:p>
    <w:p w:rsidR="005F18D8" w:rsidRDefault="005F18D8" w:rsidP="0026002C">
      <w:pPr>
        <w:rPr>
          <w:rFonts w:ascii="宋体" w:eastAsia="宋体" w:hAnsi="宋体"/>
          <w:sz w:val="28"/>
          <w:szCs w:val="28"/>
        </w:rPr>
      </w:pPr>
    </w:p>
    <w:p w:rsidR="00142AE0" w:rsidRPr="00F37F38" w:rsidRDefault="00142AE0" w:rsidP="00142AE0">
      <w:pPr>
        <w:pStyle w:val="a7"/>
        <w:shd w:val="clear" w:color="auto" w:fill="FFFFFF"/>
        <w:spacing w:before="0" w:beforeAutospacing="0" w:after="0" w:afterAutospacing="0"/>
        <w:rPr>
          <w:rFonts w:ascii="微软雅黑" w:eastAsia="微软雅黑" w:hAnsi="微软雅黑"/>
          <w:color w:val="222222"/>
        </w:rPr>
      </w:pPr>
      <w:r w:rsidRPr="00F37F38">
        <w:rPr>
          <w:rStyle w:val="a8"/>
          <w:rFonts w:ascii="微软雅黑" w:eastAsia="微软雅黑" w:hAnsi="微软雅黑" w:hint="eastAsia"/>
          <w:color w:val="222222"/>
          <w:bdr w:val="none" w:sz="0" w:space="0" w:color="auto" w:frame="1"/>
        </w:rPr>
        <w:t>最高人民法院关于如何理解刑法第二百七十二条规定的“挪用本单位资金归个人使用或者借贷给他人”问题的批复（法释〔2000〕第22号，2000年7月27日）</w:t>
      </w:r>
    </w:p>
    <w:p w:rsidR="00142AE0" w:rsidRDefault="00142AE0" w:rsidP="00142AE0">
      <w:pPr>
        <w:pStyle w:val="a7"/>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新疆维吾尔自治区高级人民法院：</w:t>
      </w:r>
    </w:p>
    <w:p w:rsidR="00142AE0" w:rsidRDefault="00142AE0" w:rsidP="00142AE0">
      <w:pPr>
        <w:pStyle w:val="a7"/>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你院新高法〔1998〕193号《关于对刑法第二百七十二条“挪用本单位资金归个人使用或者借贷给他人”的规定应如何理解的请示》收悉。经研究，答复如下：</w:t>
      </w:r>
    </w:p>
    <w:p w:rsidR="00142AE0" w:rsidRDefault="00142AE0" w:rsidP="00142AE0">
      <w:pPr>
        <w:pStyle w:val="a7"/>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公司、企业或者其他单位的非国家工作人员，利用职务上的便利，挪用本单位资金归本人或者其他自然人使用，或者挪用人以个人名义将所挪用的资金借给其他自然人和单位，构成犯罪的，应当依照刑法第二百七十二条第一款的规定定罪处罚。</w:t>
      </w:r>
    </w:p>
    <w:p w:rsidR="00142AE0" w:rsidRDefault="00142AE0" w:rsidP="0026002C">
      <w:pPr>
        <w:rPr>
          <w:rFonts w:ascii="宋体" w:eastAsia="宋体" w:hAnsi="宋体"/>
          <w:sz w:val="28"/>
          <w:szCs w:val="28"/>
        </w:rPr>
      </w:pPr>
    </w:p>
    <w:p w:rsidR="00067D48" w:rsidRPr="00067D48" w:rsidRDefault="00067D48" w:rsidP="00067D48">
      <w:pPr>
        <w:widowControl/>
        <w:shd w:val="clear" w:color="auto" w:fill="FFFFFF"/>
        <w:spacing w:line="660" w:lineRule="atLeast"/>
        <w:jc w:val="left"/>
        <w:outlineLvl w:val="0"/>
        <w:rPr>
          <w:rFonts w:ascii="微软雅黑" w:eastAsia="微软雅黑" w:hAnsi="微软雅黑" w:cs="宋体"/>
          <w:b/>
          <w:bCs/>
          <w:color w:val="222222"/>
          <w:kern w:val="36"/>
          <w:sz w:val="24"/>
          <w:szCs w:val="24"/>
        </w:rPr>
      </w:pPr>
      <w:r w:rsidRPr="00067D48">
        <w:rPr>
          <w:rFonts w:ascii="微软雅黑" w:eastAsia="微软雅黑" w:hAnsi="微软雅黑" w:cs="宋体" w:hint="eastAsia"/>
          <w:b/>
          <w:bCs/>
          <w:color w:val="222222"/>
          <w:kern w:val="36"/>
          <w:sz w:val="24"/>
          <w:szCs w:val="24"/>
        </w:rPr>
        <w:t>经济犯罪中的挪用资金罪由谁立案管辖？2019挪用资金罪的管辖主体是谁？</w:t>
      </w:r>
    </w:p>
    <w:p w:rsidR="00067D48" w:rsidRPr="00067D48" w:rsidRDefault="00067D48" w:rsidP="00067D48">
      <w:pPr>
        <w:widowControl/>
        <w:shd w:val="clear" w:color="auto" w:fill="FFFFFF"/>
        <w:jc w:val="left"/>
        <w:rPr>
          <w:rFonts w:ascii="微软雅黑" w:eastAsia="微软雅黑" w:hAnsi="微软雅黑" w:cs="宋体"/>
          <w:color w:val="333333"/>
          <w:kern w:val="0"/>
          <w:sz w:val="20"/>
          <w:szCs w:val="20"/>
        </w:rPr>
      </w:pPr>
      <w:r w:rsidRPr="00067D48">
        <w:rPr>
          <w:rFonts w:ascii="微软雅黑" w:eastAsia="微软雅黑" w:hAnsi="微软雅黑" w:cs="宋体" w:hint="eastAsia"/>
          <w:color w:val="777777"/>
          <w:kern w:val="0"/>
          <w:sz w:val="20"/>
          <w:szCs w:val="20"/>
        </w:rPr>
        <w:t>灵寿普法2019-05-24 11:00:02</w:t>
      </w:r>
    </w:p>
    <w:p w:rsidR="00067D48" w:rsidRPr="00067D48" w:rsidRDefault="00067D48" w:rsidP="00067D48">
      <w:pPr>
        <w:widowControl/>
        <w:spacing w:before="240" w:after="240"/>
        <w:jc w:val="left"/>
        <w:rPr>
          <w:rFonts w:ascii="宋体" w:eastAsia="宋体" w:hAnsi="宋体" w:cs="宋体"/>
          <w:color w:val="222222"/>
          <w:kern w:val="0"/>
          <w:sz w:val="24"/>
          <w:szCs w:val="24"/>
        </w:rPr>
      </w:pPr>
      <w:r w:rsidRPr="00067D48">
        <w:rPr>
          <w:rFonts w:ascii="宋体" w:eastAsia="宋体" w:hAnsi="宋体" w:cs="宋体"/>
          <w:color w:val="222222"/>
          <w:kern w:val="0"/>
          <w:sz w:val="24"/>
          <w:szCs w:val="24"/>
        </w:rPr>
        <w:lastRenderedPageBreak/>
        <w:t>来源：大律师网</w:t>
      </w:r>
    </w:p>
    <w:p w:rsidR="00067D48" w:rsidRPr="00067D48" w:rsidRDefault="00067D48" w:rsidP="00067D48">
      <w:pPr>
        <w:widowControl/>
        <w:spacing w:before="240" w:after="240"/>
        <w:jc w:val="left"/>
        <w:rPr>
          <w:rFonts w:ascii="宋体" w:eastAsia="宋体" w:hAnsi="宋体" w:cs="宋体"/>
          <w:color w:val="222222"/>
          <w:kern w:val="0"/>
          <w:sz w:val="24"/>
          <w:szCs w:val="24"/>
        </w:rPr>
      </w:pPr>
      <w:r w:rsidRPr="00067D48">
        <w:rPr>
          <w:rFonts w:ascii="宋体" w:eastAsia="宋体" w:hAnsi="宋体" w:cs="宋体"/>
          <w:color w:val="222222"/>
          <w:kern w:val="0"/>
          <w:sz w:val="24"/>
          <w:szCs w:val="24"/>
        </w:rPr>
        <w:t>根据我国刑法和刑诉法的规定，刑事案件除自诉案件外，归检察院和公安机关管辖。那么经济犯罪中的挪用资金罪由谁立案管辖，挪用资金罪的管辖主体是谁呢？</w:t>
      </w:r>
    </w:p>
    <w:p w:rsidR="00067D48" w:rsidRPr="00067D48" w:rsidRDefault="00067D48" w:rsidP="00067D48">
      <w:pPr>
        <w:widowControl/>
        <w:spacing w:before="240" w:after="240"/>
        <w:jc w:val="left"/>
        <w:rPr>
          <w:rFonts w:ascii="宋体" w:eastAsia="宋体" w:hAnsi="宋体" w:cs="宋体"/>
          <w:color w:val="222222"/>
          <w:kern w:val="0"/>
          <w:sz w:val="24"/>
          <w:szCs w:val="24"/>
        </w:rPr>
      </w:pPr>
      <w:r w:rsidRPr="00067D48">
        <w:rPr>
          <w:rFonts w:ascii="宋体" w:eastAsia="宋体" w:hAnsi="宋体" w:cs="宋体"/>
          <w:color w:val="222222"/>
          <w:kern w:val="0"/>
          <w:sz w:val="24"/>
          <w:szCs w:val="24"/>
        </w:rPr>
        <w:t>涉嫌挪用资金罪的案件应向公司所在地公安机关报案。</w:t>
      </w:r>
    </w:p>
    <w:p w:rsidR="00067D48" w:rsidRPr="00067D48" w:rsidRDefault="00067D48" w:rsidP="00067D48">
      <w:pPr>
        <w:widowControl/>
        <w:spacing w:before="240" w:after="240"/>
        <w:jc w:val="left"/>
        <w:rPr>
          <w:rFonts w:ascii="宋体" w:eastAsia="宋体" w:hAnsi="宋体" w:cs="宋体"/>
          <w:color w:val="222222"/>
          <w:kern w:val="0"/>
          <w:sz w:val="24"/>
          <w:szCs w:val="24"/>
        </w:rPr>
      </w:pPr>
      <w:r w:rsidRPr="00067D48">
        <w:rPr>
          <w:rFonts w:ascii="宋体" w:eastAsia="宋体" w:hAnsi="宋体" w:cs="宋体"/>
          <w:color w:val="222222"/>
          <w:kern w:val="0"/>
          <w:sz w:val="24"/>
          <w:szCs w:val="24"/>
        </w:rPr>
        <w:t>根据《刑事诉讼法》的规定，对于涉嫌挪用资金罪的刑事案件，应该由公安机关负责侦查;而根据《公安机关办理刑事案件程序规定》的规定，刑事案件一般应由犯罪地的公安机关管辖。所以，在正常情况下，对于职工涉嫌挪用资金犯罪的，公司可以向公司所在地的派出所报案。</w:t>
      </w:r>
    </w:p>
    <w:p w:rsidR="00067D48" w:rsidRPr="00067D48" w:rsidRDefault="00067D48" w:rsidP="00067D48">
      <w:pPr>
        <w:widowControl/>
        <w:spacing w:before="240" w:after="240"/>
        <w:jc w:val="left"/>
        <w:rPr>
          <w:rFonts w:ascii="宋体" w:eastAsia="宋体" w:hAnsi="宋体" w:cs="宋体"/>
          <w:color w:val="222222"/>
          <w:kern w:val="0"/>
          <w:sz w:val="24"/>
          <w:szCs w:val="24"/>
        </w:rPr>
      </w:pPr>
      <w:r w:rsidRPr="00067D48">
        <w:rPr>
          <w:rFonts w:ascii="宋体" w:eastAsia="宋体" w:hAnsi="宋体" w:cs="宋体"/>
          <w:color w:val="222222"/>
          <w:kern w:val="0"/>
          <w:sz w:val="24"/>
          <w:szCs w:val="24"/>
        </w:rPr>
        <w:t>按照刑事诉讼法对刑事案件管辖分工的规定，除贪污贿赂犯罪，国家机关工作人员的渎职犯罪，国家机关工作人员利用职权实施的非法拘禁、刑讯逼供、暴力取证、报复陷害、非法搜查的侵犯公民人身权利的犯罪以及侵犯公民民主权利的犯罪，监管人员殴打、体罚虐待被监管人的犯罪、军人违反职责的犯罪，经省级以上人民检察院批准的国家机关工作人员利用职权实施的其他重大的犯罪案件，以及自诉案件以外，其他刑事案件由公安机关管辖。</w:t>
      </w:r>
    </w:p>
    <w:p w:rsidR="00142AE0" w:rsidRDefault="00142AE0" w:rsidP="0026002C">
      <w:pPr>
        <w:rPr>
          <w:rFonts w:ascii="宋体" w:eastAsia="宋体" w:hAnsi="宋体"/>
          <w:sz w:val="28"/>
          <w:szCs w:val="28"/>
        </w:rPr>
      </w:pPr>
    </w:p>
    <w:p w:rsidR="007A7EE5" w:rsidRDefault="007A7EE5" w:rsidP="007A7EE5">
      <w:pPr>
        <w:pStyle w:val="a7"/>
        <w:shd w:val="clear" w:color="auto" w:fill="FFFFFF"/>
        <w:spacing w:before="0" w:beforeAutospacing="0" w:after="0" w:afterAutospacing="0"/>
        <w:rPr>
          <w:rFonts w:ascii="微软雅黑" w:eastAsia="微软雅黑" w:hAnsi="微软雅黑"/>
          <w:color w:val="222222"/>
        </w:rPr>
      </w:pPr>
      <w:r>
        <w:rPr>
          <w:rStyle w:val="a8"/>
          <w:rFonts w:ascii="微软雅黑" w:eastAsia="微软雅黑" w:hAnsi="微软雅黑" w:hint="eastAsia"/>
          <w:color w:val="222222"/>
          <w:bdr w:val="none" w:sz="0" w:space="0" w:color="auto" w:frame="1"/>
        </w:rPr>
        <w:t>公安部关于村民小组组长以本组资金为他人担保贷款如何定性处理问题的批复（公法〔2001〕83号，2001-04-26）</w:t>
      </w:r>
    </w:p>
    <w:p w:rsidR="007A7EE5" w:rsidRDefault="007A7EE5" w:rsidP="007A7EE5">
      <w:pPr>
        <w:pStyle w:val="a7"/>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陕西省公安厅：</w:t>
      </w:r>
    </w:p>
    <w:p w:rsidR="007A7EE5" w:rsidRDefault="007A7EE5" w:rsidP="007A7EE5">
      <w:pPr>
        <w:pStyle w:val="a7"/>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你厅《关于村民小组组长以组上资金为他人担保贷款造成集体资金严重损失如何定性问题的请示》收悉。现批复如下：</w:t>
      </w:r>
    </w:p>
    <w:p w:rsidR="007A7EE5" w:rsidRDefault="007A7EE5" w:rsidP="007A7EE5">
      <w:pPr>
        <w:pStyle w:val="a7"/>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村民小组组长利用职务上的便利，擅自将村民小组的集体财产为他人担保贷款，并以集体财产承担担保责任的，属于挪用本单位资金归个人使用的行为。构成犯罪的，应当依照刑法第二百七十二条第一款的规定，以挪用资金罪追究行为人的刑事责任。</w:t>
      </w:r>
    </w:p>
    <w:p w:rsidR="00996148" w:rsidRPr="007A7EE5" w:rsidRDefault="00996148" w:rsidP="0026002C">
      <w:pPr>
        <w:rPr>
          <w:rFonts w:ascii="宋体" w:eastAsia="宋体" w:hAnsi="宋体"/>
          <w:sz w:val="28"/>
          <w:szCs w:val="28"/>
        </w:rPr>
      </w:pPr>
    </w:p>
    <w:p w:rsidR="003F56C8" w:rsidRDefault="003F56C8" w:rsidP="003F56C8">
      <w:pPr>
        <w:pStyle w:val="a7"/>
        <w:shd w:val="clear" w:color="auto" w:fill="FFFFFF"/>
        <w:spacing w:before="0" w:beforeAutospacing="0" w:after="0" w:afterAutospacing="0"/>
        <w:rPr>
          <w:rFonts w:ascii="微软雅黑" w:eastAsia="微软雅黑" w:hAnsi="微软雅黑"/>
          <w:color w:val="222222"/>
        </w:rPr>
      </w:pPr>
      <w:r>
        <w:rPr>
          <w:rStyle w:val="a8"/>
          <w:rFonts w:ascii="微软雅黑" w:eastAsia="微软雅黑" w:hAnsi="微软雅黑" w:hint="eastAsia"/>
          <w:color w:val="222222"/>
          <w:bdr w:val="none" w:sz="0" w:space="0" w:color="auto" w:frame="1"/>
        </w:rPr>
        <w:t>全国法院审理经济犯罪案件工作座谈会纪要（2003年11月13日，法〔2003〕167号）</w:t>
      </w:r>
    </w:p>
    <w:p w:rsidR="003F56C8" w:rsidRDefault="003F56C8" w:rsidP="003F56C8">
      <w:pPr>
        <w:pStyle w:val="a7"/>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挪用公款供其他单位使用行为的认定</w:t>
      </w:r>
    </w:p>
    <w:p w:rsidR="003F56C8" w:rsidRDefault="003F56C8" w:rsidP="003F56C8">
      <w:pPr>
        <w:pStyle w:val="a7"/>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lastRenderedPageBreak/>
        <w:t>根据《全国人大常委会关于〈中华人民共和国刑法〉第三百八十四条第一款的解释》的规定，“以个人名义将公款供其他单位使用的”、“个人决定以单位名义将公款供其他单位使用谋取个人利益的”，属于挪用公款“归个人使用”。在司法实践中，对于将公款供其他单位使用的，认定是否属于“以个人名义”，不能只看形式，要从实质上把握。对于行为人逃避财务监管，或者与使用人约定以个人名义进行，或者借款、还款都以个人名义进行，将公款给其他单位使用的，应认定为“以个人名义”。“个人决定”既包括行为人在职权范围内决定，也包括超越职权范围决定。“谋取个人利益”，既包括行为人与使用人事先约定谋取个人利益实际尚未获取的情况，也包括虽未事先约定但实际已获取了个人利益的情况、其中的“个人利益”，既包括不正当利益，也包括正当利益；既包括财产性利益，也包括非财产性利益，但这种非财产性利益应当是具体的实际利益，如升学、就业等。</w:t>
      </w:r>
    </w:p>
    <w:p w:rsidR="003F56C8" w:rsidRDefault="003F56C8" w:rsidP="0026002C">
      <w:pPr>
        <w:rPr>
          <w:rFonts w:ascii="宋体" w:eastAsia="宋体" w:hAnsi="宋体"/>
          <w:sz w:val="28"/>
          <w:szCs w:val="28"/>
        </w:rPr>
      </w:pPr>
    </w:p>
    <w:p w:rsidR="00996148" w:rsidRDefault="00996148" w:rsidP="00996148">
      <w:pPr>
        <w:pStyle w:val="a7"/>
        <w:shd w:val="clear" w:color="auto" w:fill="FFFFFF"/>
        <w:spacing w:before="0" w:beforeAutospacing="0" w:after="0" w:afterAutospacing="0"/>
        <w:rPr>
          <w:rFonts w:ascii="微软雅黑" w:eastAsia="微软雅黑" w:hAnsi="微软雅黑"/>
          <w:color w:val="222222"/>
        </w:rPr>
      </w:pPr>
      <w:r>
        <w:rPr>
          <w:rStyle w:val="a8"/>
          <w:rFonts w:ascii="微软雅黑" w:eastAsia="微软雅黑" w:hAnsi="微软雅黑" w:hint="eastAsia"/>
          <w:color w:val="222222"/>
          <w:bdr w:val="none" w:sz="0" w:space="0" w:color="auto" w:frame="1"/>
        </w:rPr>
        <w:t>全国法院审理经济犯罪案件工作座谈会纪要（2003年11月13日，法〔2003〕167号）</w:t>
      </w:r>
    </w:p>
    <w:p w:rsidR="00996148" w:rsidRDefault="00996148" w:rsidP="00996148">
      <w:pPr>
        <w:pStyle w:val="a7"/>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（二）挪用公款供其他单位使用行为的认定</w:t>
      </w:r>
    </w:p>
    <w:p w:rsidR="00996148" w:rsidRDefault="00996148" w:rsidP="00996148">
      <w:pPr>
        <w:pStyle w:val="a7"/>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根据《全国人大常委会关于〈中华人民共和国刑法〉第三百八十四条第一款的解释》的规定，“以个人名义将公款供其他单位使用的”、“个人决定以单位名义将公款供其他单位使用谋取个人利益的”，属于挪用公款“归个人使用”。在司法实践中，对于将公款供其他单位使用的，认定是否属于“以个人名义”，不能只看形式，要从实质上把握。对于行为人逃避财务监管，或者与使用人约定以个人名义进行，或者借款、还款都以个人名义进行，将公款给其他单位使用的，应认定为“以个人名义”。“个人决定”既包括行为人在职权范围内决定，也包括超越职权范围决定。“谋取个人利益”，既包括行为人与使用人事先约定谋取个人利益实际尚未获取的情况，也包括虽未事先约定但实际已获取了个人利益的情况、其中</w:t>
      </w:r>
      <w:r>
        <w:rPr>
          <w:rFonts w:ascii="微软雅黑" w:eastAsia="微软雅黑" w:hAnsi="微软雅黑" w:hint="eastAsia"/>
          <w:color w:val="222222"/>
        </w:rPr>
        <w:lastRenderedPageBreak/>
        <w:t>的“个人利益”，既包括不正当利益，也包括正当利益；既包括财产性利益，也包括非财产性利益，但这种非财产性利益应当是具体的实际利益，如升学、就业等。</w:t>
      </w:r>
    </w:p>
    <w:p w:rsidR="00996148" w:rsidRDefault="00996148" w:rsidP="0026002C">
      <w:pPr>
        <w:rPr>
          <w:rFonts w:ascii="宋体" w:eastAsia="宋体" w:hAnsi="宋体"/>
          <w:sz w:val="28"/>
          <w:szCs w:val="28"/>
        </w:rPr>
      </w:pPr>
    </w:p>
    <w:p w:rsidR="00996148" w:rsidRPr="00996148" w:rsidRDefault="00996148" w:rsidP="00996148">
      <w:pPr>
        <w:rPr>
          <w:rFonts w:ascii="宋体" w:eastAsia="宋体" w:hAnsi="宋体"/>
          <w:sz w:val="28"/>
          <w:szCs w:val="28"/>
        </w:rPr>
      </w:pPr>
      <w:r w:rsidRPr="00996148">
        <w:rPr>
          <w:rFonts w:ascii="宋体" w:eastAsia="宋体" w:hAnsi="宋体" w:hint="eastAsia"/>
          <w:b/>
          <w:bCs/>
          <w:sz w:val="28"/>
          <w:szCs w:val="28"/>
        </w:rPr>
        <w:t>最高人民法院、最高人民检察院关于办理国家出资企业中职务犯罪案件具体应用法律若干问题的意见（法发〔2010〕49号，2010年11月26日）</w:t>
      </w:r>
    </w:p>
    <w:p w:rsidR="00996148" w:rsidRPr="00996148" w:rsidRDefault="00996148" w:rsidP="00996148">
      <w:pPr>
        <w:rPr>
          <w:rFonts w:ascii="宋体" w:eastAsia="宋体" w:hAnsi="宋体"/>
          <w:sz w:val="28"/>
          <w:szCs w:val="28"/>
        </w:rPr>
      </w:pPr>
      <w:r w:rsidRPr="00996148">
        <w:rPr>
          <w:rFonts w:ascii="宋体" w:eastAsia="宋体" w:hAnsi="宋体" w:hint="eastAsia"/>
          <w:sz w:val="28"/>
          <w:szCs w:val="28"/>
        </w:rPr>
        <w:t>三、关于国家出资企业工作人员使用改制公司、企业的资金担保个人贷款，用于购买改制公司、企业股份的行为的处理</w:t>
      </w:r>
    </w:p>
    <w:p w:rsidR="00996148" w:rsidRPr="00996148" w:rsidRDefault="00996148" w:rsidP="00996148">
      <w:pPr>
        <w:rPr>
          <w:rFonts w:ascii="宋体" w:eastAsia="宋体" w:hAnsi="宋体"/>
          <w:sz w:val="28"/>
          <w:szCs w:val="28"/>
        </w:rPr>
      </w:pPr>
      <w:r w:rsidRPr="00996148">
        <w:rPr>
          <w:rFonts w:ascii="宋体" w:eastAsia="宋体" w:hAnsi="宋体" w:hint="eastAsia"/>
          <w:sz w:val="28"/>
          <w:szCs w:val="28"/>
        </w:rPr>
        <w:t>国家出资企业的工作人员在公司、企业改制过程中为购买公司、企业股份，利用职务上的便利，将公司、企业的资金或者金融凭证、有价证券等用于个人贷款担保的，依照刑法第二百七十二条或者第三百八十四条的规定，以挪用资金罪或者挪用公款罪定罪处罚。</w:t>
      </w:r>
    </w:p>
    <w:p w:rsidR="00996148" w:rsidRPr="00996148" w:rsidRDefault="00996148" w:rsidP="00996148">
      <w:pPr>
        <w:rPr>
          <w:rFonts w:ascii="宋体" w:eastAsia="宋体" w:hAnsi="宋体"/>
          <w:sz w:val="28"/>
          <w:szCs w:val="28"/>
        </w:rPr>
      </w:pPr>
      <w:r w:rsidRPr="00996148">
        <w:rPr>
          <w:rFonts w:ascii="宋体" w:eastAsia="宋体" w:hAnsi="宋体" w:hint="eastAsia"/>
          <w:sz w:val="28"/>
          <w:szCs w:val="28"/>
        </w:rPr>
        <w:t>行为人在改制前的国家出资企业持有股份的，不影响挪用数额的认定，但量刑时应当酌情考虑。</w:t>
      </w:r>
    </w:p>
    <w:p w:rsidR="00996148" w:rsidRPr="00996148" w:rsidRDefault="00996148" w:rsidP="00996148">
      <w:pPr>
        <w:rPr>
          <w:rFonts w:ascii="宋体" w:eastAsia="宋体" w:hAnsi="宋体"/>
          <w:sz w:val="28"/>
          <w:szCs w:val="28"/>
        </w:rPr>
      </w:pPr>
      <w:r w:rsidRPr="00996148">
        <w:rPr>
          <w:rFonts w:ascii="宋体" w:eastAsia="宋体" w:hAnsi="宋体" w:hint="eastAsia"/>
          <w:sz w:val="28"/>
          <w:szCs w:val="28"/>
        </w:rPr>
        <w:t>经有关主管部门批准或者按照有关政策规定，国家出资企业的工作人员为购买改制公司、企业股份实施前款行为的，可以视具体情况不作为犯罪处理。</w:t>
      </w:r>
    </w:p>
    <w:p w:rsidR="00996148" w:rsidRPr="00996148" w:rsidRDefault="00996148" w:rsidP="0026002C">
      <w:pPr>
        <w:rPr>
          <w:rFonts w:ascii="宋体" w:eastAsia="宋体" w:hAnsi="宋体"/>
          <w:sz w:val="28"/>
          <w:szCs w:val="28"/>
        </w:rPr>
      </w:pPr>
    </w:p>
    <w:p w:rsidR="0026002C" w:rsidRPr="0026002C" w:rsidRDefault="0026002C" w:rsidP="0026002C">
      <w:pPr>
        <w:widowControl/>
        <w:shd w:val="clear" w:color="auto" w:fill="FFFFFF"/>
        <w:jc w:val="left"/>
        <w:outlineLvl w:val="0"/>
        <w:rPr>
          <w:rFonts w:ascii="宋体" w:eastAsia="宋体" w:hAnsi="宋体" w:cs="宋体"/>
          <w:b/>
          <w:bCs/>
          <w:color w:val="222222"/>
          <w:kern w:val="36"/>
          <w:sz w:val="28"/>
          <w:szCs w:val="28"/>
        </w:rPr>
      </w:pPr>
      <w:r w:rsidRPr="0026002C">
        <w:rPr>
          <w:rFonts w:ascii="宋体" w:eastAsia="宋体" w:hAnsi="宋体" w:cs="宋体" w:hint="eastAsia"/>
          <w:b/>
          <w:bCs/>
          <w:color w:val="222222"/>
          <w:kern w:val="36"/>
          <w:sz w:val="28"/>
          <w:szCs w:val="28"/>
        </w:rPr>
        <w:t>最高法民一庭负责人就《规定》有关问题答记者问</w:t>
      </w:r>
    </w:p>
    <w:p w:rsidR="0026002C" w:rsidRPr="0026002C" w:rsidRDefault="0026002C" w:rsidP="0026002C">
      <w:pPr>
        <w:widowControl/>
        <w:shd w:val="clear" w:color="auto" w:fill="FFFFFF"/>
        <w:jc w:val="left"/>
        <w:rPr>
          <w:rFonts w:ascii="宋体" w:eastAsia="宋体" w:hAnsi="宋体" w:cs="宋体"/>
          <w:color w:val="333333"/>
          <w:kern w:val="0"/>
          <w:sz w:val="28"/>
          <w:szCs w:val="28"/>
        </w:rPr>
      </w:pPr>
      <w:r w:rsidRPr="0026002C">
        <w:rPr>
          <w:rFonts w:ascii="宋体" w:eastAsia="宋体" w:hAnsi="宋体" w:cs="宋体" w:hint="eastAsia"/>
          <w:color w:val="777777"/>
          <w:kern w:val="0"/>
          <w:sz w:val="28"/>
          <w:szCs w:val="28"/>
        </w:rPr>
        <w:t>最高人民法院2020-08-20 23:22:47</w:t>
      </w:r>
    </w:p>
    <w:p w:rsidR="0026002C" w:rsidRPr="0026002C" w:rsidRDefault="0026002C" w:rsidP="0026002C">
      <w:pPr>
        <w:widowControl/>
        <w:spacing w:before="240" w:after="240"/>
        <w:jc w:val="left"/>
        <w:rPr>
          <w:rFonts w:ascii="宋体" w:eastAsia="宋体" w:hAnsi="宋体" w:cs="宋体"/>
          <w:kern w:val="0"/>
          <w:sz w:val="28"/>
          <w:szCs w:val="28"/>
        </w:rPr>
      </w:pPr>
      <w:r w:rsidRPr="0026002C">
        <w:rPr>
          <w:rFonts w:ascii="宋体" w:eastAsia="宋体" w:hAnsi="宋体" w:cs="宋体"/>
          <w:kern w:val="0"/>
          <w:sz w:val="28"/>
          <w:szCs w:val="28"/>
        </w:rPr>
        <w:t>8月20日，最高人民法院举行新闻发布会，发布新修订的《最高人民法院关于审理民间借贷案件适用法律若干问题的规定》，民一庭负责人就有关问题回答了记者提问。</w:t>
      </w:r>
    </w:p>
    <w:p w:rsidR="0026002C" w:rsidRPr="0026002C" w:rsidRDefault="0026002C" w:rsidP="0026002C">
      <w:pPr>
        <w:widowControl/>
        <w:jc w:val="left"/>
        <w:rPr>
          <w:rFonts w:ascii="宋体" w:eastAsia="宋体" w:hAnsi="宋体" w:cs="宋体"/>
          <w:color w:val="222222"/>
          <w:kern w:val="0"/>
          <w:sz w:val="28"/>
          <w:szCs w:val="28"/>
        </w:rPr>
      </w:pPr>
      <w:r w:rsidRPr="0026002C">
        <w:rPr>
          <w:rFonts w:ascii="宋体" w:eastAsia="宋体" w:hAnsi="宋体" w:cs="宋体"/>
          <w:noProof/>
          <w:color w:val="222222"/>
          <w:kern w:val="0"/>
          <w:sz w:val="28"/>
          <w:szCs w:val="28"/>
        </w:rPr>
        <w:lastRenderedPageBreak/>
        <w:drawing>
          <wp:inline distT="0" distB="0" distL="0" distR="0" wp14:anchorId="69E99525" wp14:editId="50AFA933">
            <wp:extent cx="4047910" cy="2268000"/>
            <wp:effectExtent l="0" t="0" r="0" b="0"/>
            <wp:docPr id="2" name="图片 2" descr="最高法民一庭负责人就《规定》有关问题答记者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最高法民一庭负责人就《规定》有关问题答记者问"/>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448" cy="2294635"/>
                    </a:xfrm>
                    <a:prstGeom prst="rect">
                      <a:avLst/>
                    </a:prstGeom>
                    <a:noFill/>
                    <a:ln>
                      <a:noFill/>
                    </a:ln>
                  </pic:spPr>
                </pic:pic>
              </a:graphicData>
            </a:graphic>
          </wp:inline>
        </w:drawing>
      </w:r>
    </w:p>
    <w:p w:rsidR="0026002C" w:rsidRPr="0026002C" w:rsidRDefault="0026002C" w:rsidP="0026002C">
      <w:pPr>
        <w:widowControl/>
        <w:jc w:val="left"/>
        <w:rPr>
          <w:rFonts w:ascii="宋体" w:eastAsia="宋体" w:hAnsi="宋体" w:cs="宋体"/>
          <w:kern w:val="0"/>
          <w:sz w:val="28"/>
          <w:szCs w:val="28"/>
        </w:rPr>
      </w:pPr>
      <w:r w:rsidRPr="0026002C">
        <w:rPr>
          <w:rFonts w:ascii="宋体" w:eastAsia="宋体" w:hAnsi="宋体" w:cs="宋体"/>
          <w:b/>
          <w:bCs/>
          <w:kern w:val="0"/>
          <w:sz w:val="28"/>
          <w:szCs w:val="28"/>
          <w:bdr w:val="none" w:sz="0" w:space="0" w:color="auto" w:frame="1"/>
        </w:rPr>
        <w:t>问1：为什么将民间借贷利率司法保护上限确定为一年期贷款市场报价利率的“4倍”？</w:t>
      </w:r>
    </w:p>
    <w:p w:rsidR="0026002C" w:rsidRPr="0026002C" w:rsidRDefault="0026002C" w:rsidP="0026002C">
      <w:pPr>
        <w:widowControl/>
        <w:spacing w:before="240" w:after="240"/>
        <w:jc w:val="left"/>
        <w:rPr>
          <w:rFonts w:ascii="宋体" w:eastAsia="宋体" w:hAnsi="宋体" w:cs="宋体"/>
          <w:kern w:val="0"/>
          <w:sz w:val="28"/>
          <w:szCs w:val="28"/>
        </w:rPr>
      </w:pPr>
      <w:r w:rsidRPr="0026002C">
        <w:rPr>
          <w:rFonts w:ascii="宋体" w:eastAsia="宋体" w:hAnsi="宋体" w:cs="宋体"/>
          <w:kern w:val="0"/>
          <w:sz w:val="28"/>
          <w:szCs w:val="28"/>
        </w:rPr>
        <w:t>答：这次修订民间借贷司法解释，我们将民间借贷利率司法保护上限由年利率24%-36%调整为中国人民银行授权全国银行间同业拆借中心每月发布的“一年期贷款市场报价利率的4倍”。这样规定，主要考虑了我国社会经济发展状况、民间借贷利率司法保护的历史沿革、市场需求以及域外国家和地区的有关规定等因素。现在能够查到的最早的关于民间借贷的规定，是1952年11月27日我院答复最高人民法院东北分院《关于城市借贷超过几分为高利贷的解答》，其主要内容为“关于城市借贷利率以多少为宜的问题，根据目前国家银行放款利率以及市场物价情况私人借贷利率一般不应超过三分。”1991年8月13日施行的《最高人民法院关于人民法院审理借贷案件的若干意见》第6条规定，民间借贷利率不得超过银行同类贷款利率的4倍。长期以来，这一规定为社会各界所知悉、所接受，各级人民法院依据这一司法解释审理了大量民间借贷案件。2015年9月1日施行的《关于审理民间借贷案件适用法律若干问题的规定》也是将银行同类贷款利率的4倍作为考虑利率保护上限的一个重要因素。从行业主管部门来看，2001年4月26日《中国人民银行办公厅关于以高利贷形式向社</w:t>
      </w:r>
      <w:r w:rsidRPr="0026002C">
        <w:rPr>
          <w:rFonts w:ascii="宋体" w:eastAsia="宋体" w:hAnsi="宋体" w:cs="宋体"/>
          <w:kern w:val="0"/>
          <w:sz w:val="28"/>
          <w:szCs w:val="28"/>
        </w:rPr>
        <w:lastRenderedPageBreak/>
        <w:t>会不特定对象出借资金行为法律性质问题的批复》再次明确高利贷的认定标准为银行同类贷款利率的4倍。刚才贺小荣专委在新闻通稿中也提到，2002年1月31日，中国人民银行下发并于同日施行的《关于取缔地下钱庄及打击高利贷行为的通知》第2条规定，民间个人借贷利率不得超过中国人民银行公布的金融机构同期同档次贷款利率的4倍。由此可以看出，我院司法解释和中国人民银行有关批复规定的利率保护上限基本是一致的，即银行同类贷款利率的4倍。因此，确定一年期贷款市场报价利率的4倍作为民间借贷利率司法保护上限有助于人民群众对此标准的理解和接受，也体现了司法政策的延续性，同时，这一标准也接近多数国家和地区的有关规定。</w:t>
      </w:r>
    </w:p>
    <w:p w:rsidR="0026002C" w:rsidRPr="0026002C" w:rsidRDefault="0026002C" w:rsidP="0026002C">
      <w:pPr>
        <w:widowControl/>
        <w:jc w:val="left"/>
        <w:rPr>
          <w:rFonts w:ascii="宋体" w:eastAsia="宋体" w:hAnsi="宋体" w:cs="宋体"/>
          <w:kern w:val="0"/>
          <w:sz w:val="28"/>
          <w:szCs w:val="28"/>
        </w:rPr>
      </w:pPr>
      <w:r w:rsidRPr="0026002C">
        <w:rPr>
          <w:rFonts w:ascii="宋体" w:eastAsia="宋体" w:hAnsi="宋体" w:cs="宋体"/>
          <w:b/>
          <w:bCs/>
          <w:kern w:val="0"/>
          <w:sz w:val="28"/>
          <w:szCs w:val="28"/>
          <w:bdr w:val="none" w:sz="0" w:space="0" w:color="auto" w:frame="1"/>
        </w:rPr>
        <w:t>问2：此次司法解释的修订对认可企业间借贷行为的态度较前是否有变化？</w:t>
      </w:r>
    </w:p>
    <w:p w:rsidR="0026002C" w:rsidRPr="0026002C" w:rsidRDefault="0026002C" w:rsidP="0026002C">
      <w:pPr>
        <w:widowControl/>
        <w:spacing w:before="240" w:after="240"/>
        <w:jc w:val="left"/>
        <w:rPr>
          <w:rFonts w:ascii="宋体" w:eastAsia="宋体" w:hAnsi="宋体" w:cs="宋体"/>
          <w:kern w:val="0"/>
          <w:sz w:val="28"/>
          <w:szCs w:val="28"/>
        </w:rPr>
      </w:pPr>
      <w:r w:rsidRPr="0026002C">
        <w:rPr>
          <w:rFonts w:ascii="宋体" w:eastAsia="宋体" w:hAnsi="宋体" w:cs="宋体"/>
          <w:kern w:val="0"/>
          <w:sz w:val="28"/>
          <w:szCs w:val="28"/>
        </w:rPr>
        <w:t>答：民间借贷主体近几十年来发生了很大变化。在计划经济时代，民间借贷的主体几乎都是自然人。改革开放之后，借贷的主体逐渐从自然人之间、自然人与企业之间发展到企业与企业之间。2015年《规定》施行前，我国长期实行企业间借贷无效的司法政策，这对整顿金融市场秩序、防范和化解金融风险产生过积极的影响。但在我国市场经济不断深入发展完善的背景下，这种“一刀切”的做法，明显不适应改革开放以来我国经济发展的新形势。2015年制定的民间借贷司法解释，有限制条件地承认了企业之间借贷合同的效力，从价值取向和处理思路上来讲是积极的，效果也是好的。为了更好地促进中小微企业的发展，有效缓解“融资难”“融资贵”难题，对于利益相关企业之间基于友好合作、战略发展需要等目的，以自有闲置资金开展的非经常性、非经营性借贷，因有利于企业自身经营和市场经济发展，亦不损害社会公共利益、扰乱金</w:t>
      </w:r>
      <w:r w:rsidRPr="0026002C">
        <w:rPr>
          <w:rFonts w:ascii="宋体" w:eastAsia="宋体" w:hAnsi="宋体" w:cs="宋体"/>
          <w:kern w:val="0"/>
          <w:sz w:val="28"/>
          <w:szCs w:val="28"/>
        </w:rPr>
        <w:lastRenderedPageBreak/>
        <w:t>融秩序，还是应当确认其民事法律行为的效力。但企业之间拆借资金的条件和范围过宽，又可能影响金融市场及金融体系的稳定和安全。此次修订司法解释，总的指导思想是缩小民间借贷范围，突出民间借贷以自有资金和禁止吸收他人资金转手放款这一特点，针对审判实践中有关企业套取银行贷款又转贷、企业向单位员工集资后又转贷等情况，第十四条将此作为“民间借贷合同无效”的一种情形，这样规定便于促进民间借贷平稳健康发展。</w:t>
      </w:r>
    </w:p>
    <w:p w:rsidR="0026002C" w:rsidRPr="0026002C" w:rsidRDefault="0026002C" w:rsidP="0026002C">
      <w:pPr>
        <w:widowControl/>
        <w:jc w:val="left"/>
        <w:rPr>
          <w:rFonts w:ascii="宋体" w:eastAsia="宋体" w:hAnsi="宋体" w:cs="宋体"/>
          <w:kern w:val="0"/>
          <w:sz w:val="28"/>
          <w:szCs w:val="28"/>
        </w:rPr>
      </w:pPr>
      <w:r w:rsidRPr="0026002C">
        <w:rPr>
          <w:rFonts w:ascii="宋体" w:eastAsia="宋体" w:hAnsi="宋体" w:cs="宋体"/>
          <w:b/>
          <w:bCs/>
          <w:kern w:val="0"/>
          <w:sz w:val="28"/>
          <w:szCs w:val="28"/>
          <w:bdr w:val="none" w:sz="0" w:space="0" w:color="auto" w:frame="1"/>
        </w:rPr>
        <w:t>问3：此次修订增加了对“职业放贷人”的规定，能作一下具体介绍吗？</w:t>
      </w:r>
    </w:p>
    <w:p w:rsidR="0026002C" w:rsidRPr="0026002C" w:rsidRDefault="0026002C" w:rsidP="0026002C">
      <w:pPr>
        <w:widowControl/>
        <w:spacing w:before="240" w:after="240"/>
        <w:jc w:val="left"/>
        <w:rPr>
          <w:rFonts w:ascii="宋体" w:eastAsia="宋体" w:hAnsi="宋体" w:cs="宋体"/>
          <w:kern w:val="0"/>
          <w:sz w:val="28"/>
          <w:szCs w:val="28"/>
        </w:rPr>
      </w:pPr>
      <w:r w:rsidRPr="0026002C">
        <w:rPr>
          <w:rFonts w:ascii="宋体" w:eastAsia="宋体" w:hAnsi="宋体" w:cs="宋体"/>
          <w:kern w:val="0"/>
          <w:sz w:val="28"/>
          <w:szCs w:val="28"/>
        </w:rPr>
        <w:t>答：近几年，随着民间借贷的迅速发展，放贷人的职业化倾向越来越明显，出现了所谓“职业放贷人”，就是出借人的出借行为具有反复性、经常性，借款目的也具有营业性。2018年4月银保监会、公安部、国家市场监督管理总局、中国人民银行联合下发了《关于规范民间借贷行为维护经济金融秩序有关事项的通知》，明确“未经有权机关依法批准，任何单位和个人不得设立从事或者主要从事发放贷款业务的机构或以发放贷款为日常经营活动。”职业放贷人的行为，实际上变相违反了该规定，属于从事非法金融业务活动，如果数量、金额过大，可能会对正常金融秩序产生危害。2019年7月，最高人民法院与最高人民检察院、公安部、司法部联合制定了《关于办理非法放贷刑事案件若干问题的意见》，其中规定，“一、违反国家规定，未经监管部门批准，或者超越经营范围，以营利为目的，经常性地向社会不特定对象发放贷款，扰乱金融市场秩序，情节严重的，依照刑法第二百二十五条第（四）项的规定，以非法经营罪定罪处罚。前款规定中的‘经常性地向社会不特定对象发放贷款’，是指2年内向不特定多人（包括单位和个人）以借款或其他名义出借资金10次以上。</w:t>
      </w:r>
      <w:r w:rsidRPr="0026002C">
        <w:rPr>
          <w:rFonts w:ascii="宋体" w:eastAsia="宋体" w:hAnsi="宋体" w:cs="宋体"/>
          <w:kern w:val="0"/>
          <w:sz w:val="28"/>
          <w:szCs w:val="28"/>
        </w:rPr>
        <w:lastRenderedPageBreak/>
        <w:t>贷款到期后延长还款期限的，发放贷款次数按照1次计算”。该规定是有关“职业放贷人”犯罪行为的认定标准。2019年11月，《全国法院民商事审判工作会议纪要》第53条规定：“未依法取得放贷资格的以民间借贷为业的法人，以及以民间借贷为业的非法人组织或者自然人从事的民间借贷行为，应当依法认定无效。同一出借人在一定期间内多次反复从事有偿民间借贷行为的，一般可以认定为是职业放贷人。民间借贷比较活跃的地方的高级人民法院或者经其授权的中级人民法院，可以根据本地区的实际情况制定具体的认定标准”。依据上述司法解释和司法政策性文件的规定，这次修订司法解释时，在第十四条“认定民间借贷合同无效”条款中，增加了第（三）项“未依法取得放贷资格的出借人，以营利为目的向社会不特定对象提供借款的”，就是对职业放贷行为作出的限定。</w:t>
      </w:r>
    </w:p>
    <w:p w:rsidR="0026002C" w:rsidRPr="0026002C" w:rsidRDefault="0026002C" w:rsidP="0026002C">
      <w:pPr>
        <w:widowControl/>
        <w:jc w:val="left"/>
        <w:rPr>
          <w:rFonts w:ascii="宋体" w:eastAsia="宋体" w:hAnsi="宋体" w:cs="宋体"/>
          <w:kern w:val="0"/>
          <w:sz w:val="28"/>
          <w:szCs w:val="28"/>
        </w:rPr>
      </w:pPr>
      <w:r w:rsidRPr="0026002C">
        <w:rPr>
          <w:rFonts w:ascii="宋体" w:eastAsia="宋体" w:hAnsi="宋体" w:cs="宋体"/>
          <w:b/>
          <w:bCs/>
          <w:kern w:val="0"/>
          <w:sz w:val="28"/>
          <w:szCs w:val="28"/>
          <w:bdr w:val="none" w:sz="0" w:space="0" w:color="auto" w:frame="1"/>
        </w:rPr>
        <w:t>问4：这次修订民间借贷司法解释，是如何处理与民法典的关系的？</w:t>
      </w:r>
    </w:p>
    <w:p w:rsidR="0026002C" w:rsidRPr="0026002C" w:rsidRDefault="0026002C" w:rsidP="0026002C">
      <w:pPr>
        <w:widowControl/>
        <w:spacing w:before="240" w:after="240"/>
        <w:jc w:val="left"/>
        <w:rPr>
          <w:rFonts w:ascii="宋体" w:eastAsia="宋体" w:hAnsi="宋体" w:cs="宋体"/>
          <w:kern w:val="0"/>
          <w:sz w:val="28"/>
          <w:szCs w:val="28"/>
        </w:rPr>
      </w:pPr>
      <w:r w:rsidRPr="0026002C">
        <w:rPr>
          <w:rFonts w:ascii="宋体" w:eastAsia="宋体" w:hAnsi="宋体" w:cs="宋体"/>
          <w:kern w:val="0"/>
          <w:sz w:val="28"/>
          <w:szCs w:val="28"/>
        </w:rPr>
        <w:t>答：大家知道，《中华人民共和国民法典》将于2021年1月1日施行。民法典颁布后，我院已经开始全面清理与民法典有关的司法解释。这次修订民间借贷司法解释，必然涉及与民法典的关系。考虑到民法典还有一段时间才能实施，与民法典有关的法律还属于现行有效的法律，我们在处理民间借贷司法解释与民法典的关系问题时，主要采取了以下方式：一是在内容上，民法典有明确规定或者民间借贷司法解释与民法典的规定不一致的，修改司法解释的规定，确保司法解释与民法典的规定保持一致。比如，民法典第六百八十条第二款规定，“借款合同对支付利息没有约定的，视为没有利息”。我们就将司法解释第25条第1款修改为“借贷双方没有约定利息，出借人主张支付利息的人民法</w:t>
      </w:r>
      <w:r w:rsidRPr="0026002C">
        <w:rPr>
          <w:rFonts w:ascii="宋体" w:eastAsia="宋体" w:hAnsi="宋体" w:cs="宋体"/>
          <w:kern w:val="0"/>
          <w:sz w:val="28"/>
          <w:szCs w:val="28"/>
        </w:rPr>
        <w:lastRenderedPageBreak/>
        <w:t>院不予支持”。二是在文字表述上，与民法典的表述完全一致，把与民法典不一致或者不规范的表述全部修改。比如，将原司法解释中使用的“其他组织”改为“非法人组织”，将“有关条款”改为“相关条款”，将“根据”改为“依据”等等。三是对于与民法典的内容没有实质冲突的内容，予以保留，等将来民法典实施后再进行修订。比如，在司法解释的引言部分，我们仍然保留了原来的内容，即“为正确审理民间借贷纠纷案件，根据《中华人民共和国民法通则》、《中华人民共和国物权法》、《中华人民共和国担保法》、《中华人民共和国合同法》、《中华人民共和国民事诉讼法》、《中华人民共和国刑事诉讼法》等相关法律之规定，结合审判实践，制定本规定”。因为，在民法典实施之前，民法通则、合同法、担保法等法律都还是现行有效的法律，仍然应当作为制定司法解释的依据。只有等待民法典实施后，有关法律才失去效力，到时候，我们将再进行统一的修改。</w:t>
      </w:r>
    </w:p>
    <w:p w:rsidR="0026002C" w:rsidRPr="0026002C" w:rsidRDefault="0026002C" w:rsidP="0026002C">
      <w:pPr>
        <w:widowControl/>
        <w:spacing w:before="240" w:after="240"/>
        <w:jc w:val="left"/>
        <w:rPr>
          <w:rFonts w:ascii="宋体" w:eastAsia="宋体" w:hAnsi="宋体" w:cs="宋体"/>
          <w:kern w:val="0"/>
          <w:sz w:val="28"/>
          <w:szCs w:val="28"/>
        </w:rPr>
      </w:pPr>
      <w:r w:rsidRPr="0026002C">
        <w:rPr>
          <w:rFonts w:ascii="宋体" w:eastAsia="宋体" w:hAnsi="宋体" w:cs="宋体"/>
          <w:kern w:val="0"/>
          <w:sz w:val="28"/>
          <w:szCs w:val="28"/>
        </w:rPr>
        <w:t>来源：人民法院新闻传媒总社</w:t>
      </w:r>
    </w:p>
    <w:p w:rsidR="0026002C" w:rsidRPr="0026002C" w:rsidRDefault="0026002C" w:rsidP="0026002C">
      <w:pPr>
        <w:widowControl/>
        <w:spacing w:before="240" w:after="240"/>
        <w:jc w:val="left"/>
        <w:rPr>
          <w:rFonts w:ascii="宋体" w:eastAsia="宋体" w:hAnsi="宋体" w:cs="宋体"/>
          <w:kern w:val="0"/>
          <w:sz w:val="24"/>
          <w:szCs w:val="24"/>
        </w:rPr>
      </w:pPr>
      <w:r w:rsidRPr="0026002C">
        <w:rPr>
          <w:rFonts w:ascii="宋体" w:eastAsia="宋体" w:hAnsi="宋体" w:cs="宋体"/>
          <w:kern w:val="0"/>
          <w:sz w:val="28"/>
          <w:szCs w:val="28"/>
        </w:rPr>
        <w:t>记者：孙航</w:t>
      </w:r>
    </w:p>
    <w:p w:rsidR="0026002C" w:rsidRDefault="0026002C"/>
    <w:p w:rsidR="002A7F13" w:rsidRDefault="002A7F13" w:rsidP="002A7F13">
      <w:pPr>
        <w:pStyle w:val="ql-align-center"/>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林某某挪用资金案</w:t>
      </w:r>
    </w:p>
    <w:p w:rsidR="002A7F13" w:rsidRDefault="002A7F13" w:rsidP="002A7F13">
      <w:pPr>
        <w:pStyle w:val="ql-align-center"/>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——对实际控制人违规拆借关联公司资金</w:t>
      </w:r>
    </w:p>
    <w:p w:rsidR="002A7F13" w:rsidRDefault="002A7F13" w:rsidP="002A7F13">
      <w:pPr>
        <w:pStyle w:val="ql-align-center"/>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个人谋利不清的依法不起诉</w:t>
      </w:r>
    </w:p>
    <w:p w:rsidR="002A7F13" w:rsidRDefault="002A7F13" w:rsidP="002A7F13">
      <w:pPr>
        <w:pStyle w:val="ql-align-justify"/>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【基本案情】</w:t>
      </w:r>
    </w:p>
    <w:p w:rsidR="002A7F13" w:rsidRDefault="002A7F13" w:rsidP="002A7F13">
      <w:pPr>
        <w:pStyle w:val="ql-align-justify"/>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lastRenderedPageBreak/>
        <w:t>林某某系A置业公司、B投资公司、C房地产公司法定代表人、执行董事或董事长。2007年1月，南通某置业公司、B投资公司共同出资注册设立A置业公司，开发某国际花园小区。经多次股权变更，B投资公司持股59.5%，南通某置业公司持股40%，柯某某持股0.5%。2013年7月，B投资公司控股的C公司由于资金短缺，委托关联公司A置业公司作为借款人向银行贷款4415万元，并以A置业公司在建的某国际花园小区30号楼作为抵押，贷得款项均由C公司支配使用。期间，C公司按时支付利息，但贷款到期后未能如期还款，导致抵押物被查封。2015年12月，C公司偿还渤海银行贷款本息7200余万元。2016年1月，某国际花园小区30号楼被解除查封。</w:t>
      </w:r>
    </w:p>
    <w:p w:rsidR="002A7F13" w:rsidRDefault="002A7F13" w:rsidP="002A7F13">
      <w:pPr>
        <w:pStyle w:val="ql-align-justify"/>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自A置业公司成立之日起至案发，南通某置业公司实际控制人欧阳某某与B投资公司实际控制人林某某一直存在经营纠纷。</w:t>
      </w:r>
    </w:p>
    <w:p w:rsidR="002A7F13" w:rsidRDefault="002A7F13" w:rsidP="002A7F13">
      <w:pPr>
        <w:pStyle w:val="ql-align-justify"/>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【检察履职情况】</w:t>
      </w:r>
    </w:p>
    <w:p w:rsidR="002A7F13" w:rsidRDefault="002A7F13" w:rsidP="002A7F13">
      <w:pPr>
        <w:pStyle w:val="ql-align-justify"/>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2017年10月，欧阳某某控告林某某涉嫌挪用A置业公司巨额资金，侦查机关以林某某涉嫌挪用资金罪立案侦查，并于2018年2月向响水县检察院移送审查起诉。</w:t>
      </w:r>
    </w:p>
    <w:p w:rsidR="002A7F13" w:rsidRDefault="002A7F13" w:rsidP="002A7F13">
      <w:pPr>
        <w:pStyle w:val="ql-align-justify"/>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侦查机关认定，林某某违反《公司法》及A置业公司章程规定，未提前通知A置业公司股东即南通某置业公司参加股东会议，私自决定将该公司在建的某国际花园小区30号楼抵押，向银行贷款4415万元给C公司使用，谋取个人利益，数额特别巨大，涉嫌挪用资金罪。</w:t>
      </w:r>
    </w:p>
    <w:p w:rsidR="002A7F13" w:rsidRDefault="002A7F13" w:rsidP="002A7F13">
      <w:pPr>
        <w:pStyle w:val="ql-align-justify"/>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检察机关审查认为，该案为典型的刑民交叉案件，厘清民事法律关系是判断行为人是否构成犯罪的前提和基础。在民事方面，A置业公司接受C公司委托向银行提供抵押物贷款供C公司使用，本质就是关联公司之间资金拆借行为。在刑事方面，若要认定林某某构成挪用资金罪，其必须具有“个人决定以单位名义将本单位资金供其他单位使用，谋取个人利益”的行</w:t>
      </w:r>
      <w:r>
        <w:rPr>
          <w:rFonts w:ascii="微软雅黑" w:eastAsia="微软雅黑" w:hAnsi="微软雅黑" w:hint="eastAsia"/>
          <w:color w:val="222222"/>
        </w:rPr>
        <w:lastRenderedPageBreak/>
        <w:t>为。因此，拆借A置业公司资金给关联公司使用并造成股东利益受损的行为是林某某个人擅自决定还是单位违规决策、林某某有无直接获得个人利益等问题，直接影响林某某是否构成犯罪。为此，检察机关引导公安机关进行补充侦查：一是A置业公司有无召开股东会研究决定拆借资金，决策程序是否符合《公司法》及公司章程规定；二是林某某个人资产与其控制的公司资产有无混同，林某某有无因A置业公司为C公司拆借资金而实际获得直接经济利益等。但本案经二次退回公安机关补充侦查后，未能查清上述事实。</w:t>
      </w:r>
    </w:p>
    <w:p w:rsidR="002A7F13" w:rsidRDefault="002A7F13" w:rsidP="002A7F13">
      <w:pPr>
        <w:pStyle w:val="ql-align-justify"/>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检察机关审查认为，林某某涉嫌挪用资金罪事实不清、证据不足，主要理由为：</w:t>
      </w:r>
    </w:p>
    <w:p w:rsidR="002A7F13" w:rsidRDefault="002A7F13" w:rsidP="002A7F13">
      <w:pPr>
        <w:pStyle w:val="ql-align-justify"/>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1.拆借资金是个人意志还是单位集体意志事实不清。对于重大事项的决策应依据《公司法》、公司章程规定作出。A置业公司章程明确规定，公司的经营方针和投资计划应召开股东会决议；召开股东会会议，应当通知全体股东参与。而本案中，拆借资金事项是否经股东大会研究决定，并未查清。股东柯某某虽然知晓拆借资金一事，但并不了解具体金额；另一股东南通某置业公司有无被通知参与该事项决策双方各执一词，且无客观证据佐证。在案证据无法排除拆借资金的决定体现单位意志的可能。</w:t>
      </w:r>
    </w:p>
    <w:p w:rsidR="002A7F13" w:rsidRDefault="002A7F13" w:rsidP="002A7F13">
      <w:pPr>
        <w:pStyle w:val="ql-align-justify"/>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2.林某某是否因拆借资金而获取个人利益事实不清。A置业公司方面，按照约定C公司需向其支付拆借资金的好处费，但因为A置业公司提供房产作为担保，需要承担因为贷款归还不及时导致房产被查封甚至被执行的风险，作为控股股东B投资公司和南通某置业公司同样也承担风险。C公司方面，因林某某拆借A置业公司资金帮助企业运转，有利于C公司的经营，也客观上有利于作为控股股东的B投资公司及其控股股东林某某。但这不是刑法意义上的个人利益。从在案证据看，缺少林某某与C公司、A置业公司之间的交易记录等客观证据，林某某是否从4415万元贷款资金流转中获得利益，事实不清。</w:t>
      </w:r>
    </w:p>
    <w:p w:rsidR="002A7F13" w:rsidRDefault="002A7F13" w:rsidP="002A7F13">
      <w:pPr>
        <w:pStyle w:val="ql-align-justify"/>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lastRenderedPageBreak/>
        <w:t>响水县检察院最终认定，林某某是滥用执行董事权谋取个人利益，还是执行公司集体意志谋取企业利益，事实不清、证据不足，且贷款本息及罚息共计7200余万元已全部偿还，抵押物已被依法解封。2018年8月，响水县检察院以林某某涉嫌挪用资金罪事实不清、证据不足为由，依法作出不起诉决定。同时，该院针对公司经营纠纷，主动联系法院寻找解决A置业公司股东之间纠纷的途径。经多方沟通，现已启动A置业公司破产清算程序，以期通过法治手段依法处理公司资产及债权债务。</w:t>
      </w:r>
    </w:p>
    <w:p w:rsidR="002A7F13" w:rsidRDefault="002A7F13" w:rsidP="002A7F13">
      <w:pPr>
        <w:pStyle w:val="ql-align-justify"/>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【发布意义】</w:t>
      </w:r>
    </w:p>
    <w:p w:rsidR="002A7F13" w:rsidRDefault="002A7F13" w:rsidP="002A7F13">
      <w:pPr>
        <w:pStyle w:val="ql-align-justify"/>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检察机关作为法律监督机关，应当严格把握起诉条件。在案件穷尽法律调查手段后，仍事实不清、证据不足的，应当依法作出不起诉决定。本案经引导侦查、公安机关补充侦查，A置业公司的资金拆借行为是否系林某某个人决定，是否谋取个人利益事实不清。因此，检察机关依法适用存疑不起诉。</w:t>
      </w:r>
    </w:p>
    <w:p w:rsidR="002A7F13" w:rsidRDefault="002A7F13" w:rsidP="002A7F13">
      <w:pPr>
        <w:pStyle w:val="ql-align-justify"/>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违规拆借关联公司资金，对实际控制人入罪应依法全面衡量其所应承担的法律责任。关联公司实际控制人违规拆借资金，滥用控股股东权利等行为均是违反民商法、公司章程的违法违规行为，但是民法上的违法违规不等于刑事犯罪。检察机关从行为人拆借资金的主观目的、决策程序、利益归属等情节，依法审慎认定实际控制人违规拆借关联公司资金行为的民事侵权和刑事犯罪的界限，体现了刑法谦抑原则。</w:t>
      </w:r>
    </w:p>
    <w:p w:rsidR="002A7F13" w:rsidRDefault="002A7F13" w:rsidP="002A7F13">
      <w:pPr>
        <w:pStyle w:val="ql-align-justify"/>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坚持法治手段解决纠纷，平等保护企业家合法权益。本案实质是大小股东之间权益纷争，是市场经济中公司实际控制人、大股东主导下关联公司间拆借资金侵害公司以及小股东权益的侵权纠纷，公司、非关联股东可以通过民事诉讼等途径进行权利救济，维护自己合法权益。检察机关也为该案民事纠纷问题的解决提供了法律帮助，保障了企业合法权益。</w:t>
      </w:r>
    </w:p>
    <w:p w:rsidR="002A7F13" w:rsidRDefault="002A7F13" w:rsidP="002A7F13">
      <w:pPr>
        <w:pStyle w:val="a7"/>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lastRenderedPageBreak/>
        <w:t>来源：12309中国检察网</w:t>
      </w:r>
    </w:p>
    <w:p w:rsidR="002A7F13" w:rsidRPr="0026002C" w:rsidRDefault="002A7F13"/>
    <w:sectPr w:rsidR="002A7F13" w:rsidRPr="0026002C" w:rsidSect="0072309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C38" w:rsidRDefault="00C91C38" w:rsidP="0026002C">
      <w:r>
        <w:separator/>
      </w:r>
    </w:p>
  </w:endnote>
  <w:endnote w:type="continuationSeparator" w:id="0">
    <w:p w:rsidR="00C91C38" w:rsidRDefault="00C91C38" w:rsidP="00260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C38" w:rsidRDefault="00C91C38" w:rsidP="0026002C">
      <w:r>
        <w:separator/>
      </w:r>
    </w:p>
  </w:footnote>
  <w:footnote w:type="continuationSeparator" w:id="0">
    <w:p w:rsidR="00C91C38" w:rsidRDefault="00C91C38" w:rsidP="002600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EED"/>
    <w:rsid w:val="00067D48"/>
    <w:rsid w:val="00142AE0"/>
    <w:rsid w:val="00236250"/>
    <w:rsid w:val="0026002C"/>
    <w:rsid w:val="002A7F13"/>
    <w:rsid w:val="003F56C8"/>
    <w:rsid w:val="00500D8A"/>
    <w:rsid w:val="00541630"/>
    <w:rsid w:val="005F18D8"/>
    <w:rsid w:val="00723095"/>
    <w:rsid w:val="00791E9B"/>
    <w:rsid w:val="007A7EE5"/>
    <w:rsid w:val="008879E1"/>
    <w:rsid w:val="008C7D11"/>
    <w:rsid w:val="008E37CD"/>
    <w:rsid w:val="00996148"/>
    <w:rsid w:val="009C4EED"/>
    <w:rsid w:val="00A419BC"/>
    <w:rsid w:val="00B044F7"/>
    <w:rsid w:val="00BB0DA6"/>
    <w:rsid w:val="00C91C38"/>
    <w:rsid w:val="00DB2B9E"/>
    <w:rsid w:val="00DD5977"/>
    <w:rsid w:val="00E36E44"/>
    <w:rsid w:val="00F37F38"/>
    <w:rsid w:val="00F5752E"/>
    <w:rsid w:val="00FF1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8C27DE-10DC-4BF8-9507-D153B043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00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002C"/>
    <w:rPr>
      <w:sz w:val="18"/>
      <w:szCs w:val="18"/>
    </w:rPr>
  </w:style>
  <w:style w:type="paragraph" w:styleId="a5">
    <w:name w:val="footer"/>
    <w:basedOn w:val="a"/>
    <w:link w:val="a6"/>
    <w:uiPriority w:val="99"/>
    <w:unhideWhenUsed/>
    <w:rsid w:val="0026002C"/>
    <w:pPr>
      <w:tabs>
        <w:tab w:val="center" w:pos="4153"/>
        <w:tab w:val="right" w:pos="8306"/>
      </w:tabs>
      <w:snapToGrid w:val="0"/>
      <w:jc w:val="left"/>
    </w:pPr>
    <w:rPr>
      <w:sz w:val="18"/>
      <w:szCs w:val="18"/>
    </w:rPr>
  </w:style>
  <w:style w:type="character" w:customStyle="1" w:styleId="a6">
    <w:name w:val="页脚 字符"/>
    <w:basedOn w:val="a0"/>
    <w:link w:val="a5"/>
    <w:uiPriority w:val="99"/>
    <w:rsid w:val="0026002C"/>
    <w:rPr>
      <w:sz w:val="18"/>
      <w:szCs w:val="18"/>
    </w:rPr>
  </w:style>
  <w:style w:type="paragraph" w:customStyle="1" w:styleId="ql-align-center">
    <w:name w:val="ql-align-center"/>
    <w:basedOn w:val="a"/>
    <w:rsid w:val="002A7F13"/>
    <w:pPr>
      <w:widowControl/>
      <w:spacing w:before="100" w:beforeAutospacing="1" w:after="100" w:afterAutospacing="1"/>
      <w:jc w:val="left"/>
    </w:pPr>
    <w:rPr>
      <w:rFonts w:ascii="宋体" w:eastAsia="宋体" w:hAnsi="宋体" w:cs="宋体"/>
      <w:kern w:val="0"/>
      <w:sz w:val="24"/>
      <w:szCs w:val="24"/>
    </w:rPr>
  </w:style>
  <w:style w:type="paragraph" w:customStyle="1" w:styleId="ql-align-right">
    <w:name w:val="ql-align-right"/>
    <w:basedOn w:val="a"/>
    <w:rsid w:val="002A7F13"/>
    <w:pPr>
      <w:widowControl/>
      <w:spacing w:before="100" w:beforeAutospacing="1" w:after="100" w:afterAutospacing="1"/>
      <w:jc w:val="left"/>
    </w:pPr>
    <w:rPr>
      <w:rFonts w:ascii="宋体" w:eastAsia="宋体" w:hAnsi="宋体" w:cs="宋体"/>
      <w:kern w:val="0"/>
      <w:sz w:val="24"/>
      <w:szCs w:val="24"/>
    </w:rPr>
  </w:style>
  <w:style w:type="paragraph" w:customStyle="1" w:styleId="ql-align-justify">
    <w:name w:val="ql-align-justify"/>
    <w:basedOn w:val="a"/>
    <w:rsid w:val="002A7F13"/>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A7F1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96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5604">
      <w:bodyDiv w:val="1"/>
      <w:marLeft w:val="0"/>
      <w:marRight w:val="0"/>
      <w:marTop w:val="0"/>
      <w:marBottom w:val="0"/>
      <w:divBdr>
        <w:top w:val="none" w:sz="0" w:space="0" w:color="auto"/>
        <w:left w:val="none" w:sz="0" w:space="0" w:color="auto"/>
        <w:bottom w:val="none" w:sz="0" w:space="0" w:color="auto"/>
        <w:right w:val="none" w:sz="0" w:space="0" w:color="auto"/>
      </w:divBdr>
    </w:div>
    <w:div w:id="287005720">
      <w:bodyDiv w:val="1"/>
      <w:marLeft w:val="0"/>
      <w:marRight w:val="0"/>
      <w:marTop w:val="0"/>
      <w:marBottom w:val="0"/>
      <w:divBdr>
        <w:top w:val="none" w:sz="0" w:space="0" w:color="auto"/>
        <w:left w:val="none" w:sz="0" w:space="0" w:color="auto"/>
        <w:bottom w:val="none" w:sz="0" w:space="0" w:color="auto"/>
        <w:right w:val="none" w:sz="0" w:space="0" w:color="auto"/>
      </w:divBdr>
      <w:divsChild>
        <w:div w:id="2036153525">
          <w:marLeft w:val="0"/>
          <w:marRight w:val="0"/>
          <w:marTop w:val="0"/>
          <w:marBottom w:val="0"/>
          <w:divBdr>
            <w:top w:val="none" w:sz="0" w:space="0" w:color="auto"/>
            <w:left w:val="none" w:sz="0" w:space="0" w:color="auto"/>
            <w:bottom w:val="none" w:sz="0" w:space="0" w:color="auto"/>
            <w:right w:val="none" w:sz="0" w:space="0" w:color="auto"/>
          </w:divBdr>
        </w:div>
      </w:divsChild>
    </w:div>
    <w:div w:id="297301731">
      <w:bodyDiv w:val="1"/>
      <w:marLeft w:val="0"/>
      <w:marRight w:val="0"/>
      <w:marTop w:val="0"/>
      <w:marBottom w:val="0"/>
      <w:divBdr>
        <w:top w:val="none" w:sz="0" w:space="0" w:color="auto"/>
        <w:left w:val="none" w:sz="0" w:space="0" w:color="auto"/>
        <w:bottom w:val="none" w:sz="0" w:space="0" w:color="auto"/>
        <w:right w:val="none" w:sz="0" w:space="0" w:color="auto"/>
      </w:divBdr>
    </w:div>
    <w:div w:id="462773328">
      <w:bodyDiv w:val="1"/>
      <w:marLeft w:val="0"/>
      <w:marRight w:val="0"/>
      <w:marTop w:val="0"/>
      <w:marBottom w:val="0"/>
      <w:divBdr>
        <w:top w:val="none" w:sz="0" w:space="0" w:color="auto"/>
        <w:left w:val="none" w:sz="0" w:space="0" w:color="auto"/>
        <w:bottom w:val="none" w:sz="0" w:space="0" w:color="auto"/>
        <w:right w:val="none" w:sz="0" w:space="0" w:color="auto"/>
      </w:divBdr>
    </w:div>
    <w:div w:id="705525561">
      <w:bodyDiv w:val="1"/>
      <w:marLeft w:val="0"/>
      <w:marRight w:val="0"/>
      <w:marTop w:val="0"/>
      <w:marBottom w:val="0"/>
      <w:divBdr>
        <w:top w:val="none" w:sz="0" w:space="0" w:color="auto"/>
        <w:left w:val="none" w:sz="0" w:space="0" w:color="auto"/>
        <w:bottom w:val="none" w:sz="0" w:space="0" w:color="auto"/>
        <w:right w:val="none" w:sz="0" w:space="0" w:color="auto"/>
      </w:divBdr>
    </w:div>
    <w:div w:id="800339518">
      <w:bodyDiv w:val="1"/>
      <w:marLeft w:val="0"/>
      <w:marRight w:val="0"/>
      <w:marTop w:val="0"/>
      <w:marBottom w:val="0"/>
      <w:divBdr>
        <w:top w:val="none" w:sz="0" w:space="0" w:color="auto"/>
        <w:left w:val="none" w:sz="0" w:space="0" w:color="auto"/>
        <w:bottom w:val="none" w:sz="0" w:space="0" w:color="auto"/>
        <w:right w:val="none" w:sz="0" w:space="0" w:color="auto"/>
      </w:divBdr>
    </w:div>
    <w:div w:id="1000934520">
      <w:bodyDiv w:val="1"/>
      <w:marLeft w:val="0"/>
      <w:marRight w:val="0"/>
      <w:marTop w:val="0"/>
      <w:marBottom w:val="0"/>
      <w:divBdr>
        <w:top w:val="none" w:sz="0" w:space="0" w:color="auto"/>
        <w:left w:val="none" w:sz="0" w:space="0" w:color="auto"/>
        <w:bottom w:val="none" w:sz="0" w:space="0" w:color="auto"/>
        <w:right w:val="none" w:sz="0" w:space="0" w:color="auto"/>
      </w:divBdr>
    </w:div>
    <w:div w:id="1539274563">
      <w:bodyDiv w:val="1"/>
      <w:marLeft w:val="0"/>
      <w:marRight w:val="0"/>
      <w:marTop w:val="0"/>
      <w:marBottom w:val="0"/>
      <w:divBdr>
        <w:top w:val="none" w:sz="0" w:space="0" w:color="auto"/>
        <w:left w:val="none" w:sz="0" w:space="0" w:color="auto"/>
        <w:bottom w:val="none" w:sz="0" w:space="0" w:color="auto"/>
        <w:right w:val="none" w:sz="0" w:space="0" w:color="auto"/>
      </w:divBdr>
      <w:divsChild>
        <w:div w:id="1296136493">
          <w:marLeft w:val="0"/>
          <w:marRight w:val="0"/>
          <w:marTop w:val="0"/>
          <w:marBottom w:val="0"/>
          <w:divBdr>
            <w:top w:val="none" w:sz="0" w:space="0" w:color="auto"/>
            <w:left w:val="none" w:sz="0" w:space="0" w:color="auto"/>
            <w:bottom w:val="none" w:sz="0" w:space="0" w:color="auto"/>
            <w:right w:val="none" w:sz="0" w:space="0" w:color="auto"/>
          </w:divBdr>
        </w:div>
      </w:divsChild>
    </w:div>
    <w:div w:id="1809321047">
      <w:bodyDiv w:val="1"/>
      <w:marLeft w:val="0"/>
      <w:marRight w:val="0"/>
      <w:marTop w:val="0"/>
      <w:marBottom w:val="0"/>
      <w:divBdr>
        <w:top w:val="none" w:sz="0" w:space="0" w:color="auto"/>
        <w:left w:val="none" w:sz="0" w:space="0" w:color="auto"/>
        <w:bottom w:val="none" w:sz="0" w:space="0" w:color="auto"/>
        <w:right w:val="none" w:sz="0" w:space="0" w:color="auto"/>
      </w:divBdr>
      <w:divsChild>
        <w:div w:id="1573540396">
          <w:marLeft w:val="0"/>
          <w:marRight w:val="0"/>
          <w:marTop w:val="180"/>
          <w:marBottom w:val="300"/>
          <w:divBdr>
            <w:top w:val="none" w:sz="0" w:space="0" w:color="auto"/>
            <w:left w:val="none" w:sz="0" w:space="0" w:color="auto"/>
            <w:bottom w:val="none" w:sz="0" w:space="0" w:color="auto"/>
            <w:right w:val="none" w:sz="0" w:space="0" w:color="auto"/>
          </w:divBdr>
        </w:div>
        <w:div w:id="285088356">
          <w:marLeft w:val="0"/>
          <w:marRight w:val="0"/>
          <w:marTop w:val="270"/>
          <w:marBottom w:val="270"/>
          <w:divBdr>
            <w:top w:val="none" w:sz="0" w:space="0" w:color="auto"/>
            <w:left w:val="none" w:sz="0" w:space="0" w:color="auto"/>
            <w:bottom w:val="none" w:sz="0" w:space="0" w:color="auto"/>
            <w:right w:val="none" w:sz="0" w:space="0" w:color="auto"/>
          </w:divBdr>
        </w:div>
      </w:divsChild>
    </w:div>
    <w:div w:id="1978297832">
      <w:bodyDiv w:val="1"/>
      <w:marLeft w:val="0"/>
      <w:marRight w:val="0"/>
      <w:marTop w:val="0"/>
      <w:marBottom w:val="0"/>
      <w:divBdr>
        <w:top w:val="none" w:sz="0" w:space="0" w:color="auto"/>
        <w:left w:val="none" w:sz="0" w:space="0" w:color="auto"/>
        <w:bottom w:val="none" w:sz="0" w:space="0" w:color="auto"/>
        <w:right w:val="none" w:sz="0" w:space="0" w:color="auto"/>
      </w:divBdr>
      <w:divsChild>
        <w:div w:id="516773741">
          <w:marLeft w:val="0"/>
          <w:marRight w:val="0"/>
          <w:marTop w:val="180"/>
          <w:marBottom w:val="300"/>
          <w:divBdr>
            <w:top w:val="none" w:sz="0" w:space="0" w:color="auto"/>
            <w:left w:val="none" w:sz="0" w:space="0" w:color="auto"/>
            <w:bottom w:val="none" w:sz="0" w:space="0" w:color="auto"/>
            <w:right w:val="none" w:sz="0" w:space="0" w:color="auto"/>
          </w:divBdr>
        </w:div>
        <w:div w:id="481897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82</Pages>
  <Words>7977</Words>
  <Characters>45473</Characters>
  <Application>Microsoft Office Word</Application>
  <DocSecurity>0</DocSecurity>
  <Lines>378</Lines>
  <Paragraphs>106</Paragraphs>
  <ScaleCrop>false</ScaleCrop>
  <Company>Microsoft</Company>
  <LinksUpToDate>false</LinksUpToDate>
  <CharactersWithSpaces>53344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ZhouHao</dc:creator>
  <cp:keywords/>
  <dc:description/>
  <cp:lastModifiedBy>ZhouHao</cp:lastModifiedBy>
  <cp:revision>15</cp:revision>
  <dcterms:created xsi:type="dcterms:W3CDTF">2020-12-12T08:56:00Z</dcterms:created>
  <dcterms:modified xsi:type="dcterms:W3CDTF">2020-12-27T05:44:00Z</dcterms:modified>
</cp:coreProperties>
</file>