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A2755"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A2755" w:color="auto" w:val="clear"/>
            <w:tcMar>
              <w:top w:type="dxa" w:w="200"/>
              <w:left w:type="dxa" w:w="400"/>
              <w:bottom w:type="dxa" w:w="200"/>
              <w:right w:type="dxa" w:w="400"/>
            </w:tcMar>
          </w:tcPr>
          <w:p>
            <w:pPr>
              <w:spacing w:after="120" w:line="408" w:lineRule="auto"/>
            </w:pPr>
            <w:r>
              <w:t xml:space="preserve">MORGAN STANLEY</w:t>
            </w:r>
          </w:p>
          <w:p>
            <w:pPr>
              <w:spacing w:after="120" w:line="408" w:lineRule="auto"/>
            </w:pPr>
            <w:r>
              <w:rPr>
                <w:rFonts w:ascii="Calibri" w:cs="Calibri" w:eastAsia="Calibri" w:hAnsi="Calibri"/>
                <w:b w:val="false"/>
                <w:bCs w:val="false"/>
                <w:i w:val="false"/>
                <w:iCs w:val="false"/>
                <w:strike w:val="false"/>
                <w:color w:val="AAC4E8"/>
                <w:spacing w:val="10"/>
                <w:sz w:val="18"/>
                <w:szCs w:val="18"/>
              </w:rPr>
              <w:t xml:space="preserve">EQUITIES DIVISION  |  BIOMETRIC FINANCE SOLUTIONS  |  SPORTS EQUITY RESEARCH</w:t>
            </w:r>
          </w:p>
        </w:tc>
      </w:tr>
    </w:tbl>
    <w:p>
      <w:pPr>
        <w:spacing w:after="240" w:before="0"/>
      </w:pPr>
    </w:p>
    <w:p>
      <w:pPr>
        <w:spacing w:after="240" w:before="60" w:line="360" w:lineRule="auto"/>
        <w:jc w:val="center"/>
      </w:pPr>
      <w:r>
        <w:rPr>
          <w:rFonts w:ascii="Calibri" w:cs="Calibri" w:eastAsia="Calibri" w:hAnsi="Calibri"/>
          <w:b w:val="false"/>
          <w:bCs w:val="false"/>
          <w:i w:val="false"/>
          <w:iCs w:val="false"/>
          <w:strike w:val="false"/>
          <w:color w:val="5A7AB0"/>
          <w:spacing w:val="40"/>
          <w:sz w:val="18"/>
          <w:szCs w:val="18"/>
        </w:rPr>
        <w:t xml:space="preserve">WHITEPAPER  |  INTERNAL RESEARCH  |  JUNE 2026</w:t>
      </w:r>
    </w:p>
    <w:p>
      <w:pPr>
        <w:pBdr>
          <w:bottom w:val="single" w:color="1A1A1A" w:sz="6"/>
        </w:pBdr>
        <w:spacing w:after="240" w:before="240"/>
      </w:pPr>
    </w:p>
    <w:p>
      <w:pPr>
        <w:spacing w:after="240" w:before="60" w:line="300" w:lineRule="auto"/>
        <w:jc w:val="center"/>
      </w:pPr>
      <w:r>
        <w:rPr>
          <w:rFonts w:ascii="Calibri" w:cs="Calibri" w:eastAsia="Calibri" w:hAnsi="Calibri"/>
          <w:b/>
          <w:bCs/>
          <w:i w:val="false"/>
          <w:iCs w:val="false"/>
          <w:strike w:val="false"/>
          <w:color w:val="0A2755"/>
          <w:sz w:val="52"/>
          <w:szCs w:val="52"/>
        </w:rPr>
        <w:t xml:space="preserve">BIOMETRIC INDEX MARKET:</w:t>
      </w:r>
      <w:r>
        <w:rPr>
          <w:rFonts w:ascii="Calibri" w:cs="Calibri" w:eastAsia="Calibri" w:hAnsi="Calibri"/>
          <w:b/>
          <w:bCs/>
          <w:i w:val="false"/>
          <w:iCs w:val="false"/>
          <w:color w:val="0A2755"/>
          <w:sz w:val="52"/>
          <w:szCs w:val="52"/>
        </w:rPr>
        <w:br/>
      </w:r>
      <w:r>
        <w:rPr>
          <w:rFonts w:ascii="Calibri" w:cs="Calibri" w:eastAsia="Calibri" w:hAnsi="Calibri"/>
          <w:b/>
          <w:bCs/>
          <w:i w:val="false"/>
          <w:iCs w:val="false"/>
          <w:strike w:val="false"/>
          <w:color w:val="0A2755"/>
          <w:sz w:val="52"/>
          <w:szCs w:val="52"/>
        </w:rPr>
        <w:t xml:space="preserve">NY KNICKS 2026 NBA FINALS</w:t>
      </w:r>
      <w:r>
        <w:rPr>
          <w:rFonts w:ascii="Calibri" w:cs="Calibri" w:eastAsia="Calibri" w:hAnsi="Calibri"/>
          <w:b/>
          <w:bCs/>
          <w:i w:val="false"/>
          <w:iCs w:val="false"/>
          <w:color w:val="0A2755"/>
          <w:sz w:val="52"/>
          <w:szCs w:val="52"/>
        </w:rPr>
        <w:br/>
      </w:r>
      <w:r>
        <w:rPr>
          <w:rFonts w:ascii="Calibri" w:cs="Calibri" w:eastAsia="Calibri" w:hAnsi="Calibri"/>
          <w:b/>
          <w:bCs/>
          <w:i w:val="false"/>
          <w:iCs w:val="false"/>
          <w:strike w:val="false"/>
          <w:color w:val="0A2755"/>
          <w:sz w:val="52"/>
          <w:szCs w:val="52"/>
        </w:rPr>
        <w:t xml:space="preserve">CASE STUDY</w:t>
      </w:r>
    </w:p>
    <w:p>
      <w:pPr>
        <w:spacing w:after="600" w:before="60" w:line="360" w:lineRule="auto"/>
        <w:jc w:val="center"/>
      </w:pPr>
      <w:r>
        <w:rPr>
          <w:rFonts w:ascii="Calibri" w:cs="Calibri" w:eastAsia="Calibri" w:hAnsi="Calibri"/>
          <w:b w:val="false"/>
          <w:bCs w:val="false"/>
          <w:i/>
          <w:iCs/>
          <w:strike w:val="false"/>
          <w:color w:val="2A4A80"/>
          <w:sz w:val="26"/>
          <w:szCs w:val="26"/>
        </w:rPr>
        <w:t xml:space="preserve">A Framework for Sports Equity Decision-Making</w:t>
      </w:r>
      <w:r>
        <w:rPr>
          <w:rFonts w:ascii="Calibri" w:cs="Calibri" w:eastAsia="Calibri" w:hAnsi="Calibri"/>
          <w:b w:val="false"/>
          <w:bCs w:val="false"/>
          <w:i/>
          <w:iCs/>
          <w:color w:val="2A4A80"/>
          <w:sz w:val="26"/>
          <w:szCs w:val="26"/>
        </w:rPr>
        <w:br/>
      </w:r>
      <w:r>
        <w:rPr>
          <w:rFonts w:ascii="Calibri" w:cs="Calibri" w:eastAsia="Calibri" w:hAnsi="Calibri"/>
          <w:b w:val="false"/>
          <w:bCs w:val="false"/>
          <w:i/>
          <w:iCs/>
          <w:strike w:val="false"/>
          <w:color w:val="2A4A80"/>
          <w:sz w:val="26"/>
          <w:szCs w:val="26"/>
        </w:rPr>
        <w:t xml:space="preserve">via Custom Biometric Indices</w:t>
      </w:r>
    </w:p>
    <w:p>
      <w:pPr>
        <w:pBdr>
          <w:bottom w:val="single" w:color="1A1A1A"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Prepared By</w:t>
            </w:r>
          </w:p>
        </w:tc>
        <w:tc>
          <w:tcPr>
            <w:tcW w:type="pct" w:w="7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Finance Solutions | Morgan Stanley Equities Division</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Prepared For</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Morgan Stanley Equities Team — Internal Distribution</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Lead Analyst</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Dashawn Ramel Bledsoe, Senior Quantitative Strategist</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Date of Issue</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June 22, 2026</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Document Version</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1.0 — Final</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Classification</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INTERNAL — Morgan Stanley Equities Use Only</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Case Study Subject</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New York Knicks — 2026 NBA Championship Run</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Finals Result</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Knicks defeated San Antonio Spurs 4–1 (Clinched June 13, 2026)</w:t>
            </w:r>
          </w:p>
        </w:tc>
      </w:tr>
    </w:tbl>
    <w:p>
      <w:pPr>
        <w:spacing w:after="200" w:before="0"/>
      </w:pPr>
    </w:p>
    <w:p>
      <w:pPr>
        <w:spacing w:after="240" w:before="600" w:line="360" w:lineRule="auto"/>
        <w:ind w:left="320"/>
        <w:jc w:val="center"/>
      </w:pPr>
      <w:r>
        <w:rPr>
          <w:rFonts w:ascii="Calibri" w:cs="Calibri" w:eastAsia="Calibri" w:hAnsi="Calibri"/>
          <w:b/>
          <w:bCs/>
          <w:i w:val="false"/>
          <w:iCs w:val="false"/>
          <w:strike w:val="false"/>
          <w:color w:val="FFFFFF"/>
          <w:spacing w:val="30"/>
          <w:sz w:val="18"/>
          <w:szCs w:val="18"/>
          <w:shd w:fill="0A2755" w:color="auto" w:val="clear"/>
        </w:rPr>
        <w:t xml:space="preserve">CONFIDENTIAL — INTERNAL USE ONLY</w:t>
      </w:r>
    </w:p>
    <w:p>
      <w:pPr>
        <w:pBdr>
          <w:bottom w:val="single" w:color="0A2755" w:sz="6"/>
        </w:pBdr>
        <w:spacing w:after="240" w:before="240"/>
      </w:pP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Table of Contents</w:t>
      </w:r>
    </w:p>
    <w:p>
      <w:pPr>
        <w:pBdr>
          <w:top w:val="single" w:color="0A2755"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0A2755" w:color="auto" w:val="clear"/>
            <w:tcMar>
              <w:top w:type="dxa" w:w="90"/>
              <w:left w:type="dxa" w:w="135"/>
              <w:bottom w:type="dxa" w:w="90"/>
              <w:right w:type="dxa" w:w="135"/>
            </w:tcMar>
          </w:tcPr>
          <w:p>
            <w:r>
              <w:rPr>
                <w:b/>
                <w:bCs/>
                <w:color w:val="FFFFFF"/>
              </w:rPr>
              <w:t xml:space="preserve"/>
            </w:r>
          </w:p>
        </w:tc>
        <w:tc>
          <w:tcPr>
            <w:tcW w:type="pct" w:w="8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Executive Summary</w:t>
            </w:r>
          </w:p>
        </w:tc>
        <w:tc>
          <w:tcPr>
            <w:tcW w:type="pct" w:w="9%"/>
            <w:shd w:fill="0A2755" w:color="auto" w:val="clear"/>
            <w:tcMar>
              <w:top w:type="dxa" w:w="90"/>
              <w:left w:type="dxa" w:w="135"/>
              <w:bottom w:type="dxa" w:w="90"/>
              <w:right w:type="dxa" w:w="135"/>
            </w:tcMar>
          </w:tcPr>
          <w:p>
            <w:r>
              <w:rPr>
                <w:b/>
                <w:bCs/>
                <w:color w:val="FFFFFF"/>
              </w:rPr>
              <w:t xml:space="preserve"/>
            </w:r>
          </w:p>
        </w:tc>
      </w:tr>
      <w:tr>
        <w:trPr>
          <w:tblHeader w:val="false"/>
        </w:trPr>
        <w:tc>
          <w:tcPr>
            <w:tcW w:type="pct" w:w="11%"/>
            <w:tcMar>
              <w:top w:type="dxa" w:w="90"/>
              <w:left w:type="dxa" w:w="135"/>
              <w:bottom w:type="dxa" w:w="90"/>
              <w:right w:type="dxa" w:w="135"/>
            </w:tcMar>
          </w:tcPr>
          <w:p>
            <w:r>
              <w:rPr>
                <w:b w:val="false"/>
                <w:bCs w:val="false"/>
              </w:rPr>
              <w:t xml:space="preserve"/>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Introduction — Biometric Finance Solutions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I</w:t>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Biometric Index Framework</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1.1</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Defining the Core Biometric Indices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1.2</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Morgan Stanley Variant Indices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1.3</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Data Sources &amp; Methodology</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II</w:t>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Parametric &amp; Nielsen Sports Data Ecosystem</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2.1</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What Is the Parametric Data Layer?</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2.2</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Nielsen Sports Data Ecosystem Integration</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2.3</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Parametric Trigger Events — Knicks 2026 Case Study</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III</w:t>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MSG Stock Analysis: From Stable Consolidation to Championship Bull Market</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3.1</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Overview: Two Entities, One Franchise Story</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3.2</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MSGS Pre-Playoff Stable Phase: Jun 2025 — Feb 2026</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3.3</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Catalyst: Playoff Performance Transforms Equity Narrative</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3.4</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MSG-Knicks Biometric Correlation</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3.5</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MSGE: The Venue Equity Corollary</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3.6</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Bull Market Anatomy: The MSG Championship Premium Model</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IV</w:t>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Additional Biometric Index Market Insights: Morgan Stanley Pilot Urgency Edition</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4.1</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Why Now: The Competitive Window Is Narrow</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4.2</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Cost of Inaction: Competitive Threat Analysis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4.3</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Pilot Program Design: Morgan Stanley Biometric Index Market Launch</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4.4</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Jalen Brunson as the Anchor Asset: StarPower Bond Thesis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4.5</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Key Metrics Summary — Morgan Stanley Pilot Urgency Dashboard</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4.6</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Strategic Imperative: The Championship Moment Is the Marketing Moment</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V</w:t>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2026 Knicks Playoffs — Biometric Index Analysis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5.1</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Regular Season Biometric Baseline</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5.2</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Eastern Conference Playoff Run</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5.3</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2026 NBA Finals vs. San Antonio Spurs — Game-by-Game Analysis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VI</w:t>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Morgan Stanley Equity Applications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6.1</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Sports Equity Derivatives Pricing</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6.2</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Player Biometric Securitization</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6.3</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Risk Management via Biometric Early Warning Signals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6.4</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Institutional Portfolio Integration</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VII</w:t>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Conclusions &amp; Strategic Recommendations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7.1</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Key Findings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7.2</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Strategic Recommendations for Morgan Stanley Equities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7.3</w:t>
            </w:r>
          </w:p>
        </w:tc>
        <w:tc>
          <w:tcPr>
            <w:tcW w:type="pct" w:w="8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Limitations &amp; Risk Disclosures</w:t>
            </w:r>
          </w:p>
        </w:tc>
        <w:tc>
          <w:tcPr>
            <w:tcW w:type="pct" w:w="9%"/>
            <w:tcMar>
              <w:top w:type="dxa" w:w="90"/>
              <w:left w:type="dxa" w:w="135"/>
              <w:bottom w:type="dxa" w:w="90"/>
              <w:right w:type="dxa" w:w="135"/>
            </w:tcMar>
          </w:tcPr>
          <w:p>
            <w:r>
              <w:rPr>
                <w:b w:val="false"/>
                <w:bCs w:val="false"/>
              </w:rPr>
              <w:t xml:space="preserve"/>
            </w:r>
          </w:p>
        </w:tc>
      </w:tr>
      <w:tr>
        <w:trPr>
          <w:tblHeader w:val="false"/>
        </w:trPr>
        <w:tc>
          <w:tcPr>
            <w:tcW w:type="pct" w:w="11%"/>
            <w:tcMar>
              <w:top w:type="dxa" w:w="90"/>
              <w:left w:type="dxa" w:w="135"/>
              <w:bottom w:type="dxa" w:w="90"/>
              <w:right w:type="dxa" w:w="135"/>
            </w:tcMar>
          </w:tcPr>
          <w:p>
            <w:r>
              <w:rPr>
                <w:b w:val="false"/>
                <w:bCs w:val="false"/>
              </w:rPr>
              <w:t xml:space="preserve"/>
            </w:r>
          </w:p>
        </w:tc>
        <w:tc>
          <w:tcPr>
            <w:tcW w:type="pct" w:w="80%"/>
            <w:tcMar>
              <w:top w:type="dxa" w:w="90"/>
              <w:left w:type="dxa" w:w="135"/>
              <w:bottom w:type="dxa" w:w="90"/>
              <w:right w:type="dxa" w:w="135"/>
            </w:tcMar>
          </w:tcPr>
          <w:p>
            <w:r>
              <w:rPr>
                <w:rFonts w:ascii="Calibri" w:cs="Calibri" w:eastAsia="Calibri" w:hAnsi="Calibri"/>
                <w:b/>
                <w:bCs/>
                <w:i w:val="false"/>
                <w:iCs w:val="false"/>
                <w:strike w:val="false"/>
                <w:color w:val="0A2755"/>
                <w:sz w:val="22"/>
                <w:szCs w:val="22"/>
              </w:rPr>
              <w:t xml:space="preserve">Appendices (A–E)</w:t>
            </w:r>
          </w:p>
        </w:tc>
        <w:tc>
          <w:tcPr>
            <w:tcW w:type="pct" w:w="9%"/>
            <w:tcMar>
              <w:top w:type="dxa" w:w="90"/>
              <w:left w:type="dxa" w:w="135"/>
              <w:bottom w:type="dxa" w:w="90"/>
              <w:right w:type="dxa" w:w="135"/>
            </w:tcMar>
          </w:tcPr>
          <w:p>
            <w:r>
              <w:rPr>
                <w:b w:val="false"/>
                <w:bCs w:val="false"/>
              </w:rPr>
              <w:t xml:space="preserve"/>
            </w:r>
          </w:p>
        </w:tc>
      </w:tr>
    </w:tbl>
    <w:p>
      <w:pPr>
        <w:spacing w:after="200" w:before="0"/>
      </w:pP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Executive Summary</w:t>
      </w:r>
    </w:p>
    <w:p>
      <w:pPr>
        <w:pBdr>
          <w:top w:val="single" w:color="0A2755"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whitepaper presents the inaugural live deployment of the </w:t>
      </w:r>
      <w:r>
        <w:rPr>
          <w:rFonts w:ascii="Calibri" w:cs="Calibri" w:eastAsia="Calibri" w:hAnsi="Calibri"/>
          <w:b/>
          <w:bCs/>
          <w:i w:val="false"/>
          <w:iCs w:val="false"/>
          <w:strike w:val="false"/>
          <w:color w:val="1A1A1A"/>
          <w:sz w:val="22"/>
          <w:szCs w:val="22"/>
        </w:rPr>
        <w:t xml:space="preserve">Biometric Index Market</w:t>
      </w:r>
      <w:r>
        <w:rPr>
          <w:rFonts w:ascii="Calibri" w:cs="Calibri" w:eastAsia="Calibri" w:hAnsi="Calibri"/>
          <w:b w:val="false"/>
          <w:bCs w:val="false"/>
          <w:i w:val="false"/>
          <w:iCs w:val="false"/>
          <w:strike w:val="false"/>
          <w:color w:val="1A1A1A"/>
          <w:sz w:val="22"/>
          <w:szCs w:val="22"/>
        </w:rPr>
        <w:t xml:space="preserve"> framework by Morgan Stanley Equities' Biometric Finance Solutions division, utilizing the New York Knicks' 2026 NBA Championship run as a real-time, high-stakes proof-of-concept. The findings contained herein represent a material step forward in the construction of a next-generation sports equity analytics infrastructure with direct application to institutional portfolio management and alternative alpha generation.</w:t>
      </w:r>
    </w:p>
    <w:p>
      <w:pPr>
        <w:pStyle w:val="Heading3"/>
        <w:spacing w:after="80" w:before="280" w:line="312" w:lineRule="auto"/>
      </w:pPr>
      <w:r>
        <w:rPr>
          <w:rFonts w:ascii="Calibri" w:cs="Calibri" w:eastAsia="Calibri" w:hAnsi="Calibri"/>
          <w:color w:val="1A3A6B"/>
          <w:sz w:val="26"/>
          <w:szCs w:val="26"/>
        </w:rPr>
        <w:t xml:space="preserve">Core Thesis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Proprietary Biometric Indices — when rigorously derived from physiological, behavioral, and performance data — generate systematic, alpha-producing equity signals applicable to sports franchise valuation, player performance securitization, and sports derivatives pricing. The 2026 Knicks Finals case study demonstrates that biometric data precedes and predicts binary outcome events (wins, championship clinches, momentum shifts) with sufficient lead time and signal clarity to support institutional trading activity.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FFFA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Championship Milestone</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New York Knicks defeated the San Antonio Spurs </w:t>
            </w:r>
            <w:r>
              <w:rPr>
                <w:rFonts w:ascii="Calibri" w:cs="Calibri" w:eastAsia="Calibri" w:hAnsi="Calibri"/>
                <w:b/>
                <w:bCs/>
                <w:i w:val="false"/>
                <w:iCs w:val="false"/>
                <w:strike w:val="false"/>
                <w:color w:val="1A1A1A"/>
                <w:sz w:val="22"/>
                <w:szCs w:val="22"/>
              </w:rPr>
              <w:t xml:space="preserve">4–1</w:t>
            </w:r>
            <w:r>
              <w:rPr>
                <w:rFonts w:ascii="Calibri" w:cs="Calibri" w:eastAsia="Calibri" w:hAnsi="Calibri"/>
                <w:b w:val="false"/>
                <w:bCs w:val="false"/>
                <w:i w:val="false"/>
                <w:iCs w:val="false"/>
                <w:strike w:val="false"/>
                <w:color w:val="1A1A1A"/>
                <w:sz w:val="22"/>
                <w:szCs w:val="22"/>
              </w:rPr>
              <w:t xml:space="preserve"> in the 2026 NBA Finals, clinching the franchise's first championship since 1973 — ending a 53-year drought — with a </w:t>
            </w:r>
            <w:r>
              <w:rPr>
                <w:rFonts w:ascii="Calibri" w:cs="Calibri" w:eastAsia="Calibri" w:hAnsi="Calibri"/>
                <w:b/>
                <w:bCs/>
                <w:i w:val="false"/>
                <w:iCs w:val="false"/>
                <w:strike w:val="false"/>
                <w:color w:val="1A1A1A"/>
                <w:sz w:val="22"/>
                <w:szCs w:val="22"/>
              </w:rPr>
              <w:t xml:space="preserve">94–90 victory in Game 5</w:t>
            </w:r>
            <w:r>
              <w:rPr>
                <w:rFonts w:ascii="Calibri" w:cs="Calibri" w:eastAsia="Calibri" w:hAnsi="Calibri"/>
                <w:b w:val="false"/>
                <w:bCs w:val="false"/>
                <w:i w:val="false"/>
                <w:iCs w:val="false"/>
                <w:strike w:val="false"/>
                <w:color w:val="1A1A1A"/>
                <w:sz w:val="22"/>
                <w:szCs w:val="22"/>
              </w:rPr>
              <w:t xml:space="preserve"> on June 13, 2026 in San Antonio. Jalen Brunson was named </w:t>
            </w:r>
            <w:r>
              <w:rPr>
                <w:rFonts w:ascii="Calibri" w:cs="Calibri" w:eastAsia="Calibri" w:hAnsi="Calibri"/>
                <w:b/>
                <w:bCs/>
                <w:i w:val="false"/>
                <w:iCs w:val="false"/>
                <w:strike w:val="false"/>
                <w:color w:val="1A1A1A"/>
                <w:sz w:val="22"/>
                <w:szCs w:val="22"/>
              </w:rPr>
              <w:t xml:space="preserve">NBA Finals MVP</w:t>
            </w:r>
            <w:r>
              <w:rPr>
                <w:rFonts w:ascii="Calibri" w:cs="Calibri" w:eastAsia="Calibri" w:hAnsi="Calibri"/>
                <w:b w:val="false"/>
                <w:bCs w:val="false"/>
                <w:i w:val="false"/>
                <w:iCs w:val="false"/>
                <w:strike w:val="false"/>
                <w:color w:val="1A1A1A"/>
                <w:sz w:val="22"/>
                <w:szCs w:val="22"/>
              </w:rPr>
              <w:t xml:space="preserve">, averaging 32.6 PPG across the series, with a career-defining 45-point performance in the clincher.</w:t>
            </w:r>
          </w:p>
        </w:tc>
      </w:tr>
    </w:tbl>
    <w:p>
      <w:pPr>
        <w:spacing w:after="240" w:before="0"/>
      </w:pPr>
    </w:p>
    <w:p>
      <w:pPr>
        <w:pStyle w:val="Heading3"/>
        <w:spacing w:after="80" w:before="280" w:line="312" w:lineRule="auto"/>
      </w:pPr>
      <w:r>
        <w:rPr>
          <w:rFonts w:ascii="Calibri" w:cs="Calibri" w:eastAsia="Calibri" w:hAnsi="Calibri"/>
          <w:color w:val="1A3A6B"/>
          <w:sz w:val="26"/>
          <w:szCs w:val="26"/>
        </w:rPr>
        <w:t xml:space="preserve">Key Biometric Findings at a Glance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Index</w:t>
            </w:r>
          </w:p>
        </w:tc>
        <w:tc>
          <w:tcPr>
            <w:tcW w:type="pct" w:w="1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Pre-Playoffs Baseline</w:t>
            </w:r>
          </w:p>
        </w:tc>
        <w:tc>
          <w:tcPr>
            <w:tcW w:type="pct" w:w="2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Finals Peak</w:t>
            </w:r>
          </w:p>
        </w:tc>
        <w:tc>
          <w:tcPr>
            <w:tcW w:type="pct" w:w="1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Delta</w:t>
            </w:r>
          </w:p>
        </w:tc>
        <w:tc>
          <w:tcPr>
            <w:tcW w:type="pct" w:w="1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Equity Signal</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Score (Team Avg.)</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74.2 / 100</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79.4 / 100</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+5.2 pts</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CBR (Clutch Biometric Rating)</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88.4</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98.6 (Game 5)</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+10.2 pts</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Roster Cohesion Index (RCI)</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81.3</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92.1 (Game 4, final 4 min.)</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+10.8 pts</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Franchise Vitality Index (FVI)</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612 / 1000</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1000 / 1000</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+388 pts (+63.4%)</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MAXIMUM EQUITY</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MS-ResilienceFactor (RF)</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6.8x (Game 4 comeback)</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ELITE</w:t>
            </w:r>
          </w:p>
        </w:tc>
      </w:tr>
      <w:tr>
        <w:trPr>
          <w:tblHeader w:val="false"/>
        </w:trPr>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MS-StarPower (Brunson)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$47.2M eq. per unit</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PREMIUM</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Core Deliverables Validated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BioQ Score</w:t>
      </w:r>
      <w:r>
        <w:rPr>
          <w:rFonts w:ascii="Calibri" w:cs="Calibri" w:eastAsia="Calibri" w:hAnsi="Calibri"/>
          <w:b w:val="false"/>
          <w:bCs w:val="false"/>
          <w:i w:val="false"/>
          <w:iCs w:val="false"/>
          <w:strike w:val="false"/>
          <w:color w:val="1A1A1A"/>
          <w:sz w:val="22"/>
          <w:szCs w:val="22"/>
        </w:rPr>
        <w:t xml:space="preserve"> correctly identified the Knicks' physiological superiority entering the Finals (+6.2 pt aggregate advantage over the Spurs).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Clutch Biometric Rating (CBR)</w:t>
      </w:r>
      <w:r>
        <w:rPr>
          <w:rFonts w:ascii="Calibri" w:cs="Calibri" w:eastAsia="Calibri" w:hAnsi="Calibri"/>
          <w:b w:val="false"/>
          <w:bCs w:val="false"/>
          <w:i w:val="false"/>
          <w:iCs w:val="false"/>
          <w:strike w:val="false"/>
          <w:color w:val="1A1A1A"/>
          <w:sz w:val="22"/>
          <w:szCs w:val="22"/>
        </w:rPr>
        <w:t xml:space="preserve"> accurately flagged Jalen Brunson's elite late-game performance capacity, culminating in a Finals-record 98.6 reading in Game 5.</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Roster Cohesion Index (RCI)</w:t>
      </w:r>
      <w:r>
        <w:rPr>
          <w:rFonts w:ascii="Calibri" w:cs="Calibri" w:eastAsia="Calibri" w:hAnsi="Calibri"/>
          <w:b w:val="false"/>
          <w:bCs w:val="false"/>
          <w:i w:val="false"/>
          <w:iCs w:val="false"/>
          <w:strike w:val="false"/>
          <w:color w:val="1A1A1A"/>
          <w:sz w:val="22"/>
          <w:szCs w:val="22"/>
        </w:rPr>
        <w:t xml:space="preserve"> above 85 correlated with a 100% Knicks win rate across this Finals series, serving as the single most predictive leading indicator.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Franchise Vitality Index (FVI)</w:t>
      </w:r>
      <w:r>
        <w:rPr>
          <w:rFonts w:ascii="Calibri" w:cs="Calibri" w:eastAsia="Calibri" w:hAnsi="Calibri"/>
          <w:b w:val="false"/>
          <w:bCs w:val="false"/>
          <w:i w:val="false"/>
          <w:iCs w:val="false"/>
          <w:strike w:val="false"/>
          <w:color w:val="1A1A1A"/>
          <w:sz w:val="22"/>
          <w:szCs w:val="22"/>
        </w:rPr>
        <w:t xml:space="preserve"> appreciated from 612 to 1000 — a +63.4% index return — over the six-week Finals window, demonstrating the model's capacity to track and capture franchise equity appreciation in real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MS-ResilienceFactor</w:t>
      </w:r>
      <w:r>
        <w:rPr>
          <w:rFonts w:ascii="Calibri" w:cs="Calibri" w:eastAsia="Calibri" w:hAnsi="Calibri"/>
          <w:b w:val="false"/>
          <w:bCs w:val="false"/>
          <w:i w:val="false"/>
          <w:iCs w:val="false"/>
          <w:strike w:val="false"/>
          <w:color w:val="1A1A1A"/>
          <w:sz w:val="22"/>
          <w:szCs w:val="22"/>
        </w:rPr>
        <w:t xml:space="preserve"> correctly triggered a re-calibration event following Game 3's RCI dip, enabling a strategic hedge exit and long re-entry ahead of the historic Game 4 comeback.</w:t>
      </w:r>
    </w:p>
    <w:p>
      <w:pPr>
        <w:pStyle w:val="Heading3"/>
        <w:spacing w:after="80" w:before="280" w:line="312" w:lineRule="auto"/>
      </w:pPr>
      <w:r>
        <w:rPr>
          <w:rFonts w:ascii="Calibri" w:cs="Calibri" w:eastAsia="Calibri" w:hAnsi="Calibri"/>
          <w:color w:val="1A3A6B"/>
          <w:sz w:val="26"/>
          <w:szCs w:val="26"/>
        </w:rPr>
        <w:t xml:space="preserve">Strategic Implication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2026 Knicks NBA Finals run provides statistically significant, event-driven validation of the Biometric Index Market framework. Morgan Stanley Equities is positioned to commercialize this analytical infrastructure through a suite of Sports Biometric Index products — including the MS-SportsAlpha Index Fund, BioQ Performance Bonds, and the Franchise Vitality Index — targeting institutional clients seeking uncorrelated alternative alpha with low correlation to traditional equity markets (Knicks FVI return: 0.11 correlation to S&amp;P 500 over same period).</w:t>
      </w:r>
    </w:p>
    <w:p>
      <w:pPr>
        <w:spacing w:after="240" w:before="60" w:line="360" w:lineRule="auto"/>
      </w:pPr>
      <w:r>
        <w:rPr>
          <w:rFonts w:ascii="Calibri" w:cs="Calibri" w:eastAsia="Calibri" w:hAnsi="Calibri"/>
          <w:b/>
          <w:bCs/>
          <w:i w:val="false"/>
          <w:iCs w:val="false"/>
          <w:strike w:val="false"/>
          <w:color w:val="1A1A1A"/>
          <w:sz w:val="22"/>
          <w:szCs w:val="22"/>
        </w:rPr>
        <w:t xml:space="preserve">Recommendation: Proceed to Q4 2026 product launch for the Sports Biometric Index derivatives platform.</w:t>
      </w: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Introduction — Biometric Finance Solutions</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What Is the Biometric Index Market?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Biometric Index Market</w:t>
      </w:r>
      <w:r>
        <w:rPr>
          <w:rFonts w:ascii="Calibri" w:cs="Calibri" w:eastAsia="Calibri" w:hAnsi="Calibri"/>
          <w:b w:val="false"/>
          <w:bCs w:val="false"/>
          <w:i w:val="false"/>
          <w:iCs w:val="false"/>
          <w:strike w:val="false"/>
          <w:color w:val="1A1A1A"/>
          <w:sz w:val="22"/>
          <w:szCs w:val="22"/>
        </w:rPr>
        <w:t xml:space="preserve"> is a next-generation financial analytics layer developed by Morgan Stanley's Biometric Finance Solutions group. It operates by converting human physiological, behavioral, and performance biometric data into structured, tradeable equity signals. Rather than relying solely on traditional financial metrics — revenue, cap table, earnings multiples — the Biometric Index Market introduces a parallel data stream rooted in the measurable, real-time biological performance of athletes and the organizations they represent.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In practical terms, this means translating heart rate variability readings, neuromuscular output scores, cortisol response profiles, and recovery biometric curves into financial instruments that carry the analytical rigor and institutional credibility of conventional equity research. The result is a new class of </w:t>
      </w:r>
      <w:r>
        <w:rPr>
          <w:rFonts w:ascii="Calibri" w:cs="Calibri" w:eastAsia="Calibri" w:hAnsi="Calibri"/>
          <w:b w:val="false"/>
          <w:bCs w:val="false"/>
          <w:i/>
          <w:iCs/>
          <w:strike w:val="false"/>
          <w:color w:val="1A1A1A"/>
          <w:sz w:val="22"/>
          <w:szCs w:val="22"/>
        </w:rPr>
        <w:t xml:space="preserve">sports equity derivative</w:t>
      </w:r>
      <w:r>
        <w:rPr>
          <w:rFonts w:ascii="Calibri" w:cs="Calibri" w:eastAsia="Calibri" w:hAnsi="Calibri"/>
          <w:b w:val="false"/>
          <w:bCs w:val="false"/>
          <w:i w:val="false"/>
          <w:iCs w:val="false"/>
          <w:strike w:val="false"/>
          <w:color w:val="1A1A1A"/>
          <w:sz w:val="22"/>
          <w:szCs w:val="22"/>
        </w:rPr>
        <w:t xml:space="preserve"> — one that is grounded in human performance science rather than historical price action alone.</w:t>
      </w:r>
    </w:p>
    <w:p>
      <w:pPr>
        <w:pStyle w:val="Heading3"/>
        <w:spacing w:after="80" w:before="280" w:line="312" w:lineRule="auto"/>
      </w:pPr>
      <w:r>
        <w:rPr>
          <w:rFonts w:ascii="Calibri" w:cs="Calibri" w:eastAsia="Calibri" w:hAnsi="Calibri"/>
          <w:color w:val="1A3A6B"/>
          <w:sz w:val="26"/>
          <w:szCs w:val="26"/>
        </w:rPr>
        <w:t xml:space="preserve">Morgan Stanley Equities Team Application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Morgan Stanley Equities Division has identified </w:t>
      </w:r>
      <w:r>
        <w:rPr>
          <w:rFonts w:ascii="Calibri" w:cs="Calibri" w:eastAsia="Calibri" w:hAnsi="Calibri"/>
          <w:b/>
          <w:bCs/>
          <w:i w:val="false"/>
          <w:iCs w:val="false"/>
          <w:strike w:val="false"/>
          <w:color w:val="1A1A1A"/>
          <w:sz w:val="22"/>
          <w:szCs w:val="22"/>
        </w:rPr>
        <w:t xml:space="preserve">sports as an emerging asset class</w:t>
      </w:r>
      <w:r>
        <w:rPr>
          <w:rFonts w:ascii="Calibri" w:cs="Calibri" w:eastAsia="Calibri" w:hAnsi="Calibri"/>
          <w:b w:val="false"/>
          <w:bCs w:val="false"/>
          <w:i w:val="false"/>
          <w:iCs w:val="false"/>
          <w:strike w:val="false"/>
          <w:color w:val="1A1A1A"/>
          <w:sz w:val="22"/>
          <w:szCs w:val="22"/>
        </w:rPr>
        <w:t xml:space="preserve"> uniquely suited to biometric-driven valuation modeling. The NBA, in particular, has evolved into a $10 billion-plus media rights ecosystem in which team performance outcomes directly influence franchise valuation, sponsorship yield, media contract renewal leverage, and ancillary revenue streams. These outcomes are driven, at the most fundamental level, by the physiological and psychological performance capacity of athletes — data that is now increasingly accessible through wearable technology, second-spectrum spatial tracking, and biomechanical load monitoring systems.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Morgan Stanley Equities application centers on the development of </w:t>
      </w:r>
      <w:r>
        <w:rPr>
          <w:rFonts w:ascii="Calibri" w:cs="Calibri" w:eastAsia="Calibri" w:hAnsi="Calibri"/>
          <w:b/>
          <w:bCs/>
          <w:i w:val="false"/>
          <w:iCs w:val="false"/>
          <w:strike w:val="false"/>
          <w:color w:val="1A1A1A"/>
          <w:sz w:val="22"/>
          <w:szCs w:val="22"/>
        </w:rPr>
        <w:t xml:space="preserve">computable equity derivatives</w:t>
      </w:r>
      <w:r>
        <w:rPr>
          <w:rFonts w:ascii="Calibri" w:cs="Calibri" w:eastAsia="Calibri" w:hAnsi="Calibri"/>
          <w:b w:val="false"/>
          <w:bCs w:val="false"/>
          <w:i w:val="false"/>
          <w:iCs w:val="false"/>
          <w:strike w:val="false"/>
          <w:color w:val="1A1A1A"/>
          <w:sz w:val="22"/>
          <w:szCs w:val="22"/>
        </w:rPr>
        <w:t xml:space="preserve"> tied to team and individual player biometric trajectories. These instruments allow institutional investors to take structured exposure to sports franchise performance at a precision level previously unavailable outside of internal team front offices.</w:t>
      </w:r>
    </w:p>
    <w:p>
      <w:pPr>
        <w:pStyle w:val="Heading3"/>
        <w:spacing w:after="80" w:before="280" w:line="312" w:lineRule="auto"/>
      </w:pPr>
      <w:r>
        <w:rPr>
          <w:rFonts w:ascii="Calibri" w:cs="Calibri" w:eastAsia="Calibri" w:hAnsi="Calibri"/>
          <w:color w:val="1A3A6B"/>
          <w:sz w:val="26"/>
          <w:szCs w:val="26"/>
        </w:rPr>
        <w:t xml:space="preserve">Why Sports Equities? The NBA as a Financial Ecosystem</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National Basketball Association represents an ideal laboratory for the inaugural deployment of this framework for several structural reasons: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High biometric data density:</w:t>
      </w:r>
      <w:r>
        <w:rPr>
          <w:rFonts w:ascii="Calibri" w:cs="Calibri" w:eastAsia="Calibri" w:hAnsi="Calibri"/>
          <w:b w:val="false"/>
          <w:bCs w:val="false"/>
          <w:i w:val="false"/>
          <w:iCs w:val="false"/>
          <w:strike w:val="false"/>
          <w:color w:val="1A1A1A"/>
          <w:sz w:val="22"/>
          <w:szCs w:val="22"/>
        </w:rPr>
        <w:t xml:space="preserve"> NBA teams employ among the most sophisticated biomechanical monitoring systems in professional sports, generating granular, game-by-game physiological profiles for each rostered athlete.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High-frequency outcome events:</w:t>
      </w:r>
      <w:r>
        <w:rPr>
          <w:rFonts w:ascii="Calibri" w:cs="Calibri" w:eastAsia="Calibri" w:hAnsi="Calibri"/>
          <w:b w:val="false"/>
          <w:bCs w:val="false"/>
          <w:i w:val="false"/>
          <w:iCs w:val="false"/>
          <w:strike w:val="false"/>
          <w:color w:val="1A1A1A"/>
          <w:sz w:val="22"/>
          <w:szCs w:val="22"/>
        </w:rPr>
        <w:t xml:space="preserve"> An 82-game regular season plus multi-round playoff structure creates a rich time series of outcome events against which biometric predictions can be validated.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Direct franchise valuation linkage:</w:t>
      </w:r>
      <w:r>
        <w:rPr>
          <w:rFonts w:ascii="Calibri" w:cs="Calibri" w:eastAsia="Calibri" w:hAnsi="Calibri"/>
          <w:b w:val="false"/>
          <w:bCs w:val="false"/>
          <w:i w:val="false"/>
          <w:iCs w:val="false"/>
          <w:strike w:val="false"/>
          <w:color w:val="1A1A1A"/>
          <w:sz w:val="22"/>
          <w:szCs w:val="22"/>
        </w:rPr>
        <w:t xml:space="preserve"> Championship outcomes, playoff success, and star-player performance have documented, quantifiable impacts on franchise equity valuations — creating a clear pathway from biometric signal to financial return.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Wearable technology penetration:</w:t>
      </w:r>
      <w:r>
        <w:rPr>
          <w:rFonts w:ascii="Calibri" w:cs="Calibri" w:eastAsia="Calibri" w:hAnsi="Calibri"/>
          <w:b w:val="false"/>
          <w:bCs w:val="false"/>
          <w:i w:val="false"/>
          <w:iCs w:val="false"/>
          <w:strike w:val="false"/>
          <w:color w:val="1A1A1A"/>
          <w:sz w:val="22"/>
          <w:szCs w:val="22"/>
        </w:rPr>
        <w:t xml:space="preserve"> Partnerships with companies such as Catapult Sports and Whoop have embedded real-time biometric monitoring into routine team protocols, providing feed-quality data for modeling purposes.</w:t>
      </w:r>
    </w:p>
    <w:p>
      <w:pPr>
        <w:pStyle w:val="Heading3"/>
        <w:spacing w:after="80" w:before="280" w:line="312" w:lineRule="auto"/>
      </w:pPr>
      <w:r>
        <w:rPr>
          <w:rFonts w:ascii="Calibri" w:cs="Calibri" w:eastAsia="Calibri" w:hAnsi="Calibri"/>
          <w:color w:val="1A3A6B"/>
          <w:sz w:val="26"/>
          <w:szCs w:val="26"/>
        </w:rPr>
        <w:t xml:space="preserve">The Convergence Driving This Framework</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Biometric Index Market sits at the intersection of three distinct but increasingly convergent disciplines: </w:t>
      </w:r>
      <w:r>
        <w:rPr>
          <w:rFonts w:ascii="Calibri" w:cs="Calibri" w:eastAsia="Calibri" w:hAnsi="Calibri"/>
          <w:b/>
          <w:bCs/>
          <w:i w:val="false"/>
          <w:iCs w:val="false"/>
          <w:strike w:val="false"/>
          <w:color w:val="1A1A1A"/>
          <w:sz w:val="22"/>
          <w:szCs w:val="22"/>
        </w:rPr>
        <w:t xml:space="preserve">sports science</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wearable technology</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quantitative financial modeling</w:t>
      </w:r>
      <w:r>
        <w:rPr>
          <w:rFonts w:ascii="Calibri" w:cs="Calibri" w:eastAsia="Calibri" w:hAnsi="Calibri"/>
          <w:b w:val="false"/>
          <w:bCs w:val="false"/>
          <w:i w:val="false"/>
          <w:iCs w:val="false"/>
          <w:strike w:val="false"/>
          <w:color w:val="1A1A1A"/>
          <w:sz w:val="22"/>
          <w:szCs w:val="22"/>
        </w:rPr>
        <w:t xml:space="preserve">. The maturation of each of these fields individually has made their convergence not only possible but analytically powerful. Sports scientists can now measure performance capacity at the millisecond and biomarker level. Wearable sensors can transmit this data in near-real time. And financial modelers — including the Morgan Stanley Equities team — can apply options pricing theory, machine learning classification, and volatility surface construction techniques to that data to produce actionable investment signals.</w:t>
      </w:r>
    </w:p>
    <w:p>
      <w:pPr>
        <w:pStyle w:val="Heading3"/>
        <w:spacing w:after="80" w:before="280" w:line="312" w:lineRule="auto"/>
      </w:pPr>
      <w:r>
        <w:rPr>
          <w:rFonts w:ascii="Calibri" w:cs="Calibri" w:eastAsia="Calibri" w:hAnsi="Calibri"/>
          <w:color w:val="1A3A6B"/>
          <w:sz w:val="26"/>
          <w:szCs w:val="26"/>
        </w:rPr>
        <w:t xml:space="preserve">Scope of This Whitepaper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whitepaper presents the Knicks' 2026 NBA Finals run as the </w:t>
      </w:r>
      <w:r>
        <w:rPr>
          <w:rFonts w:ascii="Calibri" w:cs="Calibri" w:eastAsia="Calibri" w:hAnsi="Calibri"/>
          <w:b/>
          <w:bCs/>
          <w:i w:val="false"/>
          <w:iCs w:val="false"/>
          <w:strike w:val="false"/>
          <w:color w:val="1A1A1A"/>
          <w:sz w:val="22"/>
          <w:szCs w:val="22"/>
        </w:rPr>
        <w:t xml:space="preserve">inaugural live proof-of-concept</w:t>
      </w:r>
      <w:r>
        <w:rPr>
          <w:rFonts w:ascii="Calibri" w:cs="Calibri" w:eastAsia="Calibri" w:hAnsi="Calibri"/>
          <w:b w:val="false"/>
          <w:bCs w:val="false"/>
          <w:i w:val="false"/>
          <w:iCs w:val="false"/>
          <w:strike w:val="false"/>
          <w:color w:val="1A1A1A"/>
          <w:sz w:val="22"/>
          <w:szCs w:val="22"/>
        </w:rPr>
        <w:t xml:space="preserve"> for the Biometric Index methodology. Section I defines the core and Morgan Stanley-proprietary indices. Section II provides a detailed, game-by-game biometric analysis of the Knicks' Finals campaign. Section III outlines the direct equity product applications that emerge from this framework. Section IV delivers strategic conclusions and product development recommendations. Appendices provide full scorecard data, signal logs, and methodology documentation.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F0F4FA"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Scope Note</w:t>
            </w:r>
          </w:p>
          <w:p>
            <w:pPr>
              <w:spacing w:after="140" w:line="360" w:lineRule="auto"/>
            </w:pPr>
            <w:r>
              <w:rPr>
                <w:rFonts w:ascii="Calibri" w:cs="Calibri" w:eastAsia="Calibri" w:hAnsi="Calibri"/>
                <w:b w:val="false"/>
                <w:bCs w:val="false"/>
                <w:i w:val="false"/>
                <w:iCs w:val="false"/>
                <w:strike w:val="false"/>
                <w:color w:val="1A1A1A"/>
                <w:sz w:val="22"/>
                <w:szCs w:val="22"/>
              </w:rPr>
              <w:t xml:space="preserve">All biometric data referenced in this whitepaper is derived from authorized data partnerships and modeled outputs consistent with applicable privacy regulations. No individually identified athlete health data is disclosed. Indices represent composite, model-derived scores. This document is for internal Morgan Stanley research purposes only.</w:t>
            </w:r>
          </w:p>
        </w:tc>
      </w:tr>
    </w:tbl>
    <w:p>
      <w:pPr>
        <w:spacing w:after="240" w:before="0"/>
      </w:pP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Section I — Biometric Index Framework</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1.1 Defining the Core Biometric Indices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Biometric Index Market framework is anchored by four core indices, each capturing a distinct dimension of athlete and franchise performance. These indices are designed to be both analytically rigorous and operationally translatable into financial instruments.</w:t>
      </w:r>
    </w:p>
    <w:p>
      <w:pPr>
        <w:pStyle w:val="Heading4"/>
        <w:spacing w:after="80" w:before="200" w:line="360" w:lineRule="auto"/>
      </w:pPr>
      <w:r>
        <w:rPr>
          <w:rFonts w:ascii="Calibri" w:cs="Calibri" w:eastAsia="Calibri" w:hAnsi="Calibri"/>
          <w:color w:val="0A2755"/>
          <w:sz w:val="22"/>
          <w:szCs w:val="22"/>
        </w:rPr>
        <w:t xml:space="preserve">BioQ Score (Biometric Quotient)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BioQ Score</w:t>
      </w:r>
      <w:r>
        <w:rPr>
          <w:rFonts w:ascii="Calibri" w:cs="Calibri" w:eastAsia="Calibri" w:hAnsi="Calibri"/>
          <w:b w:val="false"/>
          <w:bCs w:val="false"/>
          <w:i w:val="false"/>
          <w:iCs w:val="false"/>
          <w:strike w:val="false"/>
          <w:color w:val="1A1A1A"/>
          <w:sz w:val="22"/>
          <w:szCs w:val="22"/>
        </w:rPr>
        <w:t xml:space="preserve"> is the foundational individual-athlete metric within this framework. It is a composite score derived from a player's physiological markers, normalized across a standardized 100-point scale to enable cross-athlete and cross-team comparison. Input variables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Heart Rate Variability (HRV):</w:t>
      </w:r>
      <w:r>
        <w:rPr>
          <w:rFonts w:ascii="Calibri" w:cs="Calibri" w:eastAsia="Calibri" w:hAnsi="Calibri"/>
          <w:b w:val="false"/>
          <w:bCs w:val="false"/>
          <w:i w:val="false"/>
          <w:iCs w:val="false"/>
          <w:strike w:val="false"/>
          <w:color w:val="1A1A1A"/>
          <w:sz w:val="22"/>
          <w:szCs w:val="22"/>
        </w:rPr>
        <w:t xml:space="preserve"> Higher HRV correlates with superior cardiovascular adaptation and stress recovery — a direct predictor of sustained performance output over long playoff series.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VO2 Max:</w:t>
      </w:r>
      <w:r>
        <w:rPr>
          <w:rFonts w:ascii="Calibri" w:cs="Calibri" w:eastAsia="Calibri" w:hAnsi="Calibri"/>
          <w:b w:val="false"/>
          <w:bCs w:val="false"/>
          <w:i w:val="false"/>
          <w:iCs w:val="false"/>
          <w:strike w:val="false"/>
          <w:color w:val="1A1A1A"/>
          <w:sz w:val="22"/>
          <w:szCs w:val="22"/>
        </w:rPr>
        <w:t xml:space="preserve"> Maximum aerobic capacity, representing the ceiling of oxygen utilization during peak exertion — a proxy for endurance and late-game energy preservation.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Recovery Rate:</w:t>
      </w:r>
      <w:r>
        <w:rPr>
          <w:rFonts w:ascii="Calibri" w:cs="Calibri" w:eastAsia="Calibri" w:hAnsi="Calibri"/>
          <w:b w:val="false"/>
          <w:bCs w:val="false"/>
          <w:i w:val="false"/>
          <w:iCs w:val="false"/>
          <w:strike w:val="false"/>
          <w:color w:val="1A1A1A"/>
          <w:sz w:val="22"/>
          <w:szCs w:val="22"/>
        </w:rPr>
        <w:t xml:space="preserve"> The speed at which a player's physiological markers return to baseline following high-intensity output — critical in back-to-back game scenarios and short turnaround Finals schedules.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Neuromuscular Output:</w:t>
      </w:r>
      <w:r>
        <w:rPr>
          <w:rFonts w:ascii="Calibri" w:cs="Calibri" w:eastAsia="Calibri" w:hAnsi="Calibri"/>
          <w:b w:val="false"/>
          <w:bCs w:val="false"/>
          <w:i w:val="false"/>
          <w:iCs w:val="false"/>
          <w:strike w:val="false"/>
          <w:color w:val="1A1A1A"/>
          <w:sz w:val="22"/>
          <w:szCs w:val="22"/>
        </w:rPr>
        <w:t xml:space="preserve"> Force production and reaction time metrics derived from load monitoring systems, measuring the athlete's explosive and reactive physical capacity.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 BioQ Score above 85 is classified as </w:t>
      </w:r>
      <w:r>
        <w:rPr>
          <w:rFonts w:ascii="Calibri" w:cs="Calibri" w:eastAsia="Calibri" w:hAnsi="Calibri"/>
          <w:b w:val="false"/>
          <w:bCs w:val="false"/>
          <w:i/>
          <w:iCs/>
          <w:strike w:val="false"/>
          <w:color w:val="1A1A1A"/>
          <w:sz w:val="22"/>
          <w:szCs w:val="22"/>
        </w:rPr>
        <w:t xml:space="preserve">elite tier</w:t>
      </w:r>
      <w:r>
        <w:rPr>
          <w:rFonts w:ascii="Calibri" w:cs="Calibri" w:eastAsia="Calibri" w:hAnsi="Calibri"/>
          <w:b w:val="false"/>
          <w:bCs w:val="false"/>
          <w:i w:val="false"/>
          <w:iCs w:val="false"/>
          <w:strike w:val="false"/>
          <w:color w:val="1A1A1A"/>
          <w:sz w:val="22"/>
          <w:szCs w:val="22"/>
        </w:rPr>
        <w:t xml:space="preserve">. Above 90 is classified as </w:t>
      </w:r>
      <w:r>
        <w:rPr>
          <w:rFonts w:ascii="Calibri" w:cs="Calibri" w:eastAsia="Calibri" w:hAnsi="Calibri"/>
          <w:b w:val="false"/>
          <w:bCs w:val="false"/>
          <w:i/>
          <w:iCs/>
          <w:strike w:val="false"/>
          <w:color w:val="1A1A1A"/>
          <w:sz w:val="22"/>
          <w:szCs w:val="22"/>
        </w:rPr>
        <w:t xml:space="preserve">exceptional tier</w:t>
      </w:r>
      <w:r>
        <w:rPr>
          <w:rFonts w:ascii="Calibri" w:cs="Calibri" w:eastAsia="Calibri" w:hAnsi="Calibri"/>
          <w:b w:val="false"/>
          <w:bCs w:val="false"/>
          <w:i w:val="false"/>
          <w:iCs w:val="false"/>
          <w:strike w:val="false"/>
          <w:color w:val="1A1A1A"/>
          <w:sz w:val="22"/>
          <w:szCs w:val="22"/>
        </w:rPr>
        <w:t xml:space="preserve">, reserved for peak physiological performers. The score is recalibrated on a rolling 14-day basis using the most recent biometric feed 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BioQ Score Range</w:t>
            </w:r>
          </w:p>
        </w:tc>
        <w:tc>
          <w:tcPr>
            <w:tcW w:type="pct" w:w="4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Classification</w:t>
            </w:r>
          </w:p>
        </w:tc>
        <w:tc>
          <w:tcPr>
            <w:tcW w:type="pct" w:w="4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Equity Signal Implication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90–100</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Exceptional Tier</w:t>
            </w:r>
          </w:p>
        </w:tc>
        <w:tc>
          <w:tcPr>
            <w:tcW w:type="pct" w:w="40%"/>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 / Elite Premium</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80–89</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Elite Tier</w:t>
            </w:r>
          </w:p>
        </w:tc>
        <w:tc>
          <w:tcPr>
            <w:tcW w:type="pct" w:w="40%"/>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 / Performance Premium</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70–79</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Above Average</w:t>
            </w:r>
          </w:p>
        </w:tc>
        <w:tc>
          <w:tcPr>
            <w:tcW w:type="pct" w:w="40%"/>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HOLD / Stable Signal</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60–69</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Average</w:t>
            </w:r>
          </w:p>
        </w:tc>
        <w:tc>
          <w:tcPr>
            <w:tcW w:type="pct" w:w="40%"/>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NEUTRAL / Monitor</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Below 60</w:t>
            </w:r>
          </w:p>
        </w:tc>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Below Average / Injury Watch</w:t>
            </w:r>
          </w:p>
        </w:tc>
        <w:tc>
          <w:tcPr>
            <w:tcW w:type="pct" w:w="40%"/>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SHORT / Risk Elevated</w:t>
            </w:r>
          </w:p>
        </w:tc>
      </w:tr>
    </w:tbl>
    <w:p>
      <w:pPr>
        <w:spacing w:after="200" w:before="0"/>
      </w:pPr>
    </w:p>
    <w:p>
      <w:pPr>
        <w:pStyle w:val="Heading4"/>
        <w:spacing w:after="80" w:before="200" w:line="360" w:lineRule="auto"/>
      </w:pPr>
      <w:r>
        <w:rPr>
          <w:rFonts w:ascii="Calibri" w:cs="Calibri" w:eastAsia="Calibri" w:hAnsi="Calibri"/>
          <w:color w:val="0A2755"/>
          <w:sz w:val="22"/>
          <w:szCs w:val="22"/>
        </w:rPr>
        <w:t xml:space="preserve">Clutch Biometric Rating (CBR)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Clutch Biometric Rating</w:t>
      </w:r>
      <w:r>
        <w:rPr>
          <w:rFonts w:ascii="Calibri" w:cs="Calibri" w:eastAsia="Calibri" w:hAnsi="Calibri"/>
          <w:b w:val="false"/>
          <w:bCs w:val="false"/>
          <w:i w:val="false"/>
          <w:iCs w:val="false"/>
          <w:strike w:val="false"/>
          <w:color w:val="1A1A1A"/>
          <w:sz w:val="22"/>
          <w:szCs w:val="22"/>
        </w:rPr>
        <w:t xml:space="preserve"> is the most operationally significant index within this framework for sports equity derivative pricing. It measures a player's performance output specifically under high-cortisol, high-stakes conditions — defined as game situations within 5 points during the final 5 minutes of regulation or any overtime period. CBR is derived from four component inputs: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Cortisol Response Profile:</w:t>
      </w:r>
      <w:r>
        <w:rPr>
          <w:rFonts w:ascii="Calibri" w:cs="Calibri" w:eastAsia="Calibri" w:hAnsi="Calibri"/>
          <w:b w:val="false"/>
          <w:bCs w:val="false"/>
          <w:i w:val="false"/>
          <w:iCs w:val="false"/>
          <w:strike w:val="false"/>
          <w:color w:val="1A1A1A"/>
          <w:sz w:val="22"/>
          <w:szCs w:val="22"/>
        </w:rPr>
        <w:t xml:space="preserve"> The athlete's measured biological stress response under late-game pressure — elite performers show controlled cortisol elevation, preserving decision-making clarity under duress.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Decision Latency:</w:t>
      </w:r>
      <w:r>
        <w:rPr>
          <w:rFonts w:ascii="Calibri" w:cs="Calibri" w:eastAsia="Calibri" w:hAnsi="Calibri"/>
          <w:b w:val="false"/>
          <w:bCs w:val="false"/>
          <w:i w:val="false"/>
          <w:iCs w:val="false"/>
          <w:strike w:val="false"/>
          <w:color w:val="1A1A1A"/>
          <w:sz w:val="22"/>
          <w:szCs w:val="22"/>
        </w:rPr>
        <w:t xml:space="preserve"> The measurable delay between stimulus (defensive pressure, shot opportunity) and motor response — lower latency in clutch moments correlates with superior late-game execution.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Shot Release Time:</w:t>
      </w:r>
      <w:r>
        <w:rPr>
          <w:rFonts w:ascii="Calibri" w:cs="Calibri" w:eastAsia="Calibri" w:hAnsi="Calibri"/>
          <w:b w:val="false"/>
          <w:bCs w:val="false"/>
          <w:i w:val="false"/>
          <w:iCs w:val="false"/>
          <w:strike w:val="false"/>
          <w:color w:val="1A1A1A"/>
          <w:sz w:val="22"/>
          <w:szCs w:val="22"/>
        </w:rPr>
        <w:t xml:space="preserve"> Biomechanical consistency of shooting mechanics under fatigue and defensive pressure.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Historical Clutch Output:</w:t>
      </w:r>
      <w:r>
        <w:rPr>
          <w:rFonts w:ascii="Calibri" w:cs="Calibri" w:eastAsia="Calibri" w:hAnsi="Calibri"/>
          <w:b w:val="false"/>
          <w:bCs w:val="false"/>
          <w:i w:val="false"/>
          <w:iCs w:val="false"/>
          <w:strike w:val="false"/>
          <w:color w:val="1A1A1A"/>
          <w:sz w:val="22"/>
          <w:szCs w:val="22"/>
        </w:rPr>
        <w:t xml:space="preserve"> Multi-season performance record in defined clutch situations, weighted toward recency via exponential decay function.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 CBR above 90 is exceptionally rare — fewer than 3% of NBA players in the dataset exceed this threshold — and represents a meaningful equity premium event when detected.</w:t>
      </w:r>
    </w:p>
    <w:p>
      <w:pPr>
        <w:pStyle w:val="Heading4"/>
        <w:spacing w:after="80" w:before="200" w:line="360" w:lineRule="auto"/>
      </w:pPr>
      <w:r>
        <w:rPr>
          <w:rFonts w:ascii="Calibri" w:cs="Calibri" w:eastAsia="Calibri" w:hAnsi="Calibri"/>
          <w:color w:val="0A2755"/>
          <w:sz w:val="22"/>
          <w:szCs w:val="22"/>
        </w:rPr>
        <w:t xml:space="preserve">Roster Cohesion Index (RCI)</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Roster Cohesion Index</w:t>
      </w:r>
      <w:r>
        <w:rPr>
          <w:rFonts w:ascii="Calibri" w:cs="Calibri" w:eastAsia="Calibri" w:hAnsi="Calibri"/>
          <w:b w:val="false"/>
          <w:bCs w:val="false"/>
          <w:i w:val="false"/>
          <w:iCs w:val="false"/>
          <w:strike w:val="false"/>
          <w:color w:val="1A1A1A"/>
          <w:sz w:val="22"/>
          <w:szCs w:val="22"/>
        </w:rPr>
        <w:t xml:space="preserve"> is a team-level biometric synchrony metric measuring the degree of physiological alignment between teammates during high-intensity performance sequences. Unlike individual metrics, RCI captures the emergent collective capacity of a roster unit. It is derived from: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Shared Fatigue Curves:</w:t>
      </w:r>
      <w:r>
        <w:rPr>
          <w:rFonts w:ascii="Calibri" w:cs="Calibri" w:eastAsia="Calibri" w:hAnsi="Calibri"/>
          <w:b w:val="false"/>
          <w:bCs w:val="false"/>
          <w:i w:val="false"/>
          <w:iCs w:val="false"/>
          <w:strike w:val="false"/>
          <w:color w:val="1A1A1A"/>
          <w:sz w:val="22"/>
          <w:szCs w:val="22"/>
        </w:rPr>
        <w:t xml:space="preserve"> Alignment of player fatigue accumulation and recovery cycles across the roster — highly cohesive teams show synchronized degradation and recovery, enabling collective peak output at critical moments.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Synchronized Recovery Cycles:</w:t>
      </w:r>
      <w:r>
        <w:rPr>
          <w:rFonts w:ascii="Calibri" w:cs="Calibri" w:eastAsia="Calibri" w:hAnsi="Calibri"/>
          <w:b w:val="false"/>
          <w:bCs w:val="false"/>
          <w:i w:val="false"/>
          <w:iCs w:val="false"/>
          <w:strike w:val="false"/>
          <w:color w:val="1A1A1A"/>
          <w:sz w:val="22"/>
          <w:szCs w:val="22"/>
        </w:rPr>
        <w:t xml:space="preserve"> Degree to which rest and recovery protocols produce aligned physiological readiness states across starters, enabling more predictable rotation performance.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Collective Stress-Response Data:</w:t>
      </w:r>
      <w:r>
        <w:rPr>
          <w:rFonts w:ascii="Calibri" w:cs="Calibri" w:eastAsia="Calibri" w:hAnsi="Calibri"/>
          <w:b w:val="false"/>
          <w:bCs w:val="false"/>
          <w:i w:val="false"/>
          <w:iCs w:val="false"/>
          <w:strike w:val="false"/>
          <w:color w:val="1A1A1A"/>
          <w:sz w:val="22"/>
          <w:szCs w:val="22"/>
        </w:rPr>
        <w:t xml:space="preserve"> Team-level aggregation of individual cortisol response profiles during high-pressure sequences — strong teams show distributed, rather than concentrated, stress absorption.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RCI is expressed on a 0–100 scale. An RCI above 85 is classified as a </w:t>
      </w:r>
      <w:r>
        <w:rPr>
          <w:rFonts w:ascii="Calibri" w:cs="Calibri" w:eastAsia="Calibri" w:hAnsi="Calibri"/>
          <w:b w:val="false"/>
          <w:bCs w:val="false"/>
          <w:i/>
          <w:iCs/>
          <w:strike w:val="false"/>
          <w:color w:val="1A1A1A"/>
          <w:sz w:val="22"/>
          <w:szCs w:val="22"/>
        </w:rPr>
        <w:t xml:space="preserve">Championship-Grade Cohesion Level</w:t>
      </w:r>
      <w:r>
        <w:rPr>
          <w:rFonts w:ascii="Calibri" w:cs="Calibri" w:eastAsia="Calibri" w:hAnsi="Calibri"/>
          <w:b w:val="false"/>
          <w:bCs w:val="false"/>
          <w:i w:val="false"/>
          <w:iCs w:val="false"/>
          <w:strike w:val="false"/>
          <w:color w:val="1A1A1A"/>
          <w:sz w:val="22"/>
          <w:szCs w:val="22"/>
        </w:rPr>
        <w:t xml:space="preserve">, indicating the roster is operating as a physiologically synchronized unit.</w:t>
      </w:r>
    </w:p>
    <w:p>
      <w:pPr>
        <w:pStyle w:val="Heading4"/>
        <w:spacing w:after="80" w:before="200" w:line="360" w:lineRule="auto"/>
      </w:pPr>
      <w:r>
        <w:rPr>
          <w:rFonts w:ascii="Calibri" w:cs="Calibri" w:eastAsia="Calibri" w:hAnsi="Calibri"/>
          <w:color w:val="0A2755"/>
          <w:sz w:val="22"/>
          <w:szCs w:val="22"/>
        </w:rPr>
        <w:t xml:space="preserve">Franchise Vitality Index (FVI)</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Franchise Vitality Index</w:t>
      </w:r>
      <w:r>
        <w:rPr>
          <w:rFonts w:ascii="Calibri" w:cs="Calibri" w:eastAsia="Calibri" w:hAnsi="Calibri"/>
          <w:b w:val="false"/>
          <w:bCs w:val="false"/>
          <w:i w:val="false"/>
          <w:iCs w:val="false"/>
          <w:strike w:val="false"/>
          <w:color w:val="1A1A1A"/>
          <w:sz w:val="22"/>
          <w:szCs w:val="22"/>
        </w:rPr>
        <w:t xml:space="preserve"> operates as the macro-level equity signal within the Biometric Index Market framework. It aggregates multiple data streams — including BioQ trends, win probability correlation, media sentiment biometrics, and fan engagement biometrics — into a single franchise equity health score expressed on a 1–1,000 scale. The FVI is the primary instrument used for franchise-level equity derivative pricing and long/short positioning recommendations. An FVI of 1,000 represents maximum franchise equity health, attained exclusively upon championship achievement.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FVI Range</w:t>
            </w:r>
          </w:p>
        </w:tc>
        <w:tc>
          <w:tcPr>
            <w:tcW w:type="pct" w:w="4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Franchise Equity Status</w:t>
            </w:r>
          </w:p>
        </w:tc>
        <w:tc>
          <w:tcPr>
            <w:tcW w:type="pct" w:w="3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901–1000</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Championship / Maximum Equity</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MAXIMUM — Championship Premium</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751–900</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Contender Grade</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601–750</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Above Average — Playoff Competitive</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401–600</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Average — Developmental</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HOLD / NEUTRAL</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Below 400</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Below Average — Rebuilding</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SHORT / Avoid</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1.2 Morgan Stanley Variant Indices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In addition to the four core Biometric Indices, the Morgan Stanley Equities team has developed three proprietary variant indices that apply the core biometric framework specifically to financial product construction and institutional trading applications.</w:t>
      </w:r>
    </w:p>
    <w:p>
      <w:pPr>
        <w:pStyle w:val="Heading4"/>
        <w:spacing w:after="80" w:before="200" w:line="360" w:lineRule="auto"/>
      </w:pPr>
      <w:r>
        <w:rPr>
          <w:rFonts w:ascii="Calibri" w:cs="Calibri" w:eastAsia="Calibri" w:hAnsi="Calibri"/>
          <w:color w:val="0A2755"/>
          <w:sz w:val="22"/>
          <w:szCs w:val="22"/>
        </w:rPr>
        <w:t xml:space="preserve">MS-SportsAlpha Index</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MS-SportsAlpha Index</w:t>
      </w:r>
      <w:r>
        <w:rPr>
          <w:rFonts w:ascii="Calibri" w:cs="Calibri" w:eastAsia="Calibri" w:hAnsi="Calibri"/>
          <w:b w:val="false"/>
          <w:bCs w:val="false"/>
          <w:i w:val="false"/>
          <w:iCs w:val="false"/>
          <w:strike w:val="false"/>
          <w:color w:val="1A1A1A"/>
          <w:sz w:val="22"/>
          <w:szCs w:val="22"/>
        </w:rPr>
        <w:t xml:space="preserve"> is Morgan Stanley's primary proprietary sports equity signal instrument. It weights BioQ and CBR scores against market-implied win probabilities derived from sports futures markets, isolating the biometric-driven </w:t>
      </w:r>
      <w:r>
        <w:rPr>
          <w:rFonts w:ascii="Calibri" w:cs="Calibri" w:eastAsia="Calibri" w:hAnsi="Calibri"/>
          <w:b w:val="false"/>
          <w:bCs w:val="false"/>
          <w:i/>
          <w:iCs/>
          <w:strike w:val="false"/>
          <w:color w:val="1A1A1A"/>
          <w:sz w:val="22"/>
          <w:szCs w:val="22"/>
        </w:rPr>
        <w:t xml:space="preserve">alpha component</w:t>
      </w:r>
      <w:r>
        <w:rPr>
          <w:rFonts w:ascii="Calibri" w:cs="Calibri" w:eastAsia="Calibri" w:hAnsi="Calibri"/>
          <w:b w:val="false"/>
          <w:bCs w:val="false"/>
          <w:i w:val="false"/>
          <w:iCs w:val="false"/>
          <w:strike w:val="false"/>
          <w:color w:val="1A1A1A"/>
          <w:sz w:val="22"/>
          <w:szCs w:val="22"/>
        </w:rPr>
        <w:t xml:space="preserve"> that is not already priced into prevailing market expectations. When BioQ and CBR readings indicate superior physiological capacity relative to the market-implied probability, the MS-SportsAlpha Index generates a directional signal. Signal strength is expressed in standard deviations from mean, with readings above +1.5 sigma classified as actionable LONG positions.</w:t>
      </w:r>
    </w:p>
    <w:p>
      <w:pPr>
        <w:pStyle w:val="Heading4"/>
        <w:spacing w:after="80" w:before="200" w:line="360" w:lineRule="auto"/>
      </w:pPr>
      <w:r>
        <w:rPr>
          <w:rFonts w:ascii="Calibri" w:cs="Calibri" w:eastAsia="Calibri" w:hAnsi="Calibri"/>
          <w:color w:val="0A2755"/>
          <w:sz w:val="22"/>
          <w:szCs w:val="22"/>
        </w:rPr>
        <w:t xml:space="preserve">MS-ResilienceFactor (RF)</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MS-ResilienceFactor</w:t>
      </w:r>
      <w:r>
        <w:rPr>
          <w:rFonts w:ascii="Calibri" w:cs="Calibri" w:eastAsia="Calibri" w:hAnsi="Calibri"/>
          <w:b w:val="false"/>
          <w:bCs w:val="false"/>
          <w:i w:val="false"/>
          <w:iCs w:val="false"/>
          <w:strike w:val="false"/>
          <w:color w:val="1A1A1A"/>
          <w:sz w:val="22"/>
          <w:szCs w:val="22"/>
        </w:rPr>
        <w:t xml:space="preserve"> is a Morgan Stanley-specific index tracking a team's </w:t>
      </w:r>
      <w:r>
        <w:rPr>
          <w:rFonts w:ascii="Calibri" w:cs="Calibri" w:eastAsia="Calibri" w:hAnsi="Calibri"/>
          <w:b w:val="false"/>
          <w:bCs w:val="false"/>
          <w:i/>
          <w:iCs/>
          <w:strike w:val="false"/>
          <w:color w:val="1A1A1A"/>
          <w:sz w:val="22"/>
          <w:szCs w:val="22"/>
        </w:rPr>
        <w:t xml:space="preserve">comeback capacity</w:t>
      </w:r>
      <w:r>
        <w:rPr>
          <w:rFonts w:ascii="Calibri" w:cs="Calibri" w:eastAsia="Calibri" w:hAnsi="Calibri"/>
          <w:b w:val="false"/>
          <w:bCs w:val="false"/>
          <w:i w:val="false"/>
          <w:iCs w:val="false"/>
          <w:strike w:val="false"/>
          <w:color w:val="1A1A1A"/>
          <w:sz w:val="22"/>
          <w:szCs w:val="22"/>
        </w:rPr>
        <w:t xml:space="preserve"> using physiological data collected specifically from trailing-score scenarios. Teams generate RF readings based on their historical and real-time biometric profile when facing double-digit deficits. A high RF reading (above 4.0x) indicates that the team's physiological capacity to perform under adversity materially exceeds the market's implied probability of recovery — creating a systematic long opportunity. The RF proved to be the single most powerful hedge and re-entry signal during the 2026 Finals.</w:t>
      </w:r>
    </w:p>
    <w:p>
      <w:pPr>
        <w:pStyle w:val="Heading4"/>
        <w:spacing w:after="80" w:before="200" w:line="360" w:lineRule="auto"/>
      </w:pPr>
      <w:r>
        <w:rPr>
          <w:rFonts w:ascii="Calibri" w:cs="Calibri" w:eastAsia="Calibri" w:hAnsi="Calibri"/>
          <w:color w:val="0A2755"/>
          <w:sz w:val="22"/>
          <w:szCs w:val="22"/>
        </w:rPr>
        <w:t xml:space="preserve">MS-StarPower Index</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w:t>
      </w:r>
      <w:r>
        <w:rPr>
          <w:rFonts w:ascii="Calibri" w:cs="Calibri" w:eastAsia="Calibri" w:hAnsi="Calibri"/>
          <w:b/>
          <w:bCs/>
          <w:i w:val="false"/>
          <w:iCs w:val="false"/>
          <w:strike w:val="false"/>
          <w:color w:val="1A1A1A"/>
          <w:sz w:val="22"/>
          <w:szCs w:val="22"/>
        </w:rPr>
        <w:t xml:space="preserve">MS-StarPower Index</w:t>
      </w:r>
      <w:r>
        <w:rPr>
          <w:rFonts w:ascii="Calibri" w:cs="Calibri" w:eastAsia="Calibri" w:hAnsi="Calibri"/>
          <w:b w:val="false"/>
          <w:bCs w:val="false"/>
          <w:i w:val="false"/>
          <w:iCs w:val="false"/>
          <w:strike w:val="false"/>
          <w:color w:val="1A1A1A"/>
          <w:sz w:val="22"/>
          <w:szCs w:val="22"/>
        </w:rPr>
        <w:t xml:space="preserve"> is an individual player biometric valuation model that converts a player's BioQ score, brand biometrics (media presence, search volume, social sentiment), and CBR rating into an equity-equivalent "StarPower" price per share. This metric underpins the proposed BioQ Performance Bond product suite, enabling institutional investors to take structured, fixed-coupon exposure to individual athlete performance trajectories.</w:t>
      </w:r>
    </w:p>
    <w:p>
      <w:pPr>
        <w:pStyle w:val="Heading3"/>
        <w:spacing w:after="80" w:before="280" w:line="312" w:lineRule="auto"/>
      </w:pPr>
      <w:r>
        <w:rPr>
          <w:rFonts w:ascii="Calibri" w:cs="Calibri" w:eastAsia="Calibri" w:hAnsi="Calibri"/>
          <w:color w:val="1A3A6B"/>
          <w:sz w:val="26"/>
          <w:szCs w:val="26"/>
        </w:rPr>
        <w:t xml:space="preserve">1.3 Data Sources &amp; Methodology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Biometric Index Market framework draws on a multi-source data architecture designed for institutional-grade analytical reliability. Primary data sources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Second Spectrum Advanced Tracking Data:</w:t>
      </w:r>
      <w:r>
        <w:rPr>
          <w:rFonts w:ascii="Calibri" w:cs="Calibri" w:eastAsia="Calibri" w:hAnsi="Calibri"/>
          <w:b w:val="false"/>
          <w:bCs w:val="false"/>
          <w:i w:val="false"/>
          <w:iCs w:val="false"/>
          <w:strike w:val="false"/>
          <w:color w:val="1A1A1A"/>
          <w:sz w:val="22"/>
          <w:szCs w:val="22"/>
        </w:rPr>
        <w:t xml:space="preserve"> The NBA's official optical tracking system, providing sub-meter spatial positioning and velocity data for every player and the ball at 25 frames per second — the foundation for neuromuscular output and decision latency modeling.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NBA Wearable Biometric APIs:</w:t>
      </w:r>
      <w:r>
        <w:rPr>
          <w:rFonts w:ascii="Calibri" w:cs="Calibri" w:eastAsia="Calibri" w:hAnsi="Calibri"/>
          <w:b w:val="false"/>
          <w:bCs w:val="false"/>
          <w:i w:val="false"/>
          <w:iCs w:val="false"/>
          <w:strike w:val="false"/>
          <w:color w:val="1A1A1A"/>
          <w:sz w:val="22"/>
          <w:szCs w:val="22"/>
        </w:rPr>
        <w:t xml:space="preserve"> Authorized biometric feeds from team-embedded wearable monitoring programs, providing heart rate, HRV, exertion load, and recovery status data on a game-by-game basis.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Machine Learning Predictive Modeling:</w:t>
      </w:r>
      <w:r>
        <w:rPr>
          <w:rFonts w:ascii="Calibri" w:cs="Calibri" w:eastAsia="Calibri" w:hAnsi="Calibri"/>
          <w:b w:val="false"/>
          <w:bCs w:val="false"/>
          <w:i w:val="false"/>
          <w:iCs w:val="false"/>
          <w:strike w:val="false"/>
          <w:color w:val="1A1A1A"/>
          <w:sz w:val="22"/>
          <w:szCs w:val="22"/>
        </w:rPr>
        <w:t xml:space="preserve"> Gradient-boosted ensemble models trained on five-year player biometric histories, calibrated against outcome data to generate forward-looking BioQ and CBR projections with 72-hour and 7-day horizons.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Sentiment NLP on Team Cohesion Signals:</w:t>
      </w:r>
      <w:r>
        <w:rPr>
          <w:rFonts w:ascii="Calibri" w:cs="Calibri" w:eastAsia="Calibri" w:hAnsi="Calibri"/>
          <w:b w:val="false"/>
          <w:bCs w:val="false"/>
          <w:i w:val="false"/>
          <w:iCs w:val="false"/>
          <w:strike w:val="false"/>
          <w:color w:val="1A1A1A"/>
          <w:sz w:val="22"/>
          <w:szCs w:val="22"/>
        </w:rPr>
        <w:t xml:space="preserve"> Natural language processing applied to press conference transcripts, post-game communications, and publicly available team interaction data — used as a secondary input to the RCI calculation, capturing behavioral cohesion proxies.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Financial Options Pricing Adaptation:</w:t>
      </w:r>
      <w:r>
        <w:rPr>
          <w:rFonts w:ascii="Calibri" w:cs="Calibri" w:eastAsia="Calibri" w:hAnsi="Calibri"/>
          <w:b w:val="false"/>
          <w:bCs w:val="false"/>
          <w:i w:val="false"/>
          <w:iCs w:val="false"/>
          <w:strike w:val="false"/>
          <w:color w:val="1A1A1A"/>
          <w:sz w:val="22"/>
          <w:szCs w:val="22"/>
        </w:rPr>
        <w:t xml:space="preserve"> Black-Scholes-derived probability surfaces adapted for sports outcome modeling, with implied volatility surfaces constructed using CBR variance across playoff rounds to price biometric-linked derivatives.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F0F4FA"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Methodology Note</w:t>
            </w:r>
          </w:p>
          <w:p>
            <w:pPr>
              <w:spacing w:after="140" w:line="360" w:lineRule="auto"/>
            </w:pPr>
            <w:r>
              <w:rPr>
                <w:rFonts w:ascii="Calibri" w:cs="Calibri" w:eastAsia="Calibri" w:hAnsi="Calibri"/>
                <w:b w:val="false"/>
                <w:bCs w:val="false"/>
                <w:i w:val="false"/>
                <w:iCs w:val="false"/>
                <w:strike w:val="false"/>
                <w:color w:val="1A1A1A"/>
                <w:sz w:val="22"/>
                <w:szCs w:val="22"/>
              </w:rPr>
              <w:t xml:space="preserve">All models in this framework have been backtested against a 5-year historical NBA dataset (2021–2025 seasons). Live deployment validation is represented by this 2026 Knicks Finals case study. An extended backtesting program across 10-year data and additional sports leagues (NFL, Premier League) is recommended prior to full-scale commercialization.</w:t>
            </w:r>
          </w:p>
        </w:tc>
      </w:tr>
    </w:tbl>
    <w:p>
      <w:pPr>
        <w:spacing w:after="240" w:before="0"/>
      </w:pP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Section II — Parametric &amp; Nielsen Sports Data Ecosystem</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2.1 What Is the Parametric Data Layer?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Parametric finance replaces static historical averages with dynamic, condition-triggered data inputs. In traditional equity modeling, valuations rely on lagging indicators — earnings, revenue, P/E ratios. The Parametric Sports Biometric layer inverts this: it uses real-time physiological and behavioral parameters as </w:t>
      </w:r>
      <w:r>
        <w:rPr>
          <w:rFonts w:ascii="Calibri" w:cs="Calibri" w:eastAsia="Calibri" w:hAnsi="Calibri"/>
          <w:b/>
          <w:bCs/>
          <w:i w:val="false"/>
          <w:iCs w:val="false"/>
          <w:strike w:val="false"/>
          <w:color w:val="1A1A1A"/>
          <w:sz w:val="22"/>
          <w:szCs w:val="22"/>
        </w:rPr>
        <w:t xml:space="preserve">leading indicators</w:t>
      </w:r>
      <w:r>
        <w:rPr>
          <w:rFonts w:ascii="Calibri" w:cs="Calibri" w:eastAsia="Calibri" w:hAnsi="Calibri"/>
          <w:b w:val="false"/>
          <w:bCs w:val="false"/>
          <w:i w:val="false"/>
          <w:iCs w:val="false"/>
          <w:strike w:val="false"/>
          <w:color w:val="1A1A1A"/>
          <w:sz w:val="22"/>
          <w:szCs w:val="22"/>
        </w:rPr>
        <w:t xml:space="preserve"> that update valuation models continuously throughout a season, playoff run, or championship event.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For the Biometric Index Market initiative, Morgan Stanley adopts a three-layer parametric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Layer</w:t>
            </w:r>
          </w:p>
        </w:tc>
        <w:tc>
          <w:tcPr>
            <w:tcW w:type="pct" w:w="1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Name</w:t>
            </w:r>
          </w:p>
        </w:tc>
        <w:tc>
          <w:tcPr>
            <w:tcW w:type="pct" w:w="5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Description</w:t>
            </w:r>
          </w:p>
        </w:tc>
        <w:tc>
          <w:tcPr>
            <w:tcW w:type="pct" w:w="2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Primary Sources</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1</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Raw Biometric Feed</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Wearable sensor data: HRV, VO2 max, neuromuscular load, sleep recovery scores, cortisol proxy via HRV variance</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WHOOP 5.0, Catapult Vector S7, NBA Second Spectrum</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2</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Parametric Normalizer</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Converts raw biometric signals into normalized index-ready scores. Applies sport-specific adjustments: positional fatigue curves, playoff-intensity multipliers, altitude/travel corrections</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Internal MS Normalizer Engine</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Layer 3</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Equity Signal Engine</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Morgan Stanley proprietary layer. Translates normalized biometric parameters into equity-style signals (LONG, SHORT, HOLD, HEDGE) mapped to franchise valuation instruments and Sports Equity derivatives</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 Proprietary</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parametric stack enables dynamic repricing of sports equity signals within </w:t>
      </w:r>
      <w:r>
        <w:rPr>
          <w:rFonts w:ascii="Calibri" w:cs="Calibri" w:eastAsia="Calibri" w:hAnsi="Calibri"/>
          <w:b/>
          <w:bCs/>
          <w:i w:val="false"/>
          <w:iCs w:val="false"/>
          <w:strike w:val="false"/>
          <w:color w:val="1A1A1A"/>
          <w:sz w:val="22"/>
          <w:szCs w:val="22"/>
        </w:rPr>
        <w:t xml:space="preserve">minutes of game events</w:t>
      </w:r>
      <w:r>
        <w:rPr>
          <w:rFonts w:ascii="Calibri" w:cs="Calibri" w:eastAsia="Calibri" w:hAnsi="Calibri"/>
          <w:b w:val="false"/>
          <w:bCs w:val="false"/>
          <w:i w:val="false"/>
          <w:iCs w:val="false"/>
          <w:strike w:val="false"/>
          <w:color w:val="1A1A1A"/>
          <w:sz w:val="22"/>
          <w:szCs w:val="22"/>
        </w:rPr>
        <w:t xml:space="preserve"> — a fundamental departure from weekly or quarterly valuation cycles in traditional sports finance.</w:t>
      </w:r>
    </w:p>
    <w:p>
      <w:pPr>
        <w:pStyle w:val="Heading3"/>
        <w:spacing w:after="80" w:before="280" w:line="312" w:lineRule="auto"/>
      </w:pPr>
      <w:r>
        <w:rPr>
          <w:rFonts w:ascii="Calibri" w:cs="Calibri" w:eastAsia="Calibri" w:hAnsi="Calibri"/>
          <w:color w:val="1A3A6B"/>
          <w:sz w:val="26"/>
          <w:szCs w:val="26"/>
        </w:rPr>
        <w:t xml:space="preserve">2.2 Nielsen Sports Data Ecosystem Integration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Nielsen Sports is the global leader in sponsorship analytics, fan intelligence, and sports media valuation. For the Biometric Index Market framework, Nielsen Sports provides three critical data streams that complement the biometric parametric layer.</w:t>
      </w:r>
    </w:p>
    <w:p>
      <w:pPr>
        <w:pStyle w:val="Heading4"/>
        <w:spacing w:after="80" w:before="200" w:line="360" w:lineRule="auto"/>
      </w:pPr>
      <w:r>
        <w:rPr>
          <w:rFonts w:ascii="Calibri" w:cs="Calibri" w:eastAsia="Calibri" w:hAnsi="Calibri"/>
          <w:color w:val="0A2755"/>
          <w:sz w:val="22"/>
          <w:szCs w:val="22"/>
        </w:rPr>
        <w:t xml:space="preserve">Stream 1 — Sponsorship Media Valuation (SMV)</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Nielsen's AI-powered SMV engine quantifies the fair market value of sports sponsorships by combining expert analysis with deep audience data. For the Knicks 2026 Finals, Nielsen SMV tracked real-time logo exposure across broadcast, digital, and social platforms. Finals logo exposure generated an estimated </w:t>
      </w:r>
      <w:r>
        <w:rPr>
          <w:rFonts w:ascii="Calibri" w:cs="Calibri" w:eastAsia="Calibri" w:hAnsi="Calibri"/>
          <w:b/>
          <w:bCs/>
          <w:i w:val="false"/>
          <w:iCs w:val="false"/>
          <w:strike w:val="false"/>
          <w:color w:val="1A1A1A"/>
          <w:sz w:val="22"/>
          <w:szCs w:val="22"/>
        </w:rPr>
        <w:t xml:space="preserve">$347M in media value</w:t>
      </w:r>
      <w:r>
        <w:rPr>
          <w:rFonts w:ascii="Calibri" w:cs="Calibri" w:eastAsia="Calibri" w:hAnsi="Calibri"/>
          <w:b w:val="false"/>
          <w:bCs w:val="false"/>
          <w:i w:val="false"/>
          <w:iCs w:val="false"/>
          <w:strike w:val="false"/>
          <w:color w:val="1A1A1A"/>
          <w:sz w:val="22"/>
          <w:szCs w:val="22"/>
        </w:rPr>
        <w:t xml:space="preserve"> — a key input for the Franchise Vitality Index (FVI) calculation. The SMV feed updates the FVI's brand biometric sub-component in real time as games air.</w:t>
      </w:r>
    </w:p>
    <w:p>
      <w:pPr>
        <w:pStyle w:val="Heading4"/>
        <w:spacing w:after="80" w:before="200" w:line="360" w:lineRule="auto"/>
      </w:pPr>
      <w:r>
        <w:rPr>
          <w:rFonts w:ascii="Calibri" w:cs="Calibri" w:eastAsia="Calibri" w:hAnsi="Calibri"/>
          <w:color w:val="0A2755"/>
          <w:sz w:val="22"/>
          <w:szCs w:val="22"/>
        </w:rPr>
        <w:t xml:space="preserve">Stream 2 — Fan Intelligence &amp; Sentiment Biometrics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Nielsen's fan insight platform captures fan engagement, attitudes, behaviors, and perceptions across what fans watch, listen to, and buy. For biometric index purposes, this data is processed as a behavioral biometric layer — crowd sentiment, regional fan engagement spikes, and social listening signals are converted into a </w:t>
      </w:r>
      <w:r>
        <w:rPr>
          <w:rFonts w:ascii="Calibri" w:cs="Calibri" w:eastAsia="Calibri" w:hAnsi="Calibri"/>
          <w:b/>
          <w:bCs/>
          <w:i w:val="false"/>
          <w:iCs w:val="false"/>
          <w:strike w:val="false"/>
          <w:color w:val="1A1A1A"/>
          <w:sz w:val="22"/>
          <w:szCs w:val="22"/>
        </w:rPr>
        <w:t xml:space="preserve">Fan Sentiment Score (FSS)</w:t>
      </w:r>
      <w:r>
        <w:rPr>
          <w:rFonts w:ascii="Calibri" w:cs="Calibri" w:eastAsia="Calibri" w:hAnsi="Calibri"/>
          <w:b w:val="false"/>
          <w:bCs w:val="false"/>
          <w:i w:val="false"/>
          <w:iCs w:val="false"/>
          <w:strike w:val="false"/>
          <w:color w:val="1A1A1A"/>
          <w:sz w:val="22"/>
          <w:szCs w:val="22"/>
        </w:rPr>
        <w:t xml:space="preserve"> that feeds the Franchise Vitality Index. During the Knicks' 2026 Finals run, FSS peaked at </w:t>
      </w:r>
      <w:r>
        <w:rPr>
          <w:rFonts w:ascii="Calibri" w:cs="Calibri" w:eastAsia="Calibri" w:hAnsi="Calibri"/>
          <w:b/>
          <w:bCs/>
          <w:i w:val="false"/>
          <w:iCs w:val="false"/>
          <w:strike w:val="false"/>
          <w:color w:val="1A1A1A"/>
          <w:sz w:val="22"/>
          <w:szCs w:val="22"/>
        </w:rPr>
        <w:t xml:space="preserve">94.3/100 in Game 4</w:t>
      </w:r>
      <w:r>
        <w:rPr>
          <w:rFonts w:ascii="Calibri" w:cs="Calibri" w:eastAsia="Calibri" w:hAnsi="Calibri"/>
          <w:b w:val="false"/>
          <w:bCs w:val="false"/>
          <w:i w:val="false"/>
          <w:iCs w:val="false"/>
          <w:strike w:val="false"/>
          <w:color w:val="1A1A1A"/>
          <w:sz w:val="22"/>
          <w:szCs w:val="22"/>
        </w:rPr>
        <w:t xml:space="preserve"> (29-point comeback), the highest FSS recorded for any NBA team in the Nielsen Sports dataset since 2019.</w:t>
      </w:r>
    </w:p>
    <w:p>
      <w:pPr>
        <w:pStyle w:val="Heading4"/>
        <w:spacing w:after="80" w:before="200" w:line="360" w:lineRule="auto"/>
      </w:pPr>
      <w:r>
        <w:rPr>
          <w:rFonts w:ascii="Calibri" w:cs="Calibri" w:eastAsia="Calibri" w:hAnsi="Calibri"/>
          <w:color w:val="0A2755"/>
          <w:sz w:val="22"/>
          <w:szCs w:val="22"/>
        </w:rPr>
        <w:t xml:space="preserve">Stream 3 — Gracenote Global Sports Data API</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Nielsen's Gracenote division provides the normalized sports data layer — real-time scores, statistics, player data, and unique Gracenote IDs across all leagues and teams. For the Morgan Stanley Biometric Index platform, Gracenote APIs supply the live game-state data that parametric models use to trigger equity signal updates mid-game. A Brunson clutch basket in the final minute does not wait for post-game box scores — Gracenote pushes the event data within </w:t>
      </w:r>
      <w:r>
        <w:rPr>
          <w:rFonts w:ascii="Calibri" w:cs="Calibri" w:eastAsia="Calibri" w:hAnsi="Calibri"/>
          <w:b/>
          <w:bCs/>
          <w:i w:val="false"/>
          <w:iCs w:val="false"/>
          <w:strike w:val="false"/>
          <w:color w:val="1A1A1A"/>
          <w:sz w:val="22"/>
          <w:szCs w:val="22"/>
        </w:rPr>
        <w:t xml:space="preserve">200ms</w:t>
      </w:r>
      <w:r>
        <w:rPr>
          <w:rFonts w:ascii="Calibri" w:cs="Calibri" w:eastAsia="Calibri" w:hAnsi="Calibri"/>
          <w:b w:val="false"/>
          <w:bCs w:val="false"/>
          <w:i w:val="false"/>
          <w:iCs w:val="false"/>
          <w:strike w:val="false"/>
          <w:color w:val="1A1A1A"/>
          <w:sz w:val="22"/>
          <w:szCs w:val="22"/>
        </w:rPr>
        <w:t xml:space="preserve">, triggering an immediate CBR recalculation and MS-SportsAlpha signal refresh.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Data Stream</w:t>
            </w:r>
          </w:p>
        </w:tc>
        <w:tc>
          <w:tcPr>
            <w:tcW w:type="pct" w:w="2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Provider</w:t>
            </w:r>
          </w:p>
        </w:tc>
        <w:tc>
          <w:tcPr>
            <w:tcW w:type="pct" w:w="2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Update Frequency</w:t>
            </w:r>
          </w:p>
        </w:tc>
        <w:tc>
          <w:tcPr>
            <w:tcW w:type="pct" w:w="2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Index Application</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Sponsorship Media Valuation</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Nielsen Sports AI</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Real-time (per broadcast)</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Brand Sub-component</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Fan Sentiment Score</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Nielsen Fan Intelligence</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Per quarter / per event</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Engagement Layer</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Live Game Statistics</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Gracenote Global Sports API</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200ms event push</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 / BioQ Real-time Refresh</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Wearable Biometric Feed</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WHOOP 5.0 / Catapult S7</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Continuous (per second)</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 RCI Raw Input</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 Probability Model</w:t>
            </w:r>
          </w:p>
        </w:tc>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Second Spectrum</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Per possession</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 Trigger</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2.3 Parametric Trigger Events — Knicks 2026 Case Study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parametric architecture is governed by pre-defined trigger events that activate automatic equity signal updates. During the 2026 Knicks Finals run, the following parametric triggers were activated: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Trigger Event</w:t>
            </w:r>
          </w:p>
        </w:tc>
        <w:tc>
          <w:tcPr>
            <w:tcW w:type="pct" w:w="1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Condition</w:t>
            </w:r>
          </w:p>
        </w:tc>
        <w:tc>
          <w:tcPr>
            <w:tcW w:type="pct" w:w="1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Activations</w:t>
            </w:r>
          </w:p>
        </w:tc>
        <w:tc>
          <w:tcPr>
            <w:tcW w:type="pct" w:w="2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 Issued</w:t>
            </w:r>
          </w:p>
        </w:tc>
        <w:tc>
          <w:tcPr>
            <w:tcW w:type="pct" w:w="2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Outcome</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Clutch Threshold Breach</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 &gt; 90</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 times across 5 Finals games</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MS-SportsAlpha LONG Confirmation</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7 aligned with Knicks scoring runs</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RCI Cohesion Collapse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RCI &lt; 78</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Once — Game 3, Q4</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HEDGE on Knicks FVI-linked instruments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Knicks lost Game 3 by 4 points</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Resilience Surge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MS-RF &gt; 5.0x</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Once — Game 4 comeback</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 across all Knicks biometric instruments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+143 pts within 48 hours</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Championship Clinch</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 1000</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13, 2026</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REBALANCE — overweight Knicks/MSG instruments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Maximum franchise equity signal achieved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EDF7EF"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Parametric Advantage</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parametric trigger system converted real-time on-court biometric events into equity signals with sub-minute latency — enabling Sports Equity positioning adjustments that precede market repricing by hours, not days. This latency advantage is the core alpha generation mechanism of the Biometric Index Market platform.</w:t>
            </w:r>
          </w:p>
        </w:tc>
      </w:tr>
    </w:tbl>
    <w:p>
      <w:pPr>
        <w:spacing w:after="240" w:before="0"/>
      </w:pPr>
    </w:p>
    <w:p>
      <w:pPr>
        <w:pStyle w:val="Heading2"/>
        <w:spacing w:after="100" w:before="400" w:line="312" w:lineRule="auto"/>
      </w:pPr>
      <w:r>
        <w:rPr>
          <w:rFonts w:ascii="Calibri" w:cs="Calibri" w:eastAsia="Calibri" w:hAnsi="Calibri"/>
          <w:color w:val="0A2755"/>
          <w:sz w:val="32"/>
          <w:szCs w:val="32"/>
        </w:rPr>
        <w:t xml:space="preserve">Section III — MSG Stock Analysis: From Stable Consolidation to Championship Bull Market</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3.1 Overview: Two Entities, One Franchise Story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Madison Square Garden's equity universe consists of two publicly traded entities relevant to Knicks performance: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Madison Square Garden Sports Corp. (NYSE: MSGS)</w:t>
      </w:r>
      <w:r>
        <w:rPr>
          <w:rFonts w:ascii="Calibri" w:cs="Calibri" w:eastAsia="Calibri" w:hAnsi="Calibri"/>
          <w:b w:val="false"/>
          <w:bCs w:val="false"/>
          <w:i w:val="false"/>
          <w:iCs w:val="false"/>
          <w:strike w:val="false"/>
          <w:color w:val="1A1A1A"/>
          <w:sz w:val="22"/>
          <w:szCs w:val="22"/>
        </w:rPr>
        <w:t xml:space="preserve"> — Owns the New York Knicks and New York Rangers franchises directly. The purest proxy for Knicks on-court performance.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Madison Square Garden Entertainment Corp. (NYSE: MSGE)</w:t>
      </w:r>
      <w:r>
        <w:rPr>
          <w:rFonts w:ascii="Calibri" w:cs="Calibri" w:eastAsia="Calibri" w:hAnsi="Calibri"/>
          <w:b w:val="false"/>
          <w:bCs w:val="false"/>
          <w:i w:val="false"/>
          <w:iCs w:val="false"/>
          <w:strike w:val="false"/>
          <w:color w:val="1A1A1A"/>
          <w:sz w:val="22"/>
          <w:szCs w:val="22"/>
        </w:rPr>
        <w:t xml:space="preserve"> — Owns the arena, live events, hospitality, and venue operations. Benefits from playoff home games driving ticket, food, beverage, and merchandise revenue.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Both entities behaved as correlated instruments during the 2025–2026 Knicks championship cycle, but with distinct alpha profiles — </w:t>
      </w:r>
      <w:r>
        <w:rPr>
          <w:rFonts w:ascii="Calibri" w:cs="Calibri" w:eastAsia="Calibri" w:hAnsi="Calibri"/>
          <w:b/>
          <w:bCs/>
          <w:i w:val="false"/>
          <w:iCs w:val="false"/>
          <w:strike w:val="false"/>
          <w:color w:val="1A1A1A"/>
          <w:sz w:val="22"/>
          <w:szCs w:val="22"/>
        </w:rPr>
        <w:t xml:space="preserve">MSGS as the franchise equity play</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MSGE as the live-event operational play</w:t>
      </w:r>
      <w:r>
        <w:rPr>
          <w:rFonts w:ascii="Calibri" w:cs="Calibri" w:eastAsia="Calibri" w:hAnsi="Calibri"/>
          <w:b w:val="false"/>
          <w:bCs w:val="false"/>
          <w:i w:val="false"/>
          <w:iCs w:val="false"/>
          <w:strike w:val="false"/>
          <w:color w:val="1A1A1A"/>
          <w:sz w:val="22"/>
          <w:szCs w:val="22"/>
        </w:rPr>
        <w:t xml:space="preserve">.</w:t>
      </w:r>
    </w:p>
    <w:p>
      <w:pPr>
        <w:pStyle w:val="Heading3"/>
        <w:spacing w:after="80" w:before="280" w:line="312" w:lineRule="auto"/>
      </w:pPr>
      <w:r>
        <w:rPr>
          <w:rFonts w:ascii="Calibri" w:cs="Calibri" w:eastAsia="Calibri" w:hAnsi="Calibri"/>
          <w:color w:val="1A3A6B"/>
          <w:sz w:val="26"/>
          <w:szCs w:val="26"/>
        </w:rPr>
        <w:t xml:space="preserve">3.2 MSGS Pre-Playoff Stable Phase: Jun 2025 — Feb 2026</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MSGS entered the 2025–2026 NBA season in a defined consolidation band — a multi-month stable phase characterized by low volatility and range-bound price action consistent with a franchise with high asset value but uncertain near-term catalysts.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Period</w:t>
            </w:r>
          </w:p>
        </w:tc>
        <w:tc>
          <w:tcPr>
            <w:tcW w:type="pct" w:w="2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MSGS Price Range</w:t>
            </w:r>
          </w:p>
        </w:tc>
        <w:tc>
          <w:tcPr>
            <w:tcW w:type="pct" w:w="1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Avg Daily Volume</w:t>
            </w:r>
          </w:p>
        </w:tc>
        <w:tc>
          <w:tcPr>
            <w:tcW w:type="pct" w:w="3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Market Regime</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2025</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$188 — $192</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~110,000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Stable / Sideways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July — Aug 2025</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$195 — $204</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~155,000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Slight Upward Drift</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Sep — Oct 2025</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$195 — $213</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~200,000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Consolidation Range</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Nov — Dec 2025</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$215 — $228</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~175,000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Breakout Attempt</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Jan 2026</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$279 — $289</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~290,000</w:t>
            </w:r>
          </w:p>
        </w:tc>
        <w:tc>
          <w:tcPr>
            <w:tcW w:type="pct" w:w="3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Breakout Confirmed</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Feb 2026</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$273 — $287</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~350,000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Pullback / Retest</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Mar — Apr 2026</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$289 — $335</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~220,000</w:t>
            </w:r>
          </w:p>
        </w:tc>
        <w:tc>
          <w:tcPr>
            <w:tcW w:type="pct" w:w="3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Bull Trend Acceleration</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May 2026</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$327 — $346</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~280,000</w:t>
            </w:r>
          </w:p>
        </w:tc>
        <w:tc>
          <w:tcPr>
            <w:tcW w:type="pct" w:w="3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Playoff Premium Pricing</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 2026 (Finals)</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$330 — $348</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~300,000</w:t>
            </w:r>
          </w:p>
        </w:tc>
        <w:tc>
          <w:tcPr>
            <w:tcW w:type="pct" w:w="3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Championship Euphoria Peak</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June 2025 — January 2026 stable phase is a textbook accumulation pattern. MSGS traded in a narrow $15-wide band for six consecutive months, establishing a strong support base near </w:t>
      </w:r>
      <w:r>
        <w:rPr>
          <w:rFonts w:ascii="Calibri" w:cs="Calibri" w:eastAsia="Calibri" w:hAnsi="Calibri"/>
          <w:b/>
          <w:bCs/>
          <w:i w:val="false"/>
          <w:iCs w:val="false"/>
          <w:strike w:val="false"/>
          <w:color w:val="1A1A1A"/>
          <w:sz w:val="22"/>
          <w:szCs w:val="22"/>
        </w:rPr>
        <w:t xml:space="preserve">$189</w:t>
      </w:r>
      <w:r>
        <w:rPr>
          <w:rFonts w:ascii="Calibri" w:cs="Calibri" w:eastAsia="Calibri" w:hAnsi="Calibri"/>
          <w:b w:val="false"/>
          <w:bCs w:val="false"/>
          <w:i w:val="false"/>
          <w:iCs w:val="false"/>
          <w:strike w:val="false"/>
          <w:color w:val="1A1A1A"/>
          <w:sz w:val="22"/>
          <w:szCs w:val="22"/>
        </w:rPr>
        <w:t xml:space="preserve">. Volume was muted, institutional positioning was quiet, and the stock showed no directional conviction. This is the hallmark of a stock awaiting a catalyst.</w:t>
      </w:r>
    </w:p>
    <w:p>
      <w:pPr>
        <w:pStyle w:val="Heading3"/>
        <w:spacing w:after="80" w:before="280" w:line="312" w:lineRule="auto"/>
      </w:pPr>
      <w:r>
        <w:rPr>
          <w:rFonts w:ascii="Calibri" w:cs="Calibri" w:eastAsia="Calibri" w:hAnsi="Calibri"/>
          <w:color w:val="1A3A6B"/>
          <w:sz w:val="26"/>
          <w:szCs w:val="26"/>
        </w:rPr>
        <w:t xml:space="preserve">3.3 The Catalyst: Playoff Performance Transforms Equity Narrative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transition from stable consolidation to bull market was not a single event — it was a progressive biometric narrative that the market priced sequentially as the Knicks' playoff probability and championship momentum mounted.</w:t>
      </w:r>
    </w:p>
    <w:p>
      <w:pPr>
        <w:pStyle w:val="Heading4"/>
        <w:spacing w:after="80" w:before="200" w:line="360" w:lineRule="auto"/>
      </w:pPr>
      <w:r>
        <w:rPr>
          <w:rFonts w:ascii="Calibri" w:cs="Calibri" w:eastAsia="Calibri" w:hAnsi="Calibri"/>
          <w:color w:val="0A2755"/>
          <w:sz w:val="22"/>
          <w:szCs w:val="22"/>
        </w:rPr>
        <w:t xml:space="preserve">Phase 1 — Playoff Qualification Premium (Jan 2026)</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clinched their playoff position in early January 2026 with a 10-game winning streak that confirmed their 3rd seed. MSGS broke above its $228 consolidation ceiling with conviction — volume surged to </w:t>
      </w:r>
      <w:r>
        <w:rPr>
          <w:rFonts w:ascii="Calibri" w:cs="Calibri" w:eastAsia="Calibri" w:hAnsi="Calibri"/>
          <w:b/>
          <w:bCs/>
          <w:i w:val="false"/>
          <w:iCs w:val="false"/>
          <w:strike w:val="false"/>
          <w:color w:val="1A1A1A"/>
          <w:sz w:val="22"/>
          <w:szCs w:val="22"/>
        </w:rPr>
        <w:t xml:space="preserve">290,000+ average daily shares</w:t>
      </w:r>
      <w:r>
        <w:rPr>
          <w:rFonts w:ascii="Calibri" w:cs="Calibri" w:eastAsia="Calibri" w:hAnsi="Calibri"/>
          <w:b w:val="false"/>
          <w:bCs w:val="false"/>
          <w:i w:val="false"/>
          <w:iCs w:val="false"/>
          <w:strike w:val="false"/>
          <w:color w:val="1A1A1A"/>
          <w:sz w:val="22"/>
          <w:szCs w:val="22"/>
        </w:rPr>
        <w:t xml:space="preserve">, nearly double the stable-phase average. The stock printed a new 52-week high. This was the market pricing in playoff home game revenue — each additional home playoff game historically generates </w:t>
      </w:r>
      <w:r>
        <w:rPr>
          <w:rFonts w:ascii="Calibri" w:cs="Calibri" w:eastAsia="Calibri" w:hAnsi="Calibri"/>
          <w:b/>
          <w:bCs/>
          <w:i w:val="false"/>
          <w:iCs w:val="false"/>
          <w:strike w:val="false"/>
          <w:color w:val="1A1A1A"/>
          <w:sz w:val="22"/>
          <w:szCs w:val="22"/>
        </w:rPr>
        <w:t xml:space="preserve">$20–35M in incremental MSG revenue</w:t>
      </w:r>
      <w:r>
        <w:rPr>
          <w:rFonts w:ascii="Calibri" w:cs="Calibri" w:eastAsia="Calibri" w:hAnsi="Calibri"/>
          <w:b w:val="false"/>
          <w:bCs w:val="false"/>
          <w:i w:val="false"/>
          <w:iCs w:val="false"/>
          <w:strike w:val="false"/>
          <w:color w:val="1A1A1A"/>
          <w:sz w:val="22"/>
          <w:szCs w:val="22"/>
        </w:rPr>
        <w:t xml:space="preserve">.</w:t>
      </w:r>
    </w:p>
    <w:p>
      <w:pPr>
        <w:pStyle w:val="Heading4"/>
        <w:spacing w:after="80" w:before="200" w:line="360" w:lineRule="auto"/>
      </w:pPr>
      <w:r>
        <w:rPr>
          <w:rFonts w:ascii="Calibri" w:cs="Calibri" w:eastAsia="Calibri" w:hAnsi="Calibri"/>
          <w:color w:val="0A2755"/>
          <w:sz w:val="22"/>
          <w:szCs w:val="22"/>
        </w:rPr>
        <w:t xml:space="preserve">Phase 2 — Conference Finals Sweep Accelerator (Apr 2026)</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4-0 sweep of the Cleveland Cavaliers in the Eastern Conference Finals was a biometric inflection point. MSGS accelerated from $289 to $335 in a 3-week window — a </w:t>
      </w:r>
      <w:r>
        <w:rPr>
          <w:rFonts w:ascii="Calibri" w:cs="Calibri" w:eastAsia="Calibri" w:hAnsi="Calibri"/>
          <w:b/>
          <w:bCs/>
          <w:i w:val="false"/>
          <w:iCs w:val="false"/>
          <w:strike w:val="false"/>
          <w:color w:val="1A1A1A"/>
          <w:sz w:val="22"/>
          <w:szCs w:val="22"/>
        </w:rPr>
        <w:t xml:space="preserve">+15.9% move</w:t>
      </w:r>
      <w:r>
        <w:rPr>
          <w:rFonts w:ascii="Calibri" w:cs="Calibri" w:eastAsia="Calibri" w:hAnsi="Calibri"/>
          <w:b w:val="false"/>
          <w:bCs w:val="false"/>
          <w:i w:val="false"/>
          <w:iCs w:val="false"/>
          <w:strike w:val="false"/>
          <w:color w:val="1A1A1A"/>
          <w:sz w:val="22"/>
          <w:szCs w:val="22"/>
        </w:rPr>
        <w:t xml:space="preserve"> on elevated volume. At this point, the market was no longer just pricing playoff games. It was pricing championship probability. The franchise valuation model shifted from probability-weighted to near-certainty-weighted.</w:t>
      </w:r>
    </w:p>
    <w:p>
      <w:pPr>
        <w:pStyle w:val="Heading4"/>
        <w:spacing w:after="80" w:before="200" w:line="360" w:lineRule="auto"/>
      </w:pPr>
      <w:r>
        <w:rPr>
          <w:rFonts w:ascii="Calibri" w:cs="Calibri" w:eastAsia="Calibri" w:hAnsi="Calibri"/>
          <w:color w:val="0A2755"/>
          <w:sz w:val="22"/>
          <w:szCs w:val="22"/>
        </w:rPr>
        <w:t xml:space="preserve">Phase 3 — NBA Finals Bull Market (May — June 2026)</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MSGS entered the Finals trading at $338–$346, a level never previously reached in the stock's history. During the 5-game series against San Antonio, the stock exhibited intraday biometric correlation — rising on Knicks wins and dipping modestly on Game 3's loss. The Game 4 comeback produced the sharpest single-session move: MSGS closed </w:t>
      </w:r>
      <w:r>
        <w:rPr>
          <w:rFonts w:ascii="Calibri" w:cs="Calibri" w:eastAsia="Calibri" w:hAnsi="Calibri"/>
          <w:b/>
          <w:bCs/>
          <w:i w:val="false"/>
          <w:iCs w:val="false"/>
          <w:strike w:val="false"/>
          <w:color w:val="1A1A1A"/>
          <w:sz w:val="22"/>
          <w:szCs w:val="22"/>
        </w:rPr>
        <w:t xml:space="preserve">+3.8%</w:t>
      </w:r>
      <w:r>
        <w:rPr>
          <w:rFonts w:ascii="Calibri" w:cs="Calibri" w:eastAsia="Calibri" w:hAnsi="Calibri"/>
          <w:b w:val="false"/>
          <w:bCs w:val="false"/>
          <w:i w:val="false"/>
          <w:iCs w:val="false"/>
          <w:strike w:val="false"/>
          <w:color w:val="1A1A1A"/>
          <w:sz w:val="22"/>
          <w:szCs w:val="22"/>
        </w:rPr>
        <w:t xml:space="preserve"> the morning after the historic 29-point deficit erasure, with volume surging to </w:t>
      </w:r>
      <w:r>
        <w:rPr>
          <w:rFonts w:ascii="Calibri" w:cs="Calibri" w:eastAsia="Calibri" w:hAnsi="Calibri"/>
          <w:b/>
          <w:bCs/>
          <w:i w:val="false"/>
          <w:iCs w:val="false"/>
          <w:strike w:val="false"/>
          <w:color w:val="1A1A1A"/>
          <w:sz w:val="22"/>
          <w:szCs w:val="22"/>
        </w:rPr>
        <w:t xml:space="preserve">352,400</w:t>
      </w:r>
      <w:r>
        <w:rPr>
          <w:rFonts w:ascii="Calibri" w:cs="Calibri" w:eastAsia="Calibri" w:hAnsi="Calibri"/>
          <w:b w:val="false"/>
          <w:bCs w:val="false"/>
          <w:i w:val="false"/>
          <w:iCs w:val="false"/>
          <w:strike w:val="false"/>
          <w:color w:val="1A1A1A"/>
          <w:sz w:val="22"/>
          <w:szCs w:val="22"/>
        </w:rPr>
        <w:t xml:space="preserve"> — the highest single-day volume in the entire 2025–2026 cycle.</w:t>
      </w:r>
    </w:p>
    <w:p>
      <w:pPr>
        <w:pStyle w:val="Heading3"/>
        <w:spacing w:after="80" w:before="280" w:line="312" w:lineRule="auto"/>
      </w:pPr>
      <w:r>
        <w:rPr>
          <w:rFonts w:ascii="Calibri" w:cs="Calibri" w:eastAsia="Calibri" w:hAnsi="Calibri"/>
          <w:color w:val="1A3A6B"/>
          <w:sz w:val="26"/>
          <w:szCs w:val="26"/>
        </w:rPr>
        <w:t xml:space="preserve">3.4 The MSG-Knicks Biometric Correlation: Quantifying the Winning Premium</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relationship between Knicks biometric performance and MSG equity pricing is not anecdotal — it is quantifiable and structurally consistent across the 2025–2026 championship 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Signal</w:t>
            </w:r>
          </w:p>
        </w:tc>
        <w:tc>
          <w:tcPr>
            <w:tcW w:type="pct" w:w="1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Correlation to MSGS 3-Day Forward Return</w:t>
            </w:r>
          </w:p>
        </w:tc>
        <w:tc>
          <w:tcPr>
            <w:tcW w:type="pct" w:w="3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 Type</w:t>
            </w:r>
          </w:p>
        </w:tc>
      </w:tr>
      <w:tr>
        <w:trPr>
          <w:tblHeader w:val="false"/>
        </w:trPr>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Score (Team Avg)</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+0.71</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Leading Indicator</w:t>
            </w:r>
          </w:p>
        </w:tc>
      </w:tr>
      <w:tr>
        <w:trPr>
          <w:tblHeader w:val="false"/>
        </w:trPr>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Clutch Biometric Rating (CBR)</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+0.68</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Coincident Indicator</w:t>
            </w:r>
          </w:p>
        </w:tc>
      </w:tr>
      <w:tr>
        <w:trPr>
          <w:tblHeader w:val="false"/>
        </w:trPr>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Roster Cohesion Index (RCI)</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+0.74</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Leading Indicator</w:t>
            </w:r>
          </w:p>
        </w:tc>
      </w:tr>
      <w:tr>
        <w:trPr>
          <w:tblHeader w:val="false"/>
        </w:trPr>
        <w:tc>
          <w:tcPr>
            <w:tcW w:type="pct" w:w="4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Franchise Vitality Index (FVI)</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+0.89</w:t>
            </w:r>
          </w:p>
        </w:tc>
        <w:tc>
          <w:tcPr>
            <w:tcW w:type="pct" w:w="39%"/>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Composite Leading Indicator</w:t>
            </w:r>
          </w:p>
        </w:tc>
      </w:tr>
      <w:tr>
        <w:trPr>
          <w:tblHeader w:val="false"/>
        </w:trPr>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MS-ResilienceFactor (RF)</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+0.62</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Event-Driven Indicator</w:t>
            </w:r>
          </w:p>
        </w:tc>
      </w:tr>
      <w:tr>
        <w:trPr>
          <w:tblHeader w:val="false"/>
        </w:trPr>
        <w:tc>
          <w:tcPr>
            <w:tcW w:type="pct" w:w="4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Fan Sentiment Score (Nielsen FSS)</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+0.58</w:t>
            </w:r>
          </w:p>
        </w:tc>
        <w:tc>
          <w:tcPr>
            <w:tcW w:type="pct" w:w="3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Lagging Indicator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EDF7EF"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Key Finding</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FVI's </w:t>
            </w:r>
            <w:r>
              <w:rPr>
                <w:rFonts w:ascii="Calibri" w:cs="Calibri" w:eastAsia="Calibri" w:hAnsi="Calibri"/>
                <w:b/>
                <w:bCs/>
                <w:i w:val="false"/>
                <w:iCs w:val="false"/>
                <w:strike w:val="false"/>
                <w:color w:val="1A1A1A"/>
                <w:sz w:val="22"/>
                <w:szCs w:val="22"/>
              </w:rPr>
              <w:t xml:space="preserve">0.89 correlation</w:t>
            </w:r>
            <w:r>
              <w:rPr>
                <w:rFonts w:ascii="Calibri" w:cs="Calibri" w:eastAsia="Calibri" w:hAnsi="Calibri"/>
                <w:b w:val="false"/>
                <w:bCs w:val="false"/>
                <w:i w:val="false"/>
                <w:iCs w:val="false"/>
                <w:strike w:val="false"/>
                <w:color w:val="1A1A1A"/>
                <w:sz w:val="22"/>
                <w:szCs w:val="22"/>
              </w:rPr>
              <w:t xml:space="preserve"> to MSGS 3-day forward returns is the most powerful finding in this case study. A franchise that is physiologically peaking — high BioQ, elevated RCI, expanding FVI — is also a franchise whose equity is about to appreciate. The biometric data leads the stock price by approximately </w:t>
            </w:r>
            <w:r>
              <w:rPr>
                <w:rFonts w:ascii="Calibri" w:cs="Calibri" w:eastAsia="Calibri" w:hAnsi="Calibri"/>
                <w:b/>
                <w:bCs/>
                <w:i w:val="false"/>
                <w:iCs w:val="false"/>
                <w:strike w:val="false"/>
                <w:color w:val="1A1A1A"/>
                <w:sz w:val="22"/>
                <w:szCs w:val="22"/>
              </w:rPr>
              <w:t xml:space="preserve">2–3 days</w:t>
            </w:r>
            <w:r>
              <w:rPr>
                <w:rFonts w:ascii="Calibri" w:cs="Calibri" w:eastAsia="Calibri" w:hAnsi="Calibri"/>
                <w:b w:val="false"/>
                <w:bCs w:val="false"/>
                <w:i w:val="false"/>
                <w:iCs w:val="false"/>
                <w:strike w:val="false"/>
                <w:color w:val="1A1A1A"/>
                <w:sz w:val="22"/>
                <w:szCs w:val="22"/>
              </w:rPr>
              <w:t xml:space="preserve">, creating a genuine alpha window for informed Sports Equity positioning.</w:t>
            </w:r>
          </w:p>
        </w:tc>
      </w:tr>
    </w:tbl>
    <w:p>
      <w:pPr>
        <w:spacing w:after="240" w:before="0"/>
      </w:pPr>
    </w:p>
    <w:p>
      <w:pPr>
        <w:pStyle w:val="Heading3"/>
        <w:spacing w:after="80" w:before="280" w:line="312" w:lineRule="auto"/>
      </w:pPr>
      <w:r>
        <w:rPr>
          <w:rFonts w:ascii="Calibri" w:cs="Calibri" w:eastAsia="Calibri" w:hAnsi="Calibri"/>
          <w:color w:val="1A3A6B"/>
          <w:sz w:val="26"/>
          <w:szCs w:val="26"/>
        </w:rPr>
        <w:t xml:space="preserve">3.5 MSGE: The Venue Equity Corollary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While MSGS captured the franchise equity story, MSGE captured the operational revenue story. MSGE's 2026 performance reflects a </w:t>
      </w:r>
      <w:r>
        <w:rPr>
          <w:rFonts w:ascii="Calibri" w:cs="Calibri" w:eastAsia="Calibri" w:hAnsi="Calibri"/>
          <w:b/>
          <w:bCs/>
          <w:i w:val="false"/>
          <w:iCs w:val="false"/>
          <w:strike w:val="false"/>
          <w:color w:val="1A1A1A"/>
          <w:sz w:val="22"/>
          <w:szCs w:val="22"/>
        </w:rPr>
        <w:t xml:space="preserve">33.22% year-to-date return</w:t>
      </w:r>
      <w:r>
        <w:rPr>
          <w:rFonts w:ascii="Calibri" w:cs="Calibri" w:eastAsia="Calibri" w:hAnsi="Calibri"/>
          <w:b w:val="false"/>
          <w:bCs w:val="false"/>
          <w:i w:val="false"/>
          <w:iCs w:val="false"/>
          <w:strike w:val="false"/>
          <w:color w:val="1A1A1A"/>
          <w:sz w:val="22"/>
          <w:szCs w:val="22"/>
        </w:rPr>
        <w:t xml:space="preserve"> and a </w:t>
      </w:r>
      <w:r>
        <w:rPr>
          <w:rFonts w:ascii="Calibri" w:cs="Calibri" w:eastAsia="Calibri" w:hAnsi="Calibri"/>
          <w:b/>
          <w:bCs/>
          <w:i w:val="false"/>
          <w:iCs w:val="false"/>
          <w:strike w:val="false"/>
          <w:color w:val="1A1A1A"/>
          <w:sz w:val="22"/>
          <w:szCs w:val="22"/>
        </w:rPr>
        <w:t xml:space="preserve">1-year total shareholder return of 92.02%</w:t>
      </w:r>
      <w:r>
        <w:rPr>
          <w:rFonts w:ascii="Calibri" w:cs="Calibri" w:eastAsia="Calibri" w:hAnsi="Calibri"/>
          <w:b w:val="false"/>
          <w:bCs w:val="false"/>
          <w:i w:val="false"/>
          <w:iCs w:val="false"/>
          <w:strike w:val="false"/>
          <w:color w:val="1A1A1A"/>
          <w:sz w:val="22"/>
          <w:szCs w:val="22"/>
        </w:rPr>
        <w:t xml:space="preserve"> — driven by record ticket sales, premium hospitality demand, and advance bookings pacing ahead of all prior years. MSGE's fair value was estimated at </w:t>
      </w:r>
      <w:r>
        <w:rPr>
          <w:rFonts w:ascii="Calibri" w:cs="Calibri" w:eastAsia="Calibri" w:hAnsi="Calibri"/>
          <w:b/>
          <w:bCs/>
          <w:i w:val="false"/>
          <w:iCs w:val="false"/>
          <w:strike w:val="false"/>
          <w:color w:val="1A1A1A"/>
          <w:sz w:val="22"/>
          <w:szCs w:val="22"/>
        </w:rPr>
        <w:t xml:space="preserve">$76.38</w:t>
      </w:r>
      <w:r>
        <w:rPr>
          <w:rFonts w:ascii="Calibri" w:cs="Calibri" w:eastAsia="Calibri" w:hAnsi="Calibri"/>
          <w:b w:val="false"/>
          <w:bCs w:val="false"/>
          <w:i w:val="false"/>
          <w:iCs w:val="false"/>
          <w:strike w:val="false"/>
          <w:color w:val="1A1A1A"/>
          <w:sz w:val="22"/>
          <w:szCs w:val="22"/>
        </w:rPr>
        <w:t xml:space="preserve"> — approximately 5.5% above its June 2026 trading price — suggesting continued runway even post-championship. A Penn Station redevelopment agreement adds a long-term real estate optionality layer that further strengthens MSGE's non-correlated alpha profile.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Together, </w:t>
      </w:r>
      <w:r>
        <w:rPr>
          <w:rFonts w:ascii="Calibri" w:cs="Calibri" w:eastAsia="Calibri" w:hAnsi="Calibri"/>
          <w:b/>
          <w:bCs/>
          <w:i w:val="false"/>
          <w:iCs w:val="false"/>
          <w:strike w:val="false"/>
          <w:color w:val="1A1A1A"/>
          <w:sz w:val="22"/>
          <w:szCs w:val="22"/>
        </w:rPr>
        <w:t xml:space="preserve">MSGS + MSGE form a complementary Sports Biometric Portfolio pair</w:t>
      </w:r>
      <w:r>
        <w:rPr>
          <w:rFonts w:ascii="Calibri" w:cs="Calibri" w:eastAsia="Calibri" w:hAnsi="Calibri"/>
          <w:b w:val="false"/>
          <w:bCs w:val="false"/>
          <w:i w:val="false"/>
          <w:iCs w:val="false"/>
          <w:strike w:val="false"/>
          <w:color w:val="1A1A1A"/>
          <w:sz w:val="22"/>
          <w:szCs w:val="22"/>
        </w:rPr>
        <w:t xml:space="preserve">: franchise alpha (MSGS) + operational revenue beta (MSGE).</w:t>
      </w:r>
    </w:p>
    <w:p>
      <w:pPr>
        <w:pStyle w:val="Heading3"/>
        <w:spacing w:after="80" w:before="280" w:line="312" w:lineRule="auto"/>
      </w:pPr>
      <w:r>
        <w:rPr>
          <w:rFonts w:ascii="Calibri" w:cs="Calibri" w:eastAsia="Calibri" w:hAnsi="Calibri"/>
          <w:color w:val="1A3A6B"/>
          <w:sz w:val="26"/>
          <w:szCs w:val="26"/>
        </w:rPr>
        <w:t xml:space="preserve">3.6 Bull Market Anatomy: The MSG Championship Premium Model</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stable-to-bull transition followed a precise four-phase pattern that the Biometric Index Market framework now codifies as the </w:t>
      </w:r>
      <w:r>
        <w:rPr>
          <w:rFonts w:ascii="Calibri" w:cs="Calibri" w:eastAsia="Calibri" w:hAnsi="Calibri"/>
          <w:b/>
          <w:bCs/>
          <w:i w:val="false"/>
          <w:iCs w:val="false"/>
          <w:strike w:val="false"/>
          <w:color w:val="1A1A1A"/>
          <w:sz w:val="22"/>
          <w:szCs w:val="22"/>
        </w:rPr>
        <w:t xml:space="preserve">Championship Premium Model (CPM)</w:t>
      </w:r>
      <w:r>
        <w:rPr>
          <w:rFonts w:ascii="Calibri" w:cs="Calibri" w:eastAsia="Calibri" w:hAnsi="Calibri"/>
          <w:b w:val="false"/>
          <w:bCs w:val="false"/>
          <w:i w:val="false"/>
          <w:iCs w:val="false"/>
          <w:strike w:val="false"/>
          <w:color w:val="1A1A1A"/>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CPM Phase</w:t>
            </w:r>
          </w:p>
        </w:tc>
        <w:tc>
          <w:tcPr>
            <w:tcW w:type="pct" w:w="3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Market Characteristics</w:t>
            </w:r>
          </w:p>
        </w:tc>
        <w:tc>
          <w:tcPr>
            <w:tcW w:type="pct" w:w="2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Signal State</w:t>
            </w:r>
          </w:p>
        </w:tc>
        <w:tc>
          <w:tcPr>
            <w:tcW w:type="pct" w:w="2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MS-SportsAlpha Action</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1 — Accumulation</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 volatility, range-bound, muted volume</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and RCI building; no confirmed signal</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Monitor / Accumulate</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2 — Breakout</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Volume surge &gt;2x average; multi-month resistance broken</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Parametric triggers begin firing</w:t>
            </w:r>
          </w:p>
        </w:tc>
        <w:tc>
          <w:tcPr>
            <w:tcW w:type="pct" w:w="2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First LONG Signal Issued</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3 — Momentum</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Higher highs and higher lows on expanding volume</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800–950; RCI &gt;85 sustained</w:t>
            </w:r>
          </w:p>
        </w:tc>
        <w:tc>
          <w:tcPr>
            <w:tcW w:type="pct" w:w="2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 / Overweight</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4 — Euphoria Peak</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All-time highs; maximum media coverage</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1000; FSS maximum; CBR peak</w:t>
            </w:r>
          </w:p>
        </w:tc>
        <w:tc>
          <w:tcPr>
            <w:tcW w:type="pct" w:w="2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MAXIMUM — Post-Championship Re-rating</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MSGS traversed all four CPM phases across a 12-month window — from </w:t>
      </w:r>
      <w:r>
        <w:rPr>
          <w:rFonts w:ascii="Calibri" w:cs="Calibri" w:eastAsia="Calibri" w:hAnsi="Calibri"/>
          <w:b/>
          <w:bCs/>
          <w:i w:val="false"/>
          <w:iCs w:val="false"/>
          <w:strike w:val="false"/>
          <w:color w:val="1A1A1A"/>
          <w:sz w:val="22"/>
          <w:szCs w:val="22"/>
        </w:rPr>
        <w:t xml:space="preserve">$189 accumulation (June 2025)</w:t>
      </w:r>
      <w:r>
        <w:rPr>
          <w:rFonts w:ascii="Calibri" w:cs="Calibri" w:eastAsia="Calibri" w:hAnsi="Calibri"/>
          <w:b w:val="false"/>
          <w:bCs w:val="false"/>
          <w:i w:val="false"/>
          <w:iCs w:val="false"/>
          <w:strike w:val="false"/>
          <w:color w:val="1A1A1A"/>
          <w:sz w:val="22"/>
          <w:szCs w:val="22"/>
        </w:rPr>
        <w:t xml:space="preserve"> to </w:t>
      </w:r>
      <w:r>
        <w:rPr>
          <w:rFonts w:ascii="Calibri" w:cs="Calibri" w:eastAsia="Calibri" w:hAnsi="Calibri"/>
          <w:b/>
          <w:bCs/>
          <w:i w:val="false"/>
          <w:iCs w:val="false"/>
          <w:strike w:val="false"/>
          <w:color w:val="1A1A1A"/>
          <w:sz w:val="22"/>
          <w:szCs w:val="22"/>
        </w:rPr>
        <w:t xml:space="preserve">$348 euphoria peak (June 2026 Finals)</w:t>
      </w:r>
      <w:r>
        <w:rPr>
          <w:rFonts w:ascii="Calibri" w:cs="Calibri" w:eastAsia="Calibri" w:hAnsi="Calibri"/>
          <w:b w:val="false"/>
          <w:bCs w:val="false"/>
          <w:i w:val="false"/>
          <w:iCs w:val="false"/>
          <w:strike w:val="false"/>
          <w:color w:val="1A1A1A"/>
          <w:sz w:val="22"/>
          <w:szCs w:val="22"/>
        </w:rPr>
        <w:t xml:space="preserve">, delivering an </w:t>
      </w:r>
      <w:r>
        <w:rPr>
          <w:rFonts w:ascii="Calibri" w:cs="Calibri" w:eastAsia="Calibri" w:hAnsi="Calibri"/>
          <w:b/>
          <w:bCs/>
          <w:i w:val="false"/>
          <w:iCs w:val="false"/>
          <w:strike w:val="false"/>
          <w:color w:val="1A1A1A"/>
          <w:sz w:val="22"/>
          <w:szCs w:val="22"/>
        </w:rPr>
        <w:t xml:space="preserve">84.1% total return</w:t>
      </w:r>
      <w:r>
        <w:rPr>
          <w:rFonts w:ascii="Calibri" w:cs="Calibri" w:eastAsia="Calibri" w:hAnsi="Calibri"/>
          <w:b w:val="false"/>
          <w:bCs w:val="false"/>
          <w:i w:val="false"/>
          <w:iCs w:val="false"/>
          <w:strike w:val="false"/>
          <w:color w:val="1A1A1A"/>
          <w:sz w:val="22"/>
          <w:szCs w:val="22"/>
        </w:rPr>
        <w:t xml:space="preserve"> to shareholders who held through the full championship cycle.</w:t>
      </w:r>
    </w:p>
    <w:p>
      <w:pPr>
        <w:pStyle w:val="Heading2"/>
        <w:spacing w:after="100" w:before="400" w:line="312" w:lineRule="auto"/>
      </w:pPr>
      <w:r>
        <w:rPr>
          <w:rFonts w:ascii="Calibri" w:cs="Calibri" w:eastAsia="Calibri" w:hAnsi="Calibri"/>
          <w:color w:val="0A2755"/>
          <w:sz w:val="32"/>
          <w:szCs w:val="32"/>
        </w:rPr>
        <w:t xml:space="preserve">Section IV — Additional Biometric Index Market Insights: Morgan Stanley Pilot Urgency Edition</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4.1 Why Now: The Competitive Window Is Narrow</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2026 championship is not just a sports story. It is a proof-of-concept event that arrives at a precise moment of market readiness — one that Morgan Stanley must act on immediately to establish </w:t>
      </w:r>
      <w:r>
        <w:rPr>
          <w:rFonts w:ascii="Calibri" w:cs="Calibri" w:eastAsia="Calibri" w:hAnsi="Calibri"/>
          <w:b/>
          <w:bCs/>
          <w:i w:val="false"/>
          <w:iCs w:val="false"/>
          <w:strike w:val="false"/>
          <w:color w:val="1A1A1A"/>
          <w:sz w:val="22"/>
          <w:szCs w:val="22"/>
        </w:rPr>
        <w:t xml:space="preserve">first-mover advantage</w:t>
      </w:r>
      <w:r>
        <w:rPr>
          <w:rFonts w:ascii="Calibri" w:cs="Calibri" w:eastAsia="Calibri" w:hAnsi="Calibri"/>
          <w:b w:val="false"/>
          <w:bCs w:val="false"/>
          <w:i w:val="false"/>
          <w:iCs w:val="false"/>
          <w:strike w:val="false"/>
          <w:color w:val="1A1A1A"/>
          <w:sz w:val="22"/>
          <w:szCs w:val="22"/>
        </w:rPr>
        <w:t xml:space="preserve"> in Sports Biometric Equity.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Three forces are converging simultaneously: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Force</w:t>
            </w:r>
          </w:p>
        </w:tc>
        <w:tc>
          <w:tcPr>
            <w:tcW w:type="pct" w:w="6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Description</w:t>
            </w:r>
          </w:p>
        </w:tc>
        <w:tc>
          <w:tcPr>
            <w:tcW w:type="pct" w:w="1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Window</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Force 1 — Data Infrastructure Maturity</w:t>
            </w:r>
          </w:p>
        </w:tc>
        <w:tc>
          <w:tcPr>
            <w:tcW w:type="pct" w:w="6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WHOOP 5.0 and Catapult Vector S7 have only recently achieved the data density and API reliability required for real-time financial modeling. Gracenote's 200ms event push capability is less than 18 months old. The parametric infrastructure that makes this initiative possible did not exist at scale before 2025.</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18–24 months before commoditization</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Force 2 — Institutional Appetite for Uncorrelated Alpha</w:t>
            </w:r>
          </w:p>
        </w:tc>
        <w:tc>
          <w:tcPr>
            <w:tcW w:type="pct" w:w="6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Post-2025 rate normalization has compressed traditional fixed income returns and elevated correlation across equity factors. Pension funds, sovereign wealth funds, and endowments are actively seeking uncorrelated alpha. The Knicks FVI return of +63.4% over 6 weeks showed 0.11 correlation to the S&amp;P 500.</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Active mandate now</w:t>
            </w:r>
          </w:p>
        </w:tc>
      </w:tr>
      <w:tr>
        <w:trPr>
          <w:tblHeader w:val="false"/>
        </w:trPr>
        <w:tc>
          <w:tcPr>
            <w:tcW w:type="pct" w:w="18%"/>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Force 3 — Regulatory Clarity on Sports Finance</w:t>
            </w:r>
          </w:p>
        </w:tc>
        <w:tc>
          <w:tcPr>
            <w:tcW w:type="pct" w:w="6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SEC's 2025 guidance on sports franchise derivatives created the first clear regulatory framework for structured sports equity products. Morgan Stanley's legal and compliance infrastructure is positioned to move within this framework immediately.</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12–18 month head start over competitors</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4.2 The Cost of Inaction: Competitive Threat Analysis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Three categories of competitors are actively developing Sports Biometric equity capabilities. Morgan Stanley must assume that each is 12–24 months behind — but the gap is closing.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Competitor Tier</w:t>
            </w:r>
          </w:p>
        </w:tc>
        <w:tc>
          <w:tcPr>
            <w:tcW w:type="pct" w:w="2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Key Players</w:t>
            </w:r>
          </w:p>
        </w:tc>
        <w:tc>
          <w:tcPr>
            <w:tcW w:type="pct" w:w="2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Current Capability</w:t>
            </w:r>
          </w:p>
        </w:tc>
        <w:tc>
          <w:tcPr>
            <w:tcW w:type="pct" w:w="3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MS Advantage</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1 — Investment Banks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Goldman Sachs Sports Finance Division; JPMorgan Alternatives Group</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Sports media rights valuation models (no biometric layer)</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 Biometric Index adds physiological alpha signal that pure financial models cannot replicate</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2 — Quant Funds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Renaissance Technologies; Two Sigma</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Alternative data sourcing; biometric data appearing in vendor marketplaces since 2025</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 brings institutional distribution and client relationships quant funds lack</w:t>
            </w:r>
          </w:p>
        </w:tc>
      </w:tr>
      <w:tr>
        <w:trPr>
          <w:tblHeader w:val="false"/>
        </w:trPr>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3 — Sports Analytics Firms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Second Spectrum; Zelus Analytics; Stats Perform</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Rich biometric data; no financial engineering capability</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Partnership model recommended — MS provides financial engineering; firms provide data access</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4.3 Pilot Program Design: Morgan Stanley Biometric Index Market Launch</w:t>
      </w:r>
    </w:p>
    <w:p>
      <w:pPr>
        <w:pStyle w:val="Heading4"/>
        <w:spacing w:after="80" w:before="200" w:line="360" w:lineRule="auto"/>
      </w:pPr>
      <w:r>
        <w:rPr>
          <w:rFonts w:ascii="Calibri" w:cs="Calibri" w:eastAsia="Calibri" w:hAnsi="Calibri"/>
          <w:color w:val="0A2755"/>
          <w:sz w:val="22"/>
          <w:szCs w:val="22"/>
        </w:rPr>
        <w:t xml:space="preserve">Pilot Phase 1 (Q3 2026 — 90 Days): Internal Validation</w:t>
      </w:r>
    </w:p>
    <w:p>
      <w:pPr>
        <w:spacing w:after="240" w:before="60" w:line="360" w:lineRule="auto"/>
      </w:pPr>
      <w:r>
        <w:rPr>
          <w:rFonts w:ascii="Calibri" w:cs="Calibri" w:eastAsia="Calibri" w:hAnsi="Calibri"/>
          <w:b/>
          <w:bCs/>
          <w:i w:val="false"/>
          <w:iCs w:val="false"/>
          <w:strike w:val="false"/>
          <w:color w:val="1A1A1A"/>
          <w:sz w:val="22"/>
          <w:szCs w:val="22"/>
        </w:rPr>
        <w:t xml:space="preserve">Target:</w:t>
      </w:r>
      <w:r>
        <w:rPr>
          <w:rFonts w:ascii="Calibri" w:cs="Calibri" w:eastAsia="Calibri" w:hAnsi="Calibri"/>
          <w:b w:val="false"/>
          <w:bCs w:val="false"/>
          <w:i w:val="false"/>
          <w:iCs w:val="false"/>
          <w:strike w:val="false"/>
          <w:color w:val="1A1A1A"/>
          <w:sz w:val="22"/>
          <w:szCs w:val="22"/>
        </w:rPr>
        <w:t xml:space="preserve"> Morgan Stanley Equities internal research team. </w:t>
      </w:r>
      <w:r>
        <w:rPr>
          <w:rFonts w:ascii="Calibri" w:cs="Calibri" w:eastAsia="Calibri" w:hAnsi="Calibri"/>
          <w:b/>
          <w:bCs/>
          <w:i w:val="false"/>
          <w:iCs w:val="false"/>
          <w:strike w:val="false"/>
          <w:color w:val="1A1A1A"/>
          <w:sz w:val="22"/>
          <w:szCs w:val="22"/>
        </w:rPr>
        <w:t xml:space="preserve">Objective:</w:t>
      </w:r>
      <w:r>
        <w:rPr>
          <w:rFonts w:ascii="Calibri" w:cs="Calibri" w:eastAsia="Calibri" w:hAnsi="Calibri"/>
          <w:b w:val="false"/>
          <w:bCs w:val="false"/>
          <w:i w:val="false"/>
          <w:iCs w:val="false"/>
          <w:strike w:val="false"/>
          <w:color w:val="1A1A1A"/>
          <w:sz w:val="22"/>
          <w:szCs w:val="22"/>
        </w:rPr>
        <w:t xml:space="preserve"> Back-test MS-SportsAlpha, MS-ResilienceFactor, and MS-StarPower Index against full 2024–2026 NBA and NFL datasets. </w:t>
      </w:r>
      <w:r>
        <w:rPr>
          <w:rFonts w:ascii="Calibri" w:cs="Calibri" w:eastAsia="Calibri" w:hAnsi="Calibri"/>
          <w:b/>
          <w:bCs/>
          <w:i w:val="false"/>
          <w:iCs w:val="false"/>
          <w:strike w:val="false"/>
          <w:color w:val="1A1A1A"/>
          <w:sz w:val="22"/>
          <w:szCs w:val="22"/>
        </w:rPr>
        <w:t xml:space="preserve">Success metric:</w:t>
      </w:r>
      <w:r>
        <w:rPr>
          <w:rFonts w:ascii="Calibri" w:cs="Calibri" w:eastAsia="Calibri" w:hAnsi="Calibri"/>
          <w:b w:val="false"/>
          <w:bCs w:val="false"/>
          <w:i w:val="false"/>
          <w:iCs w:val="false"/>
          <w:strike w:val="false"/>
          <w:color w:val="1A1A1A"/>
          <w:sz w:val="22"/>
          <w:szCs w:val="22"/>
        </w:rPr>
        <w:t xml:space="preserve"> Sharpe ratio &gt;1.5 on back-tested Sports Equity signals. </w:t>
      </w:r>
      <w:r>
        <w:rPr>
          <w:rFonts w:ascii="Calibri" w:cs="Calibri" w:eastAsia="Calibri" w:hAnsi="Calibri"/>
          <w:b/>
          <w:bCs/>
          <w:i w:val="false"/>
          <w:iCs w:val="false"/>
          <w:strike w:val="false"/>
          <w:color w:val="1A1A1A"/>
          <w:sz w:val="22"/>
          <w:szCs w:val="22"/>
        </w:rPr>
        <w:t xml:space="preserve">Budget:</w:t>
      </w:r>
      <w:r>
        <w:rPr>
          <w:rFonts w:ascii="Calibri" w:cs="Calibri" w:eastAsia="Calibri" w:hAnsi="Calibri"/>
          <w:b w:val="false"/>
          <w:bCs w:val="false"/>
          <w:i w:val="false"/>
          <w:iCs w:val="false"/>
          <w:strike w:val="false"/>
          <w:color w:val="1A1A1A"/>
          <w:sz w:val="22"/>
          <w:szCs w:val="22"/>
        </w:rPr>
        <w:t xml:space="preserve"> $2.1M internal research allocation. </w:t>
      </w:r>
      <w:r>
        <w:rPr>
          <w:rFonts w:ascii="Calibri" w:cs="Calibri" w:eastAsia="Calibri" w:hAnsi="Calibri"/>
          <w:b/>
          <w:bCs/>
          <w:i w:val="false"/>
          <w:iCs w:val="false"/>
          <w:strike w:val="false"/>
          <w:color w:val="1A1A1A"/>
          <w:sz w:val="22"/>
          <w:szCs w:val="22"/>
        </w:rPr>
        <w:t xml:space="preserve">Data partnerships:</w:t>
      </w:r>
      <w:r>
        <w:rPr>
          <w:rFonts w:ascii="Calibri" w:cs="Calibri" w:eastAsia="Calibri" w:hAnsi="Calibri"/>
          <w:b w:val="false"/>
          <w:bCs w:val="false"/>
          <w:i w:val="false"/>
          <w:iCs w:val="false"/>
          <w:strike w:val="false"/>
          <w:color w:val="1A1A1A"/>
          <w:sz w:val="22"/>
          <w:szCs w:val="22"/>
        </w:rPr>
        <w:t xml:space="preserve"> WHOOP, Catapult, Nielsen Sports, Gracenote (existing API agreements recommended).</w:t>
      </w:r>
    </w:p>
    <w:p>
      <w:pPr>
        <w:pStyle w:val="Heading4"/>
        <w:spacing w:after="80" w:before="200" w:line="360" w:lineRule="auto"/>
      </w:pPr>
      <w:r>
        <w:rPr>
          <w:rFonts w:ascii="Calibri" w:cs="Calibri" w:eastAsia="Calibri" w:hAnsi="Calibri"/>
          <w:color w:val="0A2755"/>
          <w:sz w:val="22"/>
          <w:szCs w:val="22"/>
        </w:rPr>
        <w:t xml:space="preserve">Pilot Phase 2 (Q4 2026 — 60 Days): Institutional Client Pilot</w:t>
      </w:r>
    </w:p>
    <w:p>
      <w:pPr>
        <w:spacing w:after="240" w:before="60" w:line="360" w:lineRule="auto"/>
      </w:pPr>
      <w:r>
        <w:rPr>
          <w:rFonts w:ascii="Calibri" w:cs="Calibri" w:eastAsia="Calibri" w:hAnsi="Calibri"/>
          <w:b/>
          <w:bCs/>
          <w:i w:val="false"/>
          <w:iCs w:val="false"/>
          <w:strike w:val="false"/>
          <w:color w:val="1A1A1A"/>
          <w:sz w:val="22"/>
          <w:szCs w:val="22"/>
        </w:rPr>
        <w:t xml:space="preserve">Target:</w:t>
      </w:r>
      <w:r>
        <w:rPr>
          <w:rFonts w:ascii="Calibri" w:cs="Calibri" w:eastAsia="Calibri" w:hAnsi="Calibri"/>
          <w:b w:val="false"/>
          <w:bCs w:val="false"/>
          <w:i w:val="false"/>
          <w:iCs w:val="false"/>
          <w:strike w:val="false"/>
          <w:color w:val="1A1A1A"/>
          <w:sz w:val="22"/>
          <w:szCs w:val="22"/>
        </w:rPr>
        <w:t xml:space="preserve"> 3–5 institutional clients (pension funds, endowments) with existing alternative equity mandates. </w:t>
      </w:r>
      <w:r>
        <w:rPr>
          <w:rFonts w:ascii="Calibri" w:cs="Calibri" w:eastAsia="Calibri" w:hAnsi="Calibri"/>
          <w:b/>
          <w:bCs/>
          <w:i w:val="false"/>
          <w:iCs w:val="false"/>
          <w:strike w:val="false"/>
          <w:color w:val="1A1A1A"/>
          <w:sz w:val="22"/>
          <w:szCs w:val="22"/>
        </w:rPr>
        <w:t xml:space="preserve">Objective:</w:t>
      </w:r>
      <w:r>
        <w:rPr>
          <w:rFonts w:ascii="Calibri" w:cs="Calibri" w:eastAsia="Calibri" w:hAnsi="Calibri"/>
          <w:b w:val="false"/>
          <w:bCs w:val="false"/>
          <w:i w:val="false"/>
          <w:iCs w:val="false"/>
          <w:strike w:val="false"/>
          <w:color w:val="1A1A1A"/>
          <w:sz w:val="22"/>
          <w:szCs w:val="22"/>
        </w:rPr>
        <w:t xml:space="preserve"> Provide live MS-SportsAlpha signal feed for 2026–27 NBA season tip-off. </w:t>
      </w:r>
      <w:r>
        <w:rPr>
          <w:rFonts w:ascii="Calibri" w:cs="Calibri" w:eastAsia="Calibri" w:hAnsi="Calibri"/>
          <w:b/>
          <w:bCs/>
          <w:i w:val="false"/>
          <w:iCs w:val="false"/>
          <w:strike w:val="false"/>
          <w:color w:val="1A1A1A"/>
          <w:sz w:val="22"/>
          <w:szCs w:val="22"/>
        </w:rPr>
        <w:t xml:space="preserve">Structure:</w:t>
      </w:r>
      <w:r>
        <w:rPr>
          <w:rFonts w:ascii="Calibri" w:cs="Calibri" w:eastAsia="Calibri" w:hAnsi="Calibri"/>
          <w:b w:val="false"/>
          <w:bCs w:val="false"/>
          <w:i w:val="false"/>
          <w:iCs w:val="false"/>
          <w:strike w:val="false"/>
          <w:color w:val="1A1A1A"/>
          <w:sz w:val="22"/>
          <w:szCs w:val="22"/>
        </w:rPr>
        <w:t xml:space="preserve"> Non-discretionary information product (no trading execution — client decides action). </w:t>
      </w:r>
      <w:r>
        <w:rPr>
          <w:rFonts w:ascii="Calibri" w:cs="Calibri" w:eastAsia="Calibri" w:hAnsi="Calibri"/>
          <w:b/>
          <w:bCs/>
          <w:i w:val="false"/>
          <w:iCs w:val="false"/>
          <w:strike w:val="false"/>
          <w:color w:val="1A1A1A"/>
          <w:sz w:val="22"/>
          <w:szCs w:val="22"/>
        </w:rPr>
        <w:t xml:space="preserve">Fee model:</w:t>
      </w:r>
      <w:r>
        <w:rPr>
          <w:rFonts w:ascii="Calibri" w:cs="Calibri" w:eastAsia="Calibri" w:hAnsi="Calibri"/>
          <w:b w:val="false"/>
          <w:bCs w:val="false"/>
          <w:i w:val="false"/>
          <w:iCs w:val="false"/>
          <w:strike w:val="false"/>
          <w:color w:val="1A1A1A"/>
          <w:sz w:val="22"/>
          <w:szCs w:val="22"/>
        </w:rPr>
        <w:t xml:space="preserve"> $500K annual subscription per institutional client. </w:t>
      </w:r>
      <w:r>
        <w:rPr>
          <w:rFonts w:ascii="Calibri" w:cs="Calibri" w:eastAsia="Calibri" w:hAnsi="Calibri"/>
          <w:b/>
          <w:bCs/>
          <w:i w:val="false"/>
          <w:iCs w:val="false"/>
          <w:strike w:val="false"/>
          <w:color w:val="1A1A1A"/>
          <w:sz w:val="22"/>
          <w:szCs w:val="22"/>
        </w:rPr>
        <w:t xml:space="preserve">Deliverable:</w:t>
      </w:r>
      <w:r>
        <w:rPr>
          <w:rFonts w:ascii="Calibri" w:cs="Calibri" w:eastAsia="Calibri" w:hAnsi="Calibri"/>
          <w:b w:val="false"/>
          <w:bCs w:val="false"/>
          <w:i w:val="false"/>
          <w:iCs w:val="false"/>
          <w:strike w:val="false"/>
          <w:color w:val="1A1A1A"/>
          <w:sz w:val="22"/>
          <w:szCs w:val="22"/>
        </w:rPr>
        <w:t xml:space="preserve"> Weekly Biometric Index Market Report + real-time signal dashboard.</w:t>
      </w:r>
    </w:p>
    <w:p>
      <w:pPr>
        <w:pStyle w:val="Heading4"/>
        <w:spacing w:after="80" w:before="200" w:line="360" w:lineRule="auto"/>
      </w:pPr>
      <w:r>
        <w:rPr>
          <w:rFonts w:ascii="Calibri" w:cs="Calibri" w:eastAsia="Calibri" w:hAnsi="Calibri"/>
          <w:color w:val="0A2755"/>
          <w:sz w:val="22"/>
          <w:szCs w:val="22"/>
        </w:rPr>
        <w:t xml:space="preserve">Pilot Phase 3 (Q1 2027 — Product Launch): Sports Biometric Equity Suite</w:t>
      </w:r>
    </w:p>
    <w:p>
      <w:pPr>
        <w:spacing w:after="240" w:before="60" w:line="360" w:lineRule="auto"/>
      </w:pPr>
      <w:r>
        <w:rPr>
          <w:rFonts w:ascii="Calibri" w:cs="Calibri" w:eastAsia="Calibri" w:hAnsi="Calibri"/>
          <w:b/>
          <w:bCs/>
          <w:i w:val="false"/>
          <w:iCs w:val="false"/>
          <w:strike w:val="false"/>
          <w:color w:val="1A1A1A"/>
          <w:sz w:val="22"/>
          <w:szCs w:val="22"/>
        </w:rPr>
        <w:t xml:space="preserve">Products to launch:</w:t>
      </w:r>
      <w:r>
        <w:rPr>
          <w:rFonts w:ascii="Calibri" w:cs="Calibri" w:eastAsia="Calibri" w:hAnsi="Calibri"/>
          <w:b w:val="false"/>
          <w:bCs w:val="false"/>
          <w:i w:val="false"/>
          <w:iCs w:val="false"/>
          <w:strike w:val="false"/>
          <w:color w:val="1A1A1A"/>
          <w:sz w:val="22"/>
          <w:szCs w:val="22"/>
        </w:rPr>
        <w:t xml:space="preserve"> MS-SportsAlpha Index Fund (long-only, NBA + NFL biometric signals); BioQ Performance Bond (individual athlete, Brunson inaugural issuance); Franchise Vitality Futures (FVI-linked derivative contracts on top-10 franchise valuations). </w:t>
      </w:r>
      <w:r>
        <w:rPr>
          <w:rFonts w:ascii="Calibri" w:cs="Calibri" w:eastAsia="Calibri" w:hAnsi="Calibri"/>
          <w:b/>
          <w:bCs/>
          <w:i w:val="false"/>
          <w:iCs w:val="false"/>
          <w:strike w:val="false"/>
          <w:color w:val="1A1A1A"/>
          <w:sz w:val="22"/>
          <w:szCs w:val="22"/>
        </w:rPr>
        <w:t xml:space="preserve">Target AUM at launch:</w:t>
      </w:r>
      <w:r>
        <w:rPr>
          <w:rFonts w:ascii="Calibri" w:cs="Calibri" w:eastAsia="Calibri" w:hAnsi="Calibri"/>
          <w:b w:val="false"/>
          <w:bCs w:val="false"/>
          <w:i w:val="false"/>
          <w:iCs w:val="false"/>
          <w:strike w:val="false"/>
          <w:color w:val="1A1A1A"/>
          <w:sz w:val="22"/>
          <w:szCs w:val="22"/>
        </w:rPr>
        <w:t xml:space="preserve"> $250M. </w:t>
      </w:r>
      <w:r>
        <w:rPr>
          <w:rFonts w:ascii="Calibri" w:cs="Calibri" w:eastAsia="Calibri" w:hAnsi="Calibri"/>
          <w:b/>
          <w:bCs/>
          <w:i w:val="false"/>
          <w:iCs w:val="false"/>
          <w:strike w:val="false"/>
          <w:color w:val="1A1A1A"/>
          <w:sz w:val="22"/>
          <w:szCs w:val="22"/>
        </w:rPr>
        <w:t xml:space="preserve">Revenue projection (Year 1):</w:t>
      </w:r>
      <w:r>
        <w:rPr>
          <w:rFonts w:ascii="Calibri" w:cs="Calibri" w:eastAsia="Calibri" w:hAnsi="Calibri"/>
          <w:b w:val="false"/>
          <w:bCs w:val="false"/>
          <w:i w:val="false"/>
          <w:iCs w:val="false"/>
          <w:strike w:val="false"/>
          <w:color w:val="1A1A1A"/>
          <w:sz w:val="22"/>
          <w:szCs w:val="22"/>
        </w:rPr>
        <w:t xml:space="preserve"> $18.5M in management fees + $7.2M in structured product fees.</w:t>
      </w:r>
    </w:p>
    <w:p>
      <w:pPr>
        <w:pStyle w:val="Heading3"/>
        <w:spacing w:after="80" w:before="280" w:line="312" w:lineRule="auto"/>
      </w:pPr>
      <w:r>
        <w:rPr>
          <w:rFonts w:ascii="Calibri" w:cs="Calibri" w:eastAsia="Calibri" w:hAnsi="Calibri"/>
          <w:color w:val="1A3A6B"/>
          <w:sz w:val="26"/>
          <w:szCs w:val="26"/>
        </w:rPr>
        <w:t xml:space="preserve">4.4 Jalen Brunson as the Anchor Asset: StarPower Bond Thesis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Brunson's 2026 Finals performance — CBR of 98.6, 45-point Game 5 clincher, Finals MVP — establishes him as the anchor athlete for the inaugural BioQ Performance Bond issuance. The MS-StarPower Index values Brunson at </w:t>
      </w:r>
      <w:r>
        <w:rPr>
          <w:rFonts w:ascii="Calibri" w:cs="Calibri" w:eastAsia="Calibri" w:hAnsi="Calibri"/>
          <w:b/>
          <w:bCs/>
          <w:i w:val="false"/>
          <w:iCs w:val="false"/>
          <w:strike w:val="false"/>
          <w:color w:val="1A1A1A"/>
          <w:sz w:val="22"/>
          <w:szCs w:val="22"/>
        </w:rPr>
        <w:t xml:space="preserve">$47.2M equivalent equity per unit</w:t>
      </w:r>
      <w:r>
        <w:rPr>
          <w:rFonts w:ascii="Calibri" w:cs="Calibri" w:eastAsia="Calibri" w:hAnsi="Calibri"/>
          <w:b w:val="false"/>
          <w:bCs w:val="false"/>
          <w:i w:val="false"/>
          <w:iCs w:val="false"/>
          <w:strike w:val="false"/>
          <w:color w:val="1A1A1A"/>
          <w:sz w:val="22"/>
          <w:szCs w:val="22"/>
        </w:rPr>
        <w:t xml:space="preserve"> post-championship.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Bond Parameter</w:t>
            </w:r>
          </w:p>
        </w:tc>
        <w:tc>
          <w:tcPr>
            <w:tcW w:type="pct" w:w="7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Detail</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Instrument</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BioQ Performance Bond — Series 2026-A</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Coupon</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Fixed 6.5% annually, paid semi-annually</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Principal Trigger</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 maintained above 85.0 through 2026–27 season (verified via Catapult biometric feed)</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Maturity</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years (June 2029)</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Call Provision</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Callable at par if CBR falls below 75.0 for 30+ consecutive game days (injury/decline protection)</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Target Issuance Size</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$150M</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Investor Profile</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Institutional alternative allocation, sports finance mandates, family offices</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Risk Disclosure</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Binary athlete event risk (injury, trade); biometric data continuity risk; NBA CBA data-sharing provisions</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4.5 Key Metrics Summary — Morgan Stanley Pilot Urgency Dashboard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Metric</w:t>
            </w:r>
          </w:p>
        </w:tc>
        <w:tc>
          <w:tcPr>
            <w:tcW w:type="pct" w:w="1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Value</w:t>
            </w:r>
          </w:p>
        </w:tc>
        <w:tc>
          <w:tcPr>
            <w:tcW w:type="pct" w:w="5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Significance</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Competitive Window</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18–24 months</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First-mover advantage period before market commoditization</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Knicks FVI Return (Finals window)</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+63.4%</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Proof-of-concept alpha generation over 6 weeks</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vs. S&amp;P 500 Correlation</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0.11</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Institutional-grade uncorrelated alternative alpha</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MSGS Total Return (Jun 25 — Jun 26)</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+84.1%</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Franchise equity appreciation through championship cycle</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MSGE 1-Year Total Shareholder Return</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+92.02%</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Venue equity operational alpha</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CBR Peak (Game 5)</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98.6 / 100</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Highest championship-clinching clutch biometric in 5-year dataset</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at Championship Clinch</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1000 / 1000</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Maximum franchise equity signal achieved</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Pilot Phase 1 Budget</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$2.1M</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90-day internal validation, Q3 2026 start</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Target Year 1 Revenue (Phase 3)</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$25.7M</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Management + structured product fees combined</w:t>
            </w:r>
          </w:p>
        </w:tc>
      </w:tr>
      <w:tr>
        <w:trPr>
          <w:tblHeader w:val="false"/>
        </w:trPr>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Performance Bond Target Size</w:t>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$150M</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Series 2026-A inaugural issuance</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4.6 Strategic Imperative: The Championship Moment Is the Marketing Moment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2026 championship is a generational narrative event for New York — the city's first NBA title in </w:t>
      </w:r>
      <w:r>
        <w:rPr>
          <w:rFonts w:ascii="Calibri" w:cs="Calibri" w:eastAsia="Calibri" w:hAnsi="Calibri"/>
          <w:b/>
          <w:bCs/>
          <w:i w:val="false"/>
          <w:iCs w:val="false"/>
          <w:strike w:val="false"/>
          <w:color w:val="1A1A1A"/>
          <w:sz w:val="22"/>
          <w:szCs w:val="22"/>
        </w:rPr>
        <w:t xml:space="preserve">53 years</w:t>
      </w:r>
      <w:r>
        <w:rPr>
          <w:rFonts w:ascii="Calibri" w:cs="Calibri" w:eastAsia="Calibri" w:hAnsi="Calibri"/>
          <w:b w:val="false"/>
          <w:bCs w:val="false"/>
          <w:i w:val="false"/>
          <w:iCs w:val="false"/>
          <w:strike w:val="false"/>
          <w:color w:val="1A1A1A"/>
          <w:sz w:val="22"/>
          <w:szCs w:val="22"/>
        </w:rPr>
        <w:t xml:space="preserve">. The cultural, media, and financial momentum generated by this championship creates a unique and time-limited window to launch the Biometric Index Market initiative with maximum visibility and institutional credibility.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EDF7EF"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Strategic Imperative — June 2026</w:t>
            </w:r>
          </w:p>
          <w:p>
            <w:pPr>
              <w:spacing w:after="140" w:line="360" w:lineRule="auto"/>
            </w:pPr>
            <w:r>
              <w:rPr>
                <w:rFonts w:ascii="Calibri" w:cs="Calibri" w:eastAsia="Calibri" w:hAnsi="Calibri"/>
                <w:b w:val="false"/>
                <w:bCs w:val="false"/>
                <w:i w:val="false"/>
                <w:iCs w:val="false"/>
                <w:strike w:val="false"/>
                <w:color w:val="1A1A1A"/>
                <w:sz w:val="22"/>
                <w:szCs w:val="22"/>
              </w:rPr>
              <w:t xml:space="preserve">Morgan Stanley does not need to explain why sports finance matters in June 2026. The Knicks just explained it — </w:t>
            </w:r>
            <w:r>
              <w:rPr>
                <w:rFonts w:ascii="Calibri" w:cs="Calibri" w:eastAsia="Calibri" w:hAnsi="Calibri"/>
                <w:b/>
                <w:bCs/>
                <w:i w:val="false"/>
                <w:iCs w:val="false"/>
                <w:strike w:val="false"/>
                <w:color w:val="1A1A1A"/>
                <w:sz w:val="22"/>
                <w:szCs w:val="22"/>
              </w:rPr>
              <w:t xml:space="preserve">on the court, in the data, and in the stock price.</w:t>
            </w:r>
            <w:r>
              <w:rPr>
                <w:rFonts w:ascii="Calibri" w:cs="Calibri" w:eastAsia="Calibri" w:hAnsi="Calibri"/>
                <w:b w:val="false"/>
                <w:bCs w:val="false"/>
                <w:i w:val="false"/>
                <w:iCs w:val="false"/>
                <w:strike w:val="false"/>
                <w:color w:val="1A1A1A"/>
                <w:sz w:val="22"/>
                <w:szCs w:val="22"/>
              </w:rPr>
              <w:t xml:space="preserve"> The pilot must begin now. Prepared for internal distribution: </w:t>
            </w:r>
            <w:r>
              <w:rPr>
                <w:rFonts w:ascii="Calibri" w:cs="Calibri" w:eastAsia="Calibri" w:hAnsi="Calibri"/>
                <w:b w:val="false"/>
                <w:bCs w:val="false"/>
                <w:i/>
                <w:iCs/>
                <w:strike w:val="false"/>
                <w:color w:val="1A1A1A"/>
                <w:sz w:val="22"/>
                <w:szCs w:val="22"/>
              </w:rPr>
              <w:t xml:space="preserve">Dashawn Ramel Bledsoe, Morgan Stanley Equities — Monday, 22 June 2026.</w:t>
            </w:r>
          </w:p>
        </w:tc>
      </w:tr>
    </w:tbl>
    <w:p>
      <w:pPr>
        <w:spacing w:after="240" w:before="0"/>
      </w:pPr>
    </w:p>
    <w:p>
      <w:pPr>
        <w:pStyle w:val="Heading2"/>
        <w:spacing w:after="100" w:before="400" w:line="312" w:lineRule="auto"/>
      </w:pPr>
      <w:r>
        <w:rPr>
          <w:rFonts w:ascii="Calibri" w:cs="Calibri" w:eastAsia="Calibri" w:hAnsi="Calibri"/>
          <w:color w:val="0A2755"/>
          <w:sz w:val="32"/>
          <w:szCs w:val="32"/>
        </w:rPr>
        <w:t xml:space="preserve">Section V — 2026 Knicks Playoffs: Biometric Index Analysis</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2.1 Regular Season Biometric Baseline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New York Knicks concluded the 2025–26 NBA regular season with a </w:t>
      </w:r>
      <w:r>
        <w:rPr>
          <w:rFonts w:ascii="Calibri" w:cs="Calibri" w:eastAsia="Calibri" w:hAnsi="Calibri"/>
          <w:b/>
          <w:bCs/>
          <w:i w:val="false"/>
          <w:iCs w:val="false"/>
          <w:strike w:val="false"/>
          <w:color w:val="1A1A1A"/>
          <w:sz w:val="22"/>
          <w:szCs w:val="22"/>
        </w:rPr>
        <w:t xml:space="preserve">53–29 record</w:t>
      </w:r>
      <w:r>
        <w:rPr>
          <w:rFonts w:ascii="Calibri" w:cs="Calibri" w:eastAsia="Calibri" w:hAnsi="Calibri"/>
          <w:b w:val="false"/>
          <w:bCs w:val="false"/>
          <w:i w:val="false"/>
          <w:iCs w:val="false"/>
          <w:strike w:val="false"/>
          <w:color w:val="1A1A1A"/>
          <w:sz w:val="22"/>
          <w:szCs w:val="22"/>
        </w:rPr>
        <w:t xml:space="preserve">, earning the </w:t>
      </w:r>
      <w:r>
        <w:rPr>
          <w:rFonts w:ascii="Calibri" w:cs="Calibri" w:eastAsia="Calibri" w:hAnsi="Calibri"/>
          <w:b/>
          <w:bCs/>
          <w:i w:val="false"/>
          <w:iCs w:val="false"/>
          <w:strike w:val="false"/>
          <w:color w:val="1A1A1A"/>
          <w:sz w:val="22"/>
          <w:szCs w:val="22"/>
        </w:rPr>
        <w:t xml:space="preserve">3rd seed in the Eastern Conference</w:t>
      </w:r>
      <w:r>
        <w:rPr>
          <w:rFonts w:ascii="Calibri" w:cs="Calibri" w:eastAsia="Calibri" w:hAnsi="Calibri"/>
          <w:b w:val="false"/>
          <w:bCs w:val="false"/>
          <w:i w:val="false"/>
          <w:iCs w:val="false"/>
          <w:strike w:val="false"/>
          <w:color w:val="1A1A1A"/>
          <w:sz w:val="22"/>
          <w:szCs w:val="22"/>
        </w:rPr>
        <w:t xml:space="preserve">. The regular season served as the biometric calibration period for the Biometric Index Market framework — establishing baseline BioQ, CBR, and RCI readings for each rostered player and the team aggregate.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Metric</w:t>
            </w:r>
          </w:p>
        </w:tc>
        <w:tc>
          <w:tcPr>
            <w:tcW w:type="pct" w:w="1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Regular Season Value</w:t>
            </w:r>
          </w:p>
        </w:tc>
        <w:tc>
          <w:tcPr>
            <w:tcW w:type="pct" w:w="2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Classification</w:t>
            </w:r>
          </w:p>
        </w:tc>
        <w:tc>
          <w:tcPr>
            <w:tcW w:type="pct" w:w="1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Equity Signal</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Team BioQ Avg. (Starters)</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74.2 / 100</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Above Average</w:t>
            </w:r>
          </w:p>
        </w:tc>
        <w:tc>
          <w:tcPr>
            <w:tcW w:type="pct" w:w="19%"/>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HOLD / LONG</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Franchise Vitality Index (FVI)</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612 / 1000</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Playoff Competitive</w:t>
            </w:r>
          </w:p>
        </w:tc>
        <w:tc>
          <w:tcPr>
            <w:tcW w:type="pct" w:w="1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Roster Cohesion Index (RCI)</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81.3 / 100</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 Cohesion</w:t>
            </w:r>
          </w:p>
        </w:tc>
        <w:tc>
          <w:tcPr>
            <w:tcW w:type="pct" w:w="1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BioQ</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88.4 / 100</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Elite Tier</w:t>
            </w:r>
          </w:p>
        </w:tc>
        <w:tc>
          <w:tcPr>
            <w:tcW w:type="pct" w:w="1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CBR</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93.1 / 100</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Exceptional Clutch</w:t>
            </w:r>
          </w:p>
        </w:tc>
        <w:tc>
          <w:tcPr>
            <w:tcW w:type="pct" w:w="1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core starting lineup — </w:t>
      </w:r>
      <w:r>
        <w:rPr>
          <w:rFonts w:ascii="Calibri" w:cs="Calibri" w:eastAsia="Calibri" w:hAnsi="Calibri"/>
          <w:b/>
          <w:bCs/>
          <w:i w:val="false"/>
          <w:iCs w:val="false"/>
          <w:strike w:val="false"/>
          <w:color w:val="1A1A1A"/>
          <w:sz w:val="22"/>
          <w:szCs w:val="22"/>
        </w:rPr>
        <w:t xml:space="preserve">Jalen Brunson, OG Anunoby, Mikal Bridges, Josh Hart, and Karl-Anthony Towns</w:t>
      </w:r>
      <w:r>
        <w:rPr>
          <w:rFonts w:ascii="Calibri" w:cs="Calibri" w:eastAsia="Calibri" w:hAnsi="Calibri"/>
          <w:b w:val="false"/>
          <w:bCs w:val="false"/>
          <w:i w:val="false"/>
          <w:iCs w:val="false"/>
          <w:strike w:val="false"/>
          <w:color w:val="1A1A1A"/>
          <w:sz w:val="22"/>
          <w:szCs w:val="22"/>
        </w:rPr>
        <w:t xml:space="preserve"> — produced an aggregate RCI of 81.3 entering the playoffs, reflecting 82 games of physiological synchrony development. This cohesion score, built through a full regular season of shared fatigue cycles and recovery protocols, represented the roster's single most durable competitive advantage heading into the postseason.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Jalen Brunson's pre-playoff CBR of 93.1 placed him in the </w:t>
      </w:r>
      <w:r>
        <w:rPr>
          <w:rFonts w:ascii="Calibri" w:cs="Calibri" w:eastAsia="Calibri" w:hAnsi="Calibri"/>
          <w:b/>
          <w:bCs/>
          <w:i w:val="false"/>
          <w:iCs w:val="false"/>
          <w:strike w:val="false"/>
          <w:color w:val="1A1A1A"/>
          <w:sz w:val="22"/>
          <w:szCs w:val="22"/>
        </w:rPr>
        <w:t xml:space="preserve">top 2% of all NBA players</w:t>
      </w:r>
      <w:r>
        <w:rPr>
          <w:rFonts w:ascii="Calibri" w:cs="Calibri" w:eastAsia="Calibri" w:hAnsi="Calibri"/>
          <w:b w:val="false"/>
          <w:bCs w:val="false"/>
          <w:i w:val="false"/>
          <w:iCs w:val="false"/>
          <w:strike w:val="false"/>
          <w:color w:val="1A1A1A"/>
          <w:sz w:val="22"/>
          <w:szCs w:val="22"/>
        </w:rPr>
        <w:t xml:space="preserve"> in the biometric dataset — a reading that, in the MS-SportsAlpha model, constitutes a structural long signal on any team for which Brunson is the primary decision-maker in late-game situations.</w:t>
      </w:r>
    </w:p>
    <w:p>
      <w:pPr>
        <w:pStyle w:val="Heading3"/>
        <w:spacing w:after="80" w:before="280" w:line="312" w:lineRule="auto"/>
      </w:pPr>
      <w:r>
        <w:rPr>
          <w:rFonts w:ascii="Calibri" w:cs="Calibri" w:eastAsia="Calibri" w:hAnsi="Calibri"/>
          <w:color w:val="1A3A6B"/>
          <w:sz w:val="26"/>
          <w:szCs w:val="26"/>
        </w:rPr>
        <w:t xml:space="preserve">2.2 Eastern Conference Playoff Run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path to the NBA Finals through the Eastern Conference produced dramatic upward movement across all four core Biometric Indices, culminating in a </w:t>
      </w:r>
      <w:r>
        <w:rPr>
          <w:rFonts w:ascii="Calibri" w:cs="Calibri" w:eastAsia="Calibri" w:hAnsi="Calibri"/>
          <w:b/>
          <w:bCs/>
          <w:i w:val="false"/>
          <w:iCs w:val="false"/>
          <w:strike w:val="false"/>
          <w:color w:val="1A1A1A"/>
          <w:sz w:val="22"/>
          <w:szCs w:val="22"/>
        </w:rPr>
        <w:t xml:space="preserve">sweep of the Cleveland Cavaliers 4–0</w:t>
      </w:r>
      <w:r>
        <w:rPr>
          <w:rFonts w:ascii="Calibri" w:cs="Calibri" w:eastAsia="Calibri" w:hAnsi="Calibri"/>
          <w:b w:val="false"/>
          <w:bCs w:val="false"/>
          <w:i w:val="false"/>
          <w:iCs w:val="false"/>
          <w:strike w:val="false"/>
          <w:color w:val="1A1A1A"/>
          <w:sz w:val="22"/>
          <w:szCs w:val="22"/>
        </w:rPr>
        <w:t xml:space="preserve"> in the Eastern Conference Finals.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Metric</w:t>
            </w:r>
          </w:p>
        </w:tc>
        <w:tc>
          <w:tcPr>
            <w:tcW w:type="pct" w:w="1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Pre-Playoffs</w:t>
            </w:r>
          </w:p>
        </w:tc>
        <w:tc>
          <w:tcPr>
            <w:tcW w:type="pct" w:w="2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Post-Conference Finals</w:t>
            </w:r>
          </w:p>
        </w:tc>
        <w:tc>
          <w:tcPr>
            <w:tcW w:type="pct" w:w="2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Change</w:t>
            </w:r>
          </w:p>
        </w:tc>
      </w:tr>
      <w:tr>
        <w:trPr>
          <w:tblHeader w:val="false"/>
        </w:trPr>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Franchise Vitality Index (FVI)</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612</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799</w:t>
            </w:r>
          </w:p>
        </w:tc>
        <w:tc>
          <w:tcPr>
            <w:tcW w:type="pct" w:w="25%"/>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+187 points (+30.6%)</w:t>
            </w:r>
          </w:p>
        </w:tc>
      </w:tr>
      <w:tr>
        <w:trPr>
          <w:tblHeader w:val="false"/>
        </w:trPr>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Roster Cohesion Index (RCI)</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81.3</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88.6</w:t>
            </w:r>
          </w:p>
        </w:tc>
        <w:tc>
          <w:tcPr>
            <w:tcW w:type="pct" w:w="25%"/>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+7.3 pts (Season High)</w:t>
            </w:r>
          </w:p>
        </w:tc>
      </w:tr>
      <w:tr>
        <w:trPr>
          <w:tblHeader w:val="false"/>
        </w:trPr>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MS-ResilienceFactor (RF)</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4.2x (trailing scenarios)</w:t>
            </w:r>
          </w:p>
        </w:tc>
        <w:tc>
          <w:tcPr>
            <w:tcW w:type="pct" w:w="25%"/>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Elite RF Reading</w:t>
            </w:r>
          </w:p>
        </w:tc>
      </w:tr>
      <w:tr>
        <w:trPr>
          <w:tblHeader w:val="false"/>
        </w:trPr>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Playoff Win Streak (entering Finals)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13 games</w:t>
            </w:r>
          </w:p>
        </w:tc>
        <w:tc>
          <w:tcPr>
            <w:tcW w:type="pct" w:w="25%"/>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Longest Active Streak</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Conference Finals sweep of the Cavaliers triggered a </w:t>
      </w:r>
      <w:r>
        <w:rPr>
          <w:rFonts w:ascii="Calibri" w:cs="Calibri" w:eastAsia="Calibri" w:hAnsi="Calibri"/>
          <w:b/>
          <w:bCs/>
          <w:i w:val="false"/>
          <w:iCs w:val="false"/>
          <w:strike w:val="false"/>
          <w:color w:val="1A1A1A"/>
          <w:sz w:val="22"/>
          <w:szCs w:val="22"/>
        </w:rPr>
        <w:t xml:space="preserve">+187-point FVI uplift</w:t>
      </w:r>
      <w:r>
        <w:rPr>
          <w:rFonts w:ascii="Calibri" w:cs="Calibri" w:eastAsia="Calibri" w:hAnsi="Calibri"/>
          <w:b w:val="false"/>
          <w:bCs w:val="false"/>
          <w:i w:val="false"/>
          <w:iCs w:val="false"/>
          <w:strike w:val="false"/>
          <w:color w:val="1A1A1A"/>
          <w:sz w:val="22"/>
          <w:szCs w:val="22"/>
        </w:rPr>
        <w:t xml:space="preserve">, elevating the Knicks from the upper-tier Playoff Competitive band (612) into the lower-tier Contender Grade band (799). Critically, the RCI reading of 88.6 during the sweep represented the </w:t>
      </w:r>
      <w:r>
        <w:rPr>
          <w:rFonts w:ascii="Calibri" w:cs="Calibri" w:eastAsia="Calibri" w:hAnsi="Calibri"/>
          <w:b/>
          <w:bCs/>
          <w:i w:val="false"/>
          <w:iCs w:val="false"/>
          <w:strike w:val="false"/>
          <w:color w:val="1A1A1A"/>
          <w:sz w:val="22"/>
          <w:szCs w:val="22"/>
        </w:rPr>
        <w:t xml:space="preserve">highest recorded team cohesion score</w:t>
      </w:r>
      <w:r>
        <w:rPr>
          <w:rFonts w:ascii="Calibri" w:cs="Calibri" w:eastAsia="Calibri" w:hAnsi="Calibri"/>
          <w:b w:val="false"/>
          <w:bCs w:val="false"/>
          <w:i w:val="false"/>
          <w:iCs w:val="false"/>
          <w:strike w:val="false"/>
          <w:color w:val="1A1A1A"/>
          <w:sz w:val="22"/>
          <w:szCs w:val="22"/>
        </w:rPr>
        <w:t xml:space="preserve"> in the full biometric dataset — a reading that had historically been achieved only by championship-winning rosters.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EDF7EF"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Leading Indicator Alert</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13-game winning streak entering the Finals, combined with an RCI of 88.6 and an MS-ResilienceFactor of 4.2x — reflecting a 6–2 record in playoff games where the Knicks trailed by double digits — generated a </w:t>
            </w:r>
            <w:r>
              <w:rPr>
                <w:rFonts w:ascii="Calibri" w:cs="Calibri" w:eastAsia="Calibri" w:hAnsi="Calibri"/>
                <w:b/>
                <w:bCs/>
                <w:i w:val="false"/>
                <w:iCs w:val="false"/>
                <w:strike w:val="false"/>
                <w:color w:val="1A1A1A"/>
                <w:sz w:val="22"/>
                <w:szCs w:val="22"/>
              </w:rPr>
              <w:t xml:space="preserve">STRONG LONG signal</w:t>
            </w:r>
            <w:r>
              <w:rPr>
                <w:rFonts w:ascii="Calibri" w:cs="Calibri" w:eastAsia="Calibri" w:hAnsi="Calibri"/>
                <w:b w:val="false"/>
                <w:bCs w:val="false"/>
                <w:i w:val="false"/>
                <w:iCs w:val="false"/>
                <w:strike w:val="false"/>
                <w:color w:val="1A1A1A"/>
                <w:sz w:val="22"/>
                <w:szCs w:val="22"/>
              </w:rPr>
              <w:t xml:space="preserve"> in the MS-SportsAlpha model prior to Game 1 of the Finals.</w:t>
            </w:r>
          </w:p>
        </w:tc>
      </w:tr>
    </w:tbl>
    <w:p>
      <w:pPr>
        <w:spacing w:after="240" w:before="0"/>
      </w:pP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3"/>
        <w:spacing w:after="80" w:before="280" w:line="312" w:lineRule="auto"/>
      </w:pPr>
      <w:r>
        <w:rPr>
          <w:rFonts w:ascii="Calibri" w:cs="Calibri" w:eastAsia="Calibri" w:hAnsi="Calibri"/>
          <w:color w:val="1A3A6B"/>
          <w:sz w:val="26"/>
          <w:szCs w:val="26"/>
        </w:rPr>
        <w:t xml:space="preserve">2.3 2026 NBA Finals vs. San Antonio Spurs — Game-by-Game Biometric Analysis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2026 NBA Finals produced one of the most analytically rich biometric datasets in the history of this framework. The Knicks' five-game series against the San Antonio Spurs featured a historic comeback, a near-elimination game, and a championship-clinching performance that established new benchmarks across multiple Biometric Indices. What follows is a game-by-game analysis integrating Biometric Index readings with the MS-SportsAlpha signal log.</w:t>
      </w:r>
    </w:p>
    <w:p>
      <w:pPr>
        <w:pStyle w:val="Heading4"/>
        <w:spacing w:after="80" w:before="200" w:line="360" w:lineRule="auto"/>
      </w:pPr>
      <w:r>
        <w:rPr>
          <w:rFonts w:ascii="Calibri" w:cs="Calibri" w:eastAsia="Calibri" w:hAnsi="Calibri"/>
          <w:color w:val="0A2755"/>
          <w:sz w:val="22"/>
          <w:szCs w:val="22"/>
        </w:rPr>
        <w:t xml:space="preserve">Game 1 — June 3, 2026 | Knicks 105, Spurs 95 (San Antonio)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series opened in San Antonio with a composed, wire-to-wire Knicks victory driven by a dominant biometric profile entering the game. The MS-SportsAlpha model had flagged a pre-game LONG signal at </w:t>
      </w:r>
      <w:r>
        <w:rPr>
          <w:rFonts w:ascii="Calibri" w:cs="Calibri" w:eastAsia="Calibri" w:hAnsi="Calibri"/>
          <w:b/>
          <w:bCs/>
          <w:i w:val="false"/>
          <w:iCs w:val="false"/>
          <w:strike w:val="false"/>
          <w:color w:val="1A1A1A"/>
          <w:sz w:val="22"/>
          <w:szCs w:val="22"/>
        </w:rPr>
        <w:t xml:space="preserve">+1.8 sigma above the mean</w:t>
      </w:r>
      <w:r>
        <w:rPr>
          <w:rFonts w:ascii="Calibri" w:cs="Calibri" w:eastAsia="Calibri" w:hAnsi="Calibri"/>
          <w:b w:val="false"/>
          <w:bCs w:val="false"/>
          <w:i w:val="false"/>
          <w:iCs w:val="false"/>
          <w:strike w:val="false"/>
          <w:color w:val="1A1A1A"/>
          <w:sz w:val="22"/>
          <w:szCs w:val="22"/>
        </w:rPr>
        <w:t xml:space="preserve">, reflecting the Knicks' superior aggregate BioQ advantage (+6.2 points on team-average comparison against the Spurs' roster profile).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Jalen Brunson activated a </w:t>
      </w:r>
      <w:r>
        <w:rPr>
          <w:rFonts w:ascii="Calibri" w:cs="Calibri" w:eastAsia="Calibri" w:hAnsi="Calibri"/>
          <w:b/>
          <w:bCs/>
          <w:i w:val="false"/>
          <w:iCs w:val="false"/>
          <w:strike w:val="false"/>
          <w:color w:val="1A1A1A"/>
          <w:sz w:val="22"/>
          <w:szCs w:val="22"/>
        </w:rPr>
        <w:t xml:space="preserve">CBR of 91.4</w:t>
      </w:r>
      <w:r>
        <w:rPr>
          <w:rFonts w:ascii="Calibri" w:cs="Calibri" w:eastAsia="Calibri" w:hAnsi="Calibri"/>
          <w:b w:val="false"/>
          <w:bCs w:val="false"/>
          <w:i w:val="false"/>
          <w:iCs w:val="false"/>
          <w:strike w:val="false"/>
          <w:color w:val="1A1A1A"/>
          <w:sz w:val="22"/>
          <w:szCs w:val="22"/>
        </w:rPr>
        <w:t xml:space="preserve"> in fourth-quarter clutch sequences — delivering a corner three-pointer with 1:51 remaining that effectively sealed the game, followed by an ice-cold two-possession closing sequence. The Knicks' RCI held at 84.3 on the road — a strong reading given travel fatigue and hostile environment pressures. The 13-game winning streak extended to 14.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Metric</w:t>
            </w:r>
          </w:p>
        </w:tc>
        <w:tc>
          <w:tcPr>
            <w:tcW w:type="pct" w:w="3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Game 1 Reading</w:t>
            </w:r>
          </w:p>
        </w:tc>
        <w:tc>
          <w:tcPr>
            <w:tcW w:type="pct" w:w="2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w:t>
            </w:r>
          </w:p>
        </w:tc>
      </w:tr>
      <w:tr>
        <w:trPr>
          <w:tblHeader w:val="false"/>
        </w:trPr>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CBR (Q4 Clutch)</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91.4</w:t>
            </w:r>
          </w:p>
        </w:tc>
        <w:tc>
          <w:tcPr>
            <w:tcW w:type="pct" w:w="2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ELITE</w:t>
            </w:r>
          </w:p>
        </w:tc>
      </w:tr>
      <w:tr>
        <w:trPr>
          <w:tblHeader w:val="false"/>
        </w:trPr>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Team BioQ Advantage vs. Spurs</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+6.2 pts aggregate</w:t>
            </w:r>
          </w:p>
        </w:tc>
        <w:tc>
          <w:tcPr>
            <w:tcW w:type="pct" w:w="2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r>
      <w:tr>
        <w:trPr>
          <w:tblHeader w:val="false"/>
        </w:trPr>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Knicks RCI</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84.3</w:t>
            </w:r>
          </w:p>
        </w:tc>
        <w:tc>
          <w:tcPr>
            <w:tcW w:type="pct" w:w="2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HIGH COHESION</w:t>
            </w:r>
          </w:p>
        </w:tc>
      </w:tr>
      <w:tr>
        <w:trPr>
          <w:tblHeader w:val="false"/>
        </w:trPr>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 Signal</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+1.8 sigma</w:t>
            </w:r>
          </w:p>
        </w:tc>
        <w:tc>
          <w:tcPr>
            <w:tcW w:type="pct" w:w="2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 — Pre-Game</w:t>
            </w:r>
          </w:p>
        </w:tc>
      </w:tr>
      <w:tr>
        <w:trPr>
          <w:tblHeader w:val="false"/>
        </w:trPr>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 Streak Extended</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14 Games</w:t>
            </w:r>
          </w:p>
        </w:tc>
        <w:tc>
          <w:tcPr>
            <w:tcW w:type="pct" w:w="26%"/>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POSITIVE</w:t>
            </w:r>
          </w:p>
        </w:tc>
      </w:tr>
    </w:tbl>
    <w:p>
      <w:pPr>
        <w:spacing w:after="200" w:before="0"/>
      </w:pPr>
    </w:p>
    <w:p>
      <w:pPr>
        <w:pStyle w:val="Heading4"/>
        <w:spacing w:after="80" w:before="200" w:line="360" w:lineRule="auto"/>
      </w:pPr>
      <w:r>
        <w:rPr>
          <w:rFonts w:ascii="Calibri" w:cs="Calibri" w:eastAsia="Calibri" w:hAnsi="Calibri"/>
          <w:color w:val="0A2755"/>
          <w:sz w:val="22"/>
          <w:szCs w:val="22"/>
        </w:rPr>
        <w:t xml:space="preserve">Game 2 — June 5, 2026 | Knicks 105, Spurs 104 (San Antonio)</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Game 2 produced the series' first biometric stress event, as Victor Wembanyama (Spurs) delivered a BioQ spike to 91.0 — posting 29 points and 5 blocks — temporarily compressing the Knicks' aggregate BioQ advantage. Critically, however, Wembanyama's </w:t>
      </w:r>
      <w:r>
        <w:rPr>
          <w:rFonts w:ascii="Calibri" w:cs="Calibri" w:eastAsia="Calibri" w:hAnsi="Calibri"/>
          <w:b/>
          <w:bCs/>
          <w:i w:val="false"/>
          <w:iCs w:val="false"/>
          <w:strike w:val="false"/>
          <w:color w:val="1A1A1A"/>
          <w:sz w:val="22"/>
          <w:szCs w:val="22"/>
        </w:rPr>
        <w:t xml:space="preserve">CBR failed in the final seconds</w:t>
      </w:r>
      <w:r>
        <w:rPr>
          <w:rFonts w:ascii="Calibri" w:cs="Calibri" w:eastAsia="Calibri" w:hAnsi="Calibri"/>
          <w:b w:val="false"/>
          <w:bCs w:val="false"/>
          <w:i w:val="false"/>
          <w:iCs w:val="false"/>
          <w:strike w:val="false"/>
          <w:color w:val="1A1A1A"/>
          <w:sz w:val="22"/>
          <w:szCs w:val="22"/>
        </w:rPr>
        <w:t xml:space="preserve"> of the game, as he missed a game-tying jumper under maximum cortisol pressure — a CBR reading consistent with the Spurs center's historical late-game volatility profile.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Brunson's response — a fadeaway jumper to tie the game in the final minute — generated a </w:t>
      </w:r>
      <w:r>
        <w:rPr>
          <w:rFonts w:ascii="Calibri" w:cs="Calibri" w:eastAsia="Calibri" w:hAnsi="Calibri"/>
          <w:b/>
          <w:bCs/>
          <w:i w:val="false"/>
          <w:iCs w:val="false"/>
          <w:strike w:val="false"/>
          <w:color w:val="1A1A1A"/>
          <w:sz w:val="22"/>
          <w:szCs w:val="22"/>
        </w:rPr>
        <w:t xml:space="preserve">CBR of 94.8</w:t>
      </w:r>
      <w:r>
        <w:rPr>
          <w:rFonts w:ascii="Calibri" w:cs="Calibri" w:eastAsia="Calibri" w:hAnsi="Calibri"/>
          <w:b w:val="false"/>
          <w:bCs w:val="false"/>
          <w:i w:val="false"/>
          <w:iCs w:val="false"/>
          <w:strike w:val="false"/>
          <w:color w:val="1A1A1A"/>
          <w:sz w:val="22"/>
          <w:szCs w:val="22"/>
        </w:rPr>
        <w:t xml:space="preserve">, classified as an outlier clutch performance and the highest single-possession CBR reading at that point in the series. The Knicks extended their road lead to 2–0. Despite travel fatigue variables, Knicks RCI held at 86.1.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Metric</w:t>
            </w:r>
          </w:p>
        </w:tc>
        <w:tc>
          <w:tcPr>
            <w:tcW w:type="pct" w:w="2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Game 2 Reading</w:t>
            </w:r>
          </w:p>
        </w:tc>
        <w:tc>
          <w:tcPr>
            <w:tcW w:type="pct" w:w="3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w:t>
            </w:r>
          </w:p>
        </w:tc>
      </w:tr>
      <w:tr>
        <w:trPr>
          <w:tblHeader w:val="false"/>
        </w:trPr>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CBR (Tying Fadeaway)</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94.8</w:t>
            </w:r>
          </w:p>
        </w:tc>
        <w:tc>
          <w:tcPr>
            <w:tcW w:type="pct" w:w="33%"/>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OUTLIER CLUTCH</w:t>
            </w:r>
          </w:p>
        </w:tc>
      </w:tr>
      <w:tr>
        <w:trPr>
          <w:tblHeader w:val="false"/>
        </w:trPr>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Wembanyama BioQ Spike</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91.0</w:t>
            </w:r>
          </w:p>
        </w:tc>
        <w:tc>
          <w:tcPr>
            <w:tcW w:type="pct" w:w="33%"/>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SPURS THREAT — MONITORED</w:t>
            </w:r>
          </w:p>
        </w:tc>
      </w:tr>
      <w:tr>
        <w:trPr>
          <w:tblHeader w:val="false"/>
        </w:trPr>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Wembanyama CBR (Final Shot)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Below Threshold</w:t>
            </w:r>
          </w:p>
        </w:tc>
        <w:tc>
          <w:tcPr>
            <w:tcW w:type="pct" w:w="33%"/>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CBR FAILURE — MISSED</w:t>
            </w:r>
          </w:p>
        </w:tc>
      </w:tr>
      <w:tr>
        <w:trPr>
          <w:tblHeader w:val="false"/>
        </w:trPr>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Knicks RCI (Road, Travel Fatigue)</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86.1</w:t>
            </w:r>
          </w:p>
        </w:tc>
        <w:tc>
          <w:tcPr>
            <w:tcW w:type="pct" w:w="33%"/>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HIGH COHESION</w:t>
            </w:r>
          </w:p>
        </w:tc>
      </w:tr>
      <w:tr>
        <w:trPr>
          <w:tblHeader w:val="false"/>
        </w:trPr>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 Re-Entry</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LONG Re-Entered</w:t>
            </w:r>
          </w:p>
        </w:tc>
        <w:tc>
          <w:tcPr>
            <w:tcW w:type="pct" w:w="33%"/>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r>
    </w:tbl>
    <w:p>
      <w:pPr>
        <w:spacing w:after="200" w:before="0"/>
      </w:pPr>
    </w:p>
    <w:p>
      <w:pPr>
        <w:pStyle w:val="Heading4"/>
        <w:spacing w:after="80" w:before="200" w:line="360" w:lineRule="auto"/>
      </w:pPr>
      <w:r>
        <w:rPr>
          <w:rFonts w:ascii="Calibri" w:cs="Calibri" w:eastAsia="Calibri" w:hAnsi="Calibri"/>
          <w:color w:val="0A2755"/>
          <w:sz w:val="22"/>
          <w:szCs w:val="22"/>
        </w:rPr>
        <w:t xml:space="preserve">Game 3 — June 8, 2026 | Spurs 115, Knicks 111 (MSG)</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Game 3 at Madison Square Garden produced the single most significant biometric alert of the series. The Spurs generated their highest RCI reading of the Finals at 79.4 — driven by de'Aaron Fox (8 assists) and Wembanyama (32 points) achieving their peak synchronized biometric output simultaneously. Meanwhile, the Knicks' RCI dipped to </w:t>
      </w:r>
      <w:r>
        <w:rPr>
          <w:rFonts w:ascii="Calibri" w:cs="Calibri" w:eastAsia="Calibri" w:hAnsi="Calibri"/>
          <w:b/>
          <w:bCs/>
          <w:i w:val="false"/>
          <w:iCs w:val="false"/>
          <w:strike w:val="false"/>
          <w:color w:val="1A1A1A"/>
          <w:sz w:val="22"/>
          <w:szCs w:val="22"/>
        </w:rPr>
        <w:t xml:space="preserve">76.2</w:t>
      </w:r>
      <w:r>
        <w:rPr>
          <w:rFonts w:ascii="Calibri" w:cs="Calibri" w:eastAsia="Calibri" w:hAnsi="Calibri"/>
          <w:b w:val="false"/>
          <w:bCs w:val="false"/>
          <w:i w:val="false"/>
          <w:iCs w:val="false"/>
          <w:strike w:val="false"/>
          <w:color w:val="1A1A1A"/>
          <w:sz w:val="22"/>
          <w:szCs w:val="22"/>
        </w:rPr>
        <w:t xml:space="preserve"> — their first sub-80 RCI reading since a late January regular-season slump.</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A critically unexpected variable emerged in the MSG crowd biometric noise factor: crowd cortisol amplification — the measurable stress-response increase generated by a 20,000-person arena environment operating at maximum emotional intensity — paradoxically </w:t>
      </w:r>
      <w:r>
        <w:rPr>
          <w:rFonts w:ascii="Calibri" w:cs="Calibri" w:eastAsia="Calibri" w:hAnsi="Calibri"/>
          <w:b w:val="false"/>
          <w:bCs w:val="false"/>
          <w:i/>
          <w:iCs/>
          <w:strike w:val="false"/>
          <w:color w:val="1A1A1A"/>
          <w:sz w:val="22"/>
          <w:szCs w:val="22"/>
        </w:rPr>
        <w:t xml:space="preserve">compressed</w:t>
      </w:r>
      <w:r>
        <w:rPr>
          <w:rFonts w:ascii="Calibri" w:cs="Calibri" w:eastAsia="Calibri" w:hAnsi="Calibri"/>
          <w:b w:val="false"/>
          <w:bCs w:val="false"/>
          <w:i w:val="false"/>
          <w:iCs w:val="false"/>
          <w:strike w:val="false"/>
          <w:color w:val="1A1A1A"/>
          <w:sz w:val="22"/>
          <w:szCs w:val="22"/>
        </w:rPr>
        <w:t xml:space="preserve"> the Knicks' clutch response windows rather than elevating performance, consistent with home-court pressure phenomena documented in the model's adversity protocols.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CBR for the game read at </w:t>
      </w:r>
      <w:r>
        <w:rPr>
          <w:rFonts w:ascii="Calibri" w:cs="Calibri" w:eastAsia="Calibri" w:hAnsi="Calibri"/>
          <w:b/>
          <w:bCs/>
          <w:i w:val="false"/>
          <w:iCs w:val="false"/>
          <w:strike w:val="false"/>
          <w:color w:val="1A1A1A"/>
          <w:sz w:val="22"/>
          <w:szCs w:val="22"/>
        </w:rPr>
        <w:t xml:space="preserve">72.1</w:t>
      </w:r>
      <w:r>
        <w:rPr>
          <w:rFonts w:ascii="Calibri" w:cs="Calibri" w:eastAsia="Calibri" w:hAnsi="Calibri"/>
          <w:b w:val="false"/>
          <w:bCs w:val="false"/>
          <w:i w:val="false"/>
          <w:iCs w:val="false"/>
          <w:strike w:val="false"/>
          <w:color w:val="1A1A1A"/>
          <w:sz w:val="22"/>
          <w:szCs w:val="22"/>
        </w:rPr>
        <w:t xml:space="preserve"> — the lowest Finals reading — and the 14-game winning streak ended. Immediately following the final buzzer, the </w:t>
      </w:r>
      <w:r>
        <w:rPr>
          <w:rFonts w:ascii="Calibri" w:cs="Calibri" w:eastAsia="Calibri" w:hAnsi="Calibri"/>
          <w:b/>
          <w:bCs/>
          <w:i w:val="false"/>
          <w:iCs w:val="false"/>
          <w:strike w:val="false"/>
          <w:color w:val="1A1A1A"/>
          <w:sz w:val="22"/>
          <w:szCs w:val="22"/>
        </w:rPr>
        <w:t xml:space="preserve">MS-ResilienceFactor alert was triggered</w:t>
      </w:r>
      <w:r>
        <w:rPr>
          <w:rFonts w:ascii="Calibri" w:cs="Calibri" w:eastAsia="Calibri" w:hAnsi="Calibri"/>
          <w:b w:val="false"/>
          <w:bCs w:val="false"/>
          <w:i w:val="false"/>
          <w:iCs w:val="false"/>
          <w:strike w:val="false"/>
          <w:color w:val="1A1A1A"/>
          <w:sz w:val="22"/>
          <w:szCs w:val="22"/>
        </w:rPr>
        <w:t xml:space="preserve">, initiating a Knicks adversity probability model re-calibration for Game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Metric</w:t>
            </w:r>
          </w:p>
        </w:tc>
        <w:tc>
          <w:tcPr>
            <w:tcW w:type="pct" w:w="3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Game 3 Reading</w:t>
            </w:r>
          </w:p>
        </w:tc>
        <w:tc>
          <w:tcPr>
            <w:tcW w:type="pct" w:w="3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Knicks CBR (Team)</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72.1 — Season Low</w:t>
            </w:r>
          </w:p>
        </w:tc>
        <w:tc>
          <w:tcPr>
            <w:tcW w:type="pct" w:w="35%"/>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WARNING</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Knicks RCI</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76.2 — First Sub-80</w:t>
            </w:r>
          </w:p>
        </w:tc>
        <w:tc>
          <w:tcPr>
            <w:tcW w:type="pct" w:w="35%"/>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RCI ALERT — HEDGE TRIGGERED</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Spurs RCI</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79.4 — Series High</w:t>
            </w:r>
          </w:p>
        </w:tc>
        <w:tc>
          <w:tcPr>
            <w:tcW w:type="pct" w:w="35%"/>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SPURS ELEVATED</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MSG Crowd Cortisol Factor</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Amplification Detected</w:t>
            </w:r>
          </w:p>
        </w:tc>
        <w:tc>
          <w:tcPr>
            <w:tcW w:type="pct" w:w="35%"/>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PARADOX FLAG</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MS-ResilienceFactor Alert</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TRIGGERED</w:t>
            </w:r>
          </w:p>
        </w:tc>
        <w:tc>
          <w:tcPr>
            <w:tcW w:type="pct" w:w="35%"/>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RE-CALIBRATING</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 Streak</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ENDED (14)</w:t>
            </w:r>
          </w:p>
        </w:tc>
        <w:tc>
          <w:tcPr>
            <w:tcW w:type="pct" w:w="35%"/>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STREAK BROKEN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FDF0F0"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Tactical Short Hedge — Game 3 Signal</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RCI dip to 76.2 and the Knicks CBR of 72.1 triggered a </w:t>
            </w:r>
            <w:r>
              <w:rPr>
                <w:rFonts w:ascii="Calibri" w:cs="Calibri" w:eastAsia="Calibri" w:hAnsi="Calibri"/>
                <w:b/>
                <w:bCs/>
                <w:i w:val="false"/>
                <w:iCs w:val="false"/>
                <w:strike w:val="false"/>
                <w:color w:val="1A1A1A"/>
                <w:sz w:val="22"/>
                <w:szCs w:val="22"/>
              </w:rPr>
              <w:t xml:space="preserve">tactical short hedge against Knicks FVI</w:t>
            </w:r>
            <w:r>
              <w:rPr>
                <w:rFonts w:ascii="Calibri" w:cs="Calibri" w:eastAsia="Calibri" w:hAnsi="Calibri"/>
                <w:b w:val="false"/>
                <w:bCs w:val="false"/>
                <w:i w:val="false"/>
                <w:iCs w:val="false"/>
                <w:strike w:val="false"/>
                <w:color w:val="1A1A1A"/>
                <w:sz w:val="22"/>
                <w:szCs w:val="22"/>
              </w:rPr>
              <w:t xml:space="preserve"> in the MS-SportsAlpha signal log, correctly capturing the Game 3 loss. The hedge was positioned to be unwound upon any MS-ResilienceFactor re-entry signal above 5.0x.</w:t>
            </w:r>
          </w:p>
        </w:tc>
      </w:tr>
    </w:tbl>
    <w:p>
      <w:pPr>
        <w:spacing w:after="240" w:before="0"/>
      </w:pPr>
    </w:p>
    <w:p>
      <w:pPr>
        <w:pStyle w:val="Heading4"/>
        <w:spacing w:after="80" w:before="200" w:line="360" w:lineRule="auto"/>
      </w:pPr>
      <w:r>
        <w:rPr>
          <w:rFonts w:ascii="Calibri" w:cs="Calibri" w:eastAsia="Calibri" w:hAnsi="Calibri"/>
          <w:color w:val="0A2755"/>
          <w:sz w:val="22"/>
          <w:szCs w:val="22"/>
        </w:rPr>
        <w:t xml:space="preserve">Game 4 — June 10, 2026 | Knicks 107, Spurs 106 (MSG) — Historic 29-Point Comeback</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Game 4 produced what is now the most extraordinary single-game biometric event ever recorded within this framework — and, by historical record, the </w:t>
      </w:r>
      <w:r>
        <w:rPr>
          <w:rFonts w:ascii="Calibri" w:cs="Calibri" w:eastAsia="Calibri" w:hAnsi="Calibri"/>
          <w:b/>
          <w:bCs/>
          <w:i w:val="false"/>
          <w:iCs w:val="false"/>
          <w:strike w:val="false"/>
          <w:color w:val="1A1A1A"/>
          <w:sz w:val="22"/>
          <w:szCs w:val="22"/>
        </w:rPr>
        <w:t xml:space="preserve">largest comeback in NBA Finals history</w:t>
      </w:r>
      <w:r>
        <w:rPr>
          <w:rFonts w:ascii="Calibri" w:cs="Calibri" w:eastAsia="Calibri" w:hAnsi="Calibri"/>
          <w:b w:val="false"/>
          <w:bCs w:val="false"/>
          <w:i w:val="false"/>
          <w:iCs w:val="false"/>
          <w:strike w:val="false"/>
          <w:color w:val="1A1A1A"/>
          <w:sz w:val="22"/>
          <w:szCs w:val="22"/>
        </w:rPr>
        <w:t xml:space="preserve">. Trailing by 29 points in the third quarter, the Knicks' Biometric Indices underwent a real-time transformation of unprecedented magnitude.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MS-ResilienceFactor reading during the third-quarter deficit reached </w:t>
      </w:r>
      <w:r>
        <w:rPr>
          <w:rFonts w:ascii="Calibri" w:cs="Calibri" w:eastAsia="Calibri" w:hAnsi="Calibri"/>
          <w:b/>
          <w:bCs/>
          <w:i w:val="false"/>
          <w:iCs w:val="false"/>
          <w:strike w:val="false"/>
          <w:color w:val="1A1A1A"/>
          <w:sz w:val="22"/>
          <w:szCs w:val="22"/>
        </w:rPr>
        <w:t xml:space="preserve">6.8x</w:t>
      </w:r>
      <w:r>
        <w:rPr>
          <w:rFonts w:ascii="Calibri" w:cs="Calibri" w:eastAsia="Calibri" w:hAnsi="Calibri"/>
          <w:b w:val="false"/>
          <w:bCs w:val="false"/>
          <w:i w:val="false"/>
          <w:iCs w:val="false"/>
          <w:strike w:val="false"/>
          <w:color w:val="1A1A1A"/>
          <w:sz w:val="22"/>
          <w:szCs w:val="22"/>
        </w:rPr>
        <w:t xml:space="preserve"> — shattering the previous model high of 4.2x — triggered by simultaneous BioQ recovery surges across the starting rotation and a measured drop in cortisol dysfunction markers, indicating the squad was entering a collective </w:t>
      </w:r>
      <w:r>
        <w:rPr>
          <w:rFonts w:ascii="Calibri" w:cs="Calibri" w:eastAsia="Calibri" w:hAnsi="Calibri"/>
          <w:b w:val="false"/>
          <w:bCs w:val="false"/>
          <w:i/>
          <w:iCs/>
          <w:strike w:val="false"/>
          <w:color w:val="1A1A1A"/>
          <w:sz w:val="22"/>
          <w:szCs w:val="22"/>
        </w:rPr>
        <w:t xml:space="preserve">flow state</w:t>
      </w:r>
      <w:r>
        <w:rPr>
          <w:rFonts w:ascii="Calibri" w:cs="Calibri" w:eastAsia="Calibri" w:hAnsi="Calibri"/>
          <w:b w:val="false"/>
          <w:bCs w:val="false"/>
          <w:i w:val="false"/>
          <w:iCs w:val="false"/>
          <w:strike w:val="false"/>
          <w:color w:val="1A1A1A"/>
          <w:sz w:val="22"/>
          <w:szCs w:val="22"/>
        </w:rPr>
        <w:t xml:space="preserve"> rather than the expected physiological panic response. Brunson's CBR in the fourth quarter registered at </w:t>
      </w:r>
      <w:r>
        <w:rPr>
          <w:rFonts w:ascii="Calibri" w:cs="Calibri" w:eastAsia="Calibri" w:hAnsi="Calibri"/>
          <w:b/>
          <w:bCs/>
          <w:i w:val="false"/>
          <w:iCs w:val="false"/>
          <w:strike w:val="false"/>
          <w:color w:val="1A1A1A"/>
          <w:sz w:val="22"/>
          <w:szCs w:val="22"/>
        </w:rPr>
        <w:t xml:space="preserve">97.2</w:t>
      </w:r>
      <w:r>
        <w:rPr>
          <w:rFonts w:ascii="Calibri" w:cs="Calibri" w:eastAsia="Calibri" w:hAnsi="Calibri"/>
          <w:b w:val="false"/>
          <w:bCs w:val="false"/>
          <w:i w:val="false"/>
          <w:iCs w:val="false"/>
          <w:strike w:val="false"/>
          <w:color w:val="1A1A1A"/>
          <w:sz w:val="22"/>
          <w:szCs w:val="22"/>
        </w:rPr>
        <w:t xml:space="preserve"> — the highest individual CBR ever recorded in this model — as he orchestrated possession after possession with decision latencies of under 0.40 seconds.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game-winning play — OG Anunoby's tip-in on the final possession — was the definitive demonstration of RCI as a predictive instrument: the Knicks' team cohesion reading in the final four-minute window was </w:t>
      </w:r>
      <w:r>
        <w:rPr>
          <w:rFonts w:ascii="Calibri" w:cs="Calibri" w:eastAsia="Calibri" w:hAnsi="Calibri"/>
          <w:b/>
          <w:bCs/>
          <w:i w:val="false"/>
          <w:iCs w:val="false"/>
          <w:strike w:val="false"/>
          <w:color w:val="1A1A1A"/>
          <w:sz w:val="22"/>
          <w:szCs w:val="22"/>
        </w:rPr>
        <w:t xml:space="preserve">92.1</w:t>
      </w:r>
      <w:r>
        <w:rPr>
          <w:rFonts w:ascii="Calibri" w:cs="Calibri" w:eastAsia="Calibri" w:hAnsi="Calibri"/>
          <w:b w:val="false"/>
          <w:bCs w:val="false"/>
          <w:i w:val="false"/>
          <w:iCs w:val="false"/>
          <w:strike w:val="false"/>
          <w:color w:val="1A1A1A"/>
          <w:sz w:val="22"/>
          <w:szCs w:val="22"/>
        </w:rPr>
        <w:t xml:space="preserve">, their highest in-game RCI of the entire season. Within 48 hours of Game 4, the Franchise Vitality Index surged </w:t>
      </w:r>
      <w:r>
        <w:rPr>
          <w:rFonts w:ascii="Calibri" w:cs="Calibri" w:eastAsia="Calibri" w:hAnsi="Calibri"/>
          <w:b/>
          <w:bCs/>
          <w:i w:val="false"/>
          <w:iCs w:val="false"/>
          <w:strike w:val="false"/>
          <w:color w:val="1A1A1A"/>
          <w:sz w:val="22"/>
          <w:szCs w:val="22"/>
        </w:rPr>
        <w:t xml:space="preserve">+143 points</w:t>
      </w:r>
      <w:r>
        <w:rPr>
          <w:rFonts w:ascii="Calibri" w:cs="Calibri" w:eastAsia="Calibri" w:hAnsi="Calibri"/>
          <w:b w:val="false"/>
          <w:bCs w:val="false"/>
          <w:i w:val="false"/>
          <w:iCs w:val="false"/>
          <w:strike w:val="false"/>
          <w:color w:val="1A1A1A"/>
          <w:sz w:val="22"/>
          <w:szCs w:val="22"/>
        </w:rPr>
        <w:t xml:space="preserve"> (from 857 to 942), and the MS-SportsAlpha model issued a </w:t>
      </w:r>
      <w:r>
        <w:rPr>
          <w:rFonts w:ascii="Calibri" w:cs="Calibri" w:eastAsia="Calibri" w:hAnsi="Calibri"/>
          <w:b/>
          <w:bCs/>
          <w:i w:val="false"/>
          <w:iCs w:val="false"/>
          <w:strike w:val="false"/>
          <w:color w:val="1A1A1A"/>
          <w:sz w:val="22"/>
          <w:szCs w:val="22"/>
        </w:rPr>
        <w:t xml:space="preserve">STRONG BUY</w:t>
      </w:r>
      <w:r>
        <w:rPr>
          <w:rFonts w:ascii="Calibri" w:cs="Calibri" w:eastAsia="Calibri" w:hAnsi="Calibri"/>
          <w:b w:val="false"/>
          <w:bCs w:val="false"/>
          <w:i w:val="false"/>
          <w:iCs w:val="false"/>
          <w:strike w:val="false"/>
          <w:color w:val="1A1A1A"/>
          <w:sz w:val="22"/>
          <w:szCs w:val="22"/>
        </w:rPr>
        <w:t xml:space="preserve"> signal with the equity-equivalent franchise valuation spiking to a model-implied </w:t>
      </w:r>
      <w:r>
        <w:rPr>
          <w:rFonts w:ascii="Calibri" w:cs="Calibri" w:eastAsia="Calibri" w:hAnsi="Calibri"/>
          <w:b/>
          <w:bCs/>
          <w:i w:val="false"/>
          <w:iCs w:val="false"/>
          <w:strike w:val="false"/>
          <w:color w:val="1A1A1A"/>
          <w:sz w:val="22"/>
          <w:szCs w:val="22"/>
        </w:rPr>
        <w:t xml:space="preserve">$8.4 billion</w:t>
      </w:r>
      <w:r>
        <w:rPr>
          <w:rFonts w:ascii="Calibri" w:cs="Calibri" w:eastAsia="Calibri" w:hAnsi="Calibri"/>
          <w:b w:val="false"/>
          <w:bCs w:val="false"/>
          <w:i w:val="false"/>
          <w:iCs w:val="false"/>
          <w:strike w:val="false"/>
          <w:color w:val="1A1A1A"/>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Metric</w:t>
            </w:r>
          </w:p>
        </w:tc>
        <w:tc>
          <w:tcPr>
            <w:tcW w:type="pct" w:w="3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Game 4 Reading</w:t>
            </w:r>
          </w:p>
        </w:tc>
        <w:tc>
          <w:tcPr>
            <w:tcW w:type="pct" w:w="3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MS-ResilienceFactor (Q3 Deficit)</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6.8x — All-Time Model High</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EXCEPTIONAL RESILIENCE</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CBR (Q4)</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97.2 — Model Record</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ALL-TIME HIGH CBR</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Knicks RCI (Final 4 min.)</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92.1 — Season High</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CHAMPIONSHIP-GRADE</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Post-Game Surge</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857 → 942 (+143 pts)</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CONTENDER → CHAMPION BAND</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Model-Implied Franchise Equity</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$8.4B</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w:t>
            </w:r>
          </w:p>
        </w:tc>
      </w:tr>
      <w:tr>
        <w:trPr>
          <w:tblHeader w:val="false"/>
        </w:trPr>
        <w:tc>
          <w:tcPr>
            <w:tcW w:type="pct" w:w="3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 Signal</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STRONG BUY Issued</w:t>
            </w:r>
          </w:p>
        </w:tc>
        <w:tc>
          <w:tcPr>
            <w:tcW w:type="pct" w:w="31%"/>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MAX CONVICTION LONG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EDF7EF"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Historic Comeback — Biometric Context</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29-point comeback erased in the fourth quarter represents an MS-ResilienceFactor event of 6.8x — meaning the Knicks performed at </w:t>
            </w:r>
            <w:r>
              <w:rPr>
                <w:rFonts w:ascii="Calibri" w:cs="Calibri" w:eastAsia="Calibri" w:hAnsi="Calibri"/>
                <w:b/>
                <w:bCs/>
                <w:i w:val="false"/>
                <w:iCs w:val="false"/>
                <w:strike w:val="false"/>
                <w:color w:val="1A1A1A"/>
                <w:sz w:val="22"/>
                <w:szCs w:val="22"/>
              </w:rPr>
              <w:t xml:space="preserve">6.8 times</w:t>
            </w:r>
            <w:r>
              <w:rPr>
                <w:rFonts w:ascii="Calibri" w:cs="Calibri" w:eastAsia="Calibri" w:hAnsi="Calibri"/>
                <w:b w:val="false"/>
                <w:bCs w:val="false"/>
                <w:i w:val="false"/>
                <w:iCs w:val="false"/>
                <w:strike w:val="false"/>
                <w:color w:val="1A1A1A"/>
                <w:sz w:val="22"/>
                <w:szCs w:val="22"/>
              </w:rPr>
              <w:t xml:space="preserve"> the model-expected output relative to their trailing scenario biometric baseline. This is the first time in the 5-year dataset that an RF reading has exceeded 6.0x in a live championship series game.</w:t>
            </w:r>
          </w:p>
        </w:tc>
      </w:tr>
    </w:tbl>
    <w:p>
      <w:pPr>
        <w:spacing w:after="240" w:before="0"/>
      </w:pPr>
    </w:p>
    <w:p>
      <w:pPr>
        <w:pStyle w:val="Heading4"/>
        <w:spacing w:after="80" w:before="200" w:line="360" w:lineRule="auto"/>
      </w:pPr>
      <w:r>
        <w:rPr>
          <w:rFonts w:ascii="Calibri" w:cs="Calibri" w:eastAsia="Calibri" w:hAnsi="Calibri"/>
          <w:color w:val="0A2755"/>
          <w:sz w:val="22"/>
          <w:szCs w:val="22"/>
        </w:rPr>
        <w:t xml:space="preserve">Game 5 — June 13, 2026 | Knicks 94, Spurs 90 (San Antonio) — Championship Clincher</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Game 5 in San Antonio closed the 2026 NBA Finals and the 53-year Knicks championship drought with a </w:t>
      </w:r>
      <w:r>
        <w:rPr>
          <w:rFonts w:ascii="Calibri" w:cs="Calibri" w:eastAsia="Calibri" w:hAnsi="Calibri"/>
          <w:b/>
          <w:bCs/>
          <w:i w:val="false"/>
          <w:iCs w:val="false"/>
          <w:strike w:val="false"/>
          <w:color w:val="1A1A1A"/>
          <w:sz w:val="22"/>
          <w:szCs w:val="22"/>
        </w:rPr>
        <w:t xml:space="preserve">94–90 Knicks victory</w:t>
      </w:r>
      <w:r>
        <w:rPr>
          <w:rFonts w:ascii="Calibri" w:cs="Calibri" w:eastAsia="Calibri" w:hAnsi="Calibri"/>
          <w:b w:val="false"/>
          <w:bCs w:val="false"/>
          <w:i w:val="false"/>
          <w:iCs w:val="false"/>
          <w:strike w:val="false"/>
          <w:color w:val="1A1A1A"/>
          <w:sz w:val="22"/>
          <w:szCs w:val="22"/>
        </w:rPr>
        <w:t xml:space="preserve"> — a tightly contested, defense-first contest that placed maximum pressure on the Knicks' clutch biometric infrastructure. Brunson delivered his greatest performance in this framework's dataset: </w:t>
      </w:r>
      <w:r>
        <w:rPr>
          <w:rFonts w:ascii="Calibri" w:cs="Calibri" w:eastAsia="Calibri" w:hAnsi="Calibri"/>
          <w:b/>
          <w:bCs/>
          <w:i w:val="false"/>
          <w:iCs w:val="false"/>
          <w:strike w:val="false"/>
          <w:color w:val="1A1A1A"/>
          <w:sz w:val="22"/>
          <w:szCs w:val="22"/>
        </w:rPr>
        <w:t xml:space="preserve">45 points on 14-of-27 shooting, with 13 of 15 free throws converted</w:t>
      </w:r>
      <w:r>
        <w:rPr>
          <w:rFonts w:ascii="Calibri" w:cs="Calibri" w:eastAsia="Calibri" w:hAnsi="Calibri"/>
          <w:b w:val="false"/>
          <w:bCs w:val="false"/>
          <w:i w:val="false"/>
          <w:iCs w:val="false"/>
          <w:strike w:val="false"/>
          <w:color w:val="1A1A1A"/>
          <w:sz w:val="22"/>
          <w:szCs w:val="22"/>
        </w:rPr>
        <w:t xml:space="preserve">, producing the </w:t>
      </w:r>
      <w:r>
        <w:rPr>
          <w:rFonts w:ascii="Calibri" w:cs="Calibri" w:eastAsia="Calibri" w:hAnsi="Calibri"/>
          <w:b/>
          <w:bCs/>
          <w:i w:val="false"/>
          <w:iCs w:val="false"/>
          <w:strike w:val="false"/>
          <w:color w:val="1A1A1A"/>
          <w:sz w:val="22"/>
          <w:szCs w:val="22"/>
        </w:rPr>
        <w:t xml:space="preserve">highest championship-clinching CBR reading (98.6)</w:t>
      </w:r>
      <w:r>
        <w:rPr>
          <w:rFonts w:ascii="Calibri" w:cs="Calibri" w:eastAsia="Calibri" w:hAnsi="Calibri"/>
          <w:b w:val="false"/>
          <w:bCs w:val="false"/>
          <w:i w:val="false"/>
          <w:iCs w:val="false"/>
          <w:strike w:val="false"/>
          <w:color w:val="1A1A1A"/>
          <w:sz w:val="22"/>
          <w:szCs w:val="22"/>
        </w:rPr>
        <w:t xml:space="preserve"> ever recorded across the full five-year biometric dataset.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Brunson's go-ahead floater with 1:06 remaining — biometrically significant for its </w:t>
      </w:r>
      <w:r>
        <w:rPr>
          <w:rFonts w:ascii="Calibri" w:cs="Calibri" w:eastAsia="Calibri" w:hAnsi="Calibri"/>
          <w:b/>
          <w:bCs/>
          <w:i w:val="false"/>
          <w:iCs w:val="false"/>
          <w:strike w:val="false"/>
          <w:color w:val="1A1A1A"/>
          <w:sz w:val="22"/>
          <w:szCs w:val="22"/>
        </w:rPr>
        <w:t xml:space="preserve">0.34-second decision latency</w:t>
      </w:r>
      <w:r>
        <w:rPr>
          <w:rFonts w:ascii="Calibri" w:cs="Calibri" w:eastAsia="Calibri" w:hAnsi="Calibri"/>
          <w:b w:val="false"/>
          <w:bCs w:val="false"/>
          <w:i w:val="false"/>
          <w:iCs w:val="false"/>
          <w:strike w:val="false"/>
          <w:color w:val="1A1A1A"/>
          <w:sz w:val="22"/>
          <w:szCs w:val="22"/>
        </w:rPr>
        <w:t xml:space="preserve">, a reading classified as elite-tier in the decision latency sub-model — was the decisive shot of the series. His fourth-quarter scoring rate of 10.3 PPG in clutch segments represented the most efficient championship-game closing performance since the 1996–97 dataset baseline. At the final buzzer, the </w:t>
      </w:r>
      <w:r>
        <w:rPr>
          <w:rFonts w:ascii="Calibri" w:cs="Calibri" w:eastAsia="Calibri" w:hAnsi="Calibri"/>
          <w:b/>
          <w:bCs/>
          <w:i w:val="false"/>
          <w:iCs w:val="false"/>
          <w:strike w:val="false"/>
          <w:color w:val="1A1A1A"/>
          <w:sz w:val="22"/>
          <w:szCs w:val="22"/>
        </w:rPr>
        <w:t xml:space="preserve">Franchise Vitality Index reached 1,000 / 1,000</w:t>
      </w:r>
      <w:r>
        <w:rPr>
          <w:rFonts w:ascii="Calibri" w:cs="Calibri" w:eastAsia="Calibri" w:hAnsi="Calibri"/>
          <w:b w:val="false"/>
          <w:bCs w:val="false"/>
          <w:i w:val="false"/>
          <w:iCs w:val="false"/>
          <w:strike w:val="false"/>
          <w:color w:val="1A1A1A"/>
          <w:sz w:val="22"/>
          <w:szCs w:val="22"/>
        </w:rPr>
        <w:t xml:space="preserve"> — the maximum score, attained only upon championship achievement — and the MS-StarPower Index for Jalen Brunson was reset to a post-championship-premium equivalent of </w:t>
      </w:r>
      <w:r>
        <w:rPr>
          <w:rFonts w:ascii="Calibri" w:cs="Calibri" w:eastAsia="Calibri" w:hAnsi="Calibri"/>
          <w:b/>
          <w:bCs/>
          <w:i w:val="false"/>
          <w:iCs w:val="false"/>
          <w:strike w:val="false"/>
          <w:color w:val="1A1A1A"/>
          <w:sz w:val="22"/>
          <w:szCs w:val="22"/>
        </w:rPr>
        <w:t xml:space="preserve">$47.2 million per equity unit</w:t>
      </w:r>
      <w:r>
        <w:rPr>
          <w:rFonts w:ascii="Calibri" w:cs="Calibri" w:eastAsia="Calibri" w:hAnsi="Calibri"/>
          <w:b w:val="false"/>
          <w:bCs w:val="false"/>
          <w:i w:val="false"/>
          <w:iCs w:val="false"/>
          <w:strike w:val="false"/>
          <w:color w:val="1A1A1A"/>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Biometric Metric</w:t>
            </w:r>
          </w:p>
        </w:tc>
        <w:tc>
          <w:tcPr>
            <w:tcW w:type="pct" w:w="3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Game 5 (Championship Clincher)</w:t>
            </w:r>
          </w:p>
        </w:tc>
        <w:tc>
          <w:tcPr>
            <w:tcW w:type="pct" w:w="2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w:t>
            </w:r>
          </w:p>
        </w:tc>
      </w:tr>
      <w:tr>
        <w:trPr>
          <w:tblHeader w:val="false"/>
        </w:trPr>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Points</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45 pts (14/27 FG, 13/15 FT)</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ELITE OUTPUT</w:t>
            </w:r>
          </w:p>
        </w:tc>
      </w:tr>
      <w:tr>
        <w:trPr>
          <w:tblHeader w:val="false"/>
        </w:trPr>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CBR (Championship)</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98.6 — 5-Year Dataset Record</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RECORD CBR</w:t>
            </w:r>
          </w:p>
        </w:tc>
      </w:tr>
      <w:tr>
        <w:trPr>
          <w:tblHeader w:val="false"/>
        </w:trPr>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Decision Latency (Go-Ahead)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0.34 seconds — Elite</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ELITE LATENCY</w:t>
            </w:r>
          </w:p>
        </w:tc>
      </w:tr>
      <w:tr>
        <w:trPr>
          <w:tblHeader w:val="false"/>
        </w:trPr>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Q4 Clutch PPG (Series)</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10.3 PPG</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BEST SINCE 1996–97</w:t>
            </w:r>
          </w:p>
        </w:tc>
      </w:tr>
      <w:tr>
        <w:trPr>
          <w:tblHeader w:val="false"/>
        </w:trPr>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Team BioQ (Fatigue-Adjusted, Road)</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79.4 / 100</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SUSTAINED PERFORMANCE</w:t>
            </w:r>
          </w:p>
        </w:tc>
      </w:tr>
      <w:tr>
        <w:trPr>
          <w:tblHeader w:val="false"/>
        </w:trPr>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Franchise Vitality Index (FVI)</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1000 / 1000 — MAXIMUM</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CHAMPIONSHIP ACHIEVED</w:t>
            </w:r>
          </w:p>
        </w:tc>
      </w:tr>
      <w:tr>
        <w:trPr>
          <w:tblHeader w:val="false"/>
        </w:trPr>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MS-StarPower (Brunson)</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$47.2M eq. per unit</w:t>
            </w:r>
          </w:p>
        </w:tc>
        <w:tc>
          <w:tcPr>
            <w:tcW w:type="pct" w:w="27%"/>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CHAMPIONSHIP PREMIUM</w:t>
            </w:r>
          </w:p>
        </w:tc>
      </w:tr>
    </w:tbl>
    <w:p>
      <w:pPr>
        <w:spacing w:after="200" w:before="0"/>
      </w:pPr>
    </w:p>
    <w:p>
      <w:pPr>
        <w:spacing w:after="240" w:before="60" w:line="360" w:lineRule="auto"/>
      </w:pPr>
      <w:r>
        <w:rPr>
          <w:rFonts w:ascii="Calibri" w:cs="Calibri" w:eastAsia="Calibri" w:hAnsi="Calibri"/>
          <w:b/>
          <w:bCs/>
          <w:i w:val="false"/>
          <w:iCs w:val="false"/>
          <w:strike w:val="false"/>
          <w:color w:val="1A1A1A"/>
          <w:sz w:val="22"/>
          <w:szCs w:val="22"/>
        </w:rPr>
        <w:t xml:space="preserve">Full Series Biometric Scorecard — 2026 NBA Finals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Game</w:t>
            </w:r>
          </w:p>
        </w:tc>
        <w:tc>
          <w:tcPr>
            <w:tcW w:type="pct" w:w="1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Date</w:t>
            </w:r>
          </w:p>
        </w:tc>
        <w:tc>
          <w:tcPr>
            <w:tcW w:type="pct" w:w="1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Result</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Brunson CBR</w:t>
            </w:r>
          </w:p>
        </w:tc>
        <w:tc>
          <w:tcPr>
            <w:tcW w:type="pct" w:w="1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Knicks RCI</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FVI (End)</w:t>
            </w:r>
          </w:p>
        </w:tc>
        <w:tc>
          <w:tcPr>
            <w:tcW w:type="pct" w:w="1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MS-RF</w:t>
            </w:r>
          </w:p>
        </w:tc>
        <w:tc>
          <w:tcPr>
            <w:tcW w:type="pct" w:w="1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MS-Alpha</w:t>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 1</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3</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105–95</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91.4</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84.3</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712</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 (+1.8σ)</w:t>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 2</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5</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105–104</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94.8</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86.1</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799</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 Re-Entered</w:t>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 3</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8</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 111–115</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72.1</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76.2</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741</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Alert Triggered</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SHORT HEDGE</w:t>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 4</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10</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107–106</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97.2</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92.1 (Final 4 min.)</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942</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6.8x (Record)</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STRONG BUY</w:t>
            </w:r>
          </w:p>
        </w:tc>
      </w:tr>
      <w:tr>
        <w:trPr>
          <w:tblHeader w:val="false"/>
        </w:trPr>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 5</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13</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94–90 ✦</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98.6</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88.3</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1000</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MAX CONVICTION</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5A5A5A"/>
          <w:sz w:val="22"/>
          <w:szCs w:val="22"/>
        </w:rPr>
        <w:t xml:space="preserve">✦ Championship Clincher — FVI at 1000/1000 (Maximum). Brunson named Finals MVP.</w:t>
      </w: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Section III — Morgan Stanley Equity Applications</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3.1 Sports Equity Derivatives Pricing</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most direct institutional application of the Biometric Index Market framework is the construction and pricing of </w:t>
      </w:r>
      <w:r>
        <w:rPr>
          <w:rFonts w:ascii="Calibri" w:cs="Calibri" w:eastAsia="Calibri" w:hAnsi="Calibri"/>
          <w:b/>
          <w:bCs/>
          <w:i w:val="false"/>
          <w:iCs w:val="false"/>
          <w:strike w:val="false"/>
          <w:color w:val="1A1A1A"/>
          <w:sz w:val="22"/>
          <w:szCs w:val="22"/>
        </w:rPr>
        <w:t xml:space="preserve">sports equity derivative instruments</w:t>
      </w:r>
      <w:r>
        <w:rPr>
          <w:rFonts w:ascii="Calibri" w:cs="Calibri" w:eastAsia="Calibri" w:hAnsi="Calibri"/>
          <w:b w:val="false"/>
          <w:bCs w:val="false"/>
          <w:i w:val="false"/>
          <w:iCs w:val="false"/>
          <w:strike w:val="false"/>
          <w:color w:val="1A1A1A"/>
          <w:sz w:val="22"/>
          <w:szCs w:val="22"/>
        </w:rPr>
        <w:t xml:space="preserve"> — options-style financial products linked to sports franchise valuations, with Biometric Indices serving as the underlying drivers of implied volatility and directional signal generation.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Knicks' 2026 Finals run provides the inaugural live return data for this instrument class. The trajectory from a pre-Finals FVI of 612 to the championship FVI of 1,000 represents a </w:t>
      </w:r>
      <w:r>
        <w:rPr>
          <w:rFonts w:ascii="Calibri" w:cs="Calibri" w:eastAsia="Calibri" w:hAnsi="Calibri"/>
          <w:b/>
          <w:bCs/>
          <w:i w:val="false"/>
          <w:iCs w:val="false"/>
          <w:strike w:val="false"/>
          <w:color w:val="1A1A1A"/>
          <w:sz w:val="22"/>
          <w:szCs w:val="22"/>
        </w:rPr>
        <w:t xml:space="preserve">+63.4% index appreciation</w:t>
      </w:r>
      <w:r>
        <w:rPr>
          <w:rFonts w:ascii="Calibri" w:cs="Calibri" w:eastAsia="Calibri" w:hAnsi="Calibri"/>
          <w:b w:val="false"/>
          <w:bCs w:val="false"/>
          <w:i w:val="false"/>
          <w:iCs w:val="false"/>
          <w:strike w:val="false"/>
          <w:color w:val="1A1A1A"/>
          <w:sz w:val="22"/>
          <w:szCs w:val="22"/>
        </w:rPr>
        <w:t xml:space="preserve"> over a six-week window — an equity-equivalent return profile that would be classified as exceptional by any standard institutional performance benchmark.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Return Metric</w:t>
            </w:r>
          </w:p>
        </w:tc>
        <w:tc>
          <w:tcPr>
            <w:tcW w:type="pct" w:w="2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Value</w:t>
            </w:r>
          </w:p>
        </w:tc>
        <w:tc>
          <w:tcPr>
            <w:tcW w:type="pct" w:w="4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Context</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Entry Point (Pre-Finals)</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612</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3rd seed EC, FVI Playoff Competitive band</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Exit Point (Championship)</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1,000</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Maximum — Championship Achieved</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Appreciation</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+388 points</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+63.4% index return</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Time Window</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 weeks (May–June 2026)</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Finals campaign</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S&amp;P 500 Correlation (Same Period)</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0.11</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Near-zero — Uncorrelated Alpha</w:t>
            </w:r>
          </w:p>
        </w:tc>
      </w:tr>
      <w:tr>
        <w:trPr>
          <w:tblHeader w:val="false"/>
        </w:trPr>
        <w:tc>
          <w:tcPr>
            <w:tcW w:type="pct" w:w="3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 Entry Signal</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+1.8 sigma (Pre-Game 1)</w:t>
            </w:r>
          </w:p>
        </w:tc>
        <w:tc>
          <w:tcPr>
            <w:tcW w:type="pct" w:w="4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run captured from entry</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MS-SportsAlpha model's +1.8 sigma LONG signal generated prior to Game 1 — had it been actioned at entry — would have captured the </w:t>
      </w:r>
      <w:r>
        <w:rPr>
          <w:rFonts w:ascii="Calibri" w:cs="Calibri" w:eastAsia="Calibri" w:hAnsi="Calibri"/>
          <w:b/>
          <w:bCs/>
          <w:i w:val="false"/>
          <w:iCs w:val="false"/>
          <w:strike w:val="false"/>
          <w:color w:val="1A1A1A"/>
          <w:sz w:val="22"/>
          <w:szCs w:val="22"/>
        </w:rPr>
        <w:t xml:space="preserve">full +63.4% FVI return</w:t>
      </w:r>
      <w:r>
        <w:rPr>
          <w:rFonts w:ascii="Calibri" w:cs="Calibri" w:eastAsia="Calibri" w:hAnsi="Calibri"/>
          <w:b w:val="false"/>
          <w:bCs w:val="false"/>
          <w:i w:val="false"/>
          <w:iCs w:val="false"/>
          <w:strike w:val="false"/>
          <w:color w:val="1A1A1A"/>
          <w:sz w:val="22"/>
          <w:szCs w:val="22"/>
        </w:rPr>
        <w:t xml:space="preserve"> over the Finals window. The Game 3 tactical short hedge would have added an incremental risk-adjusted return via the FVI dip from 799 to 741 on the Spurs' win, before the STRONG BUY re-entry ahead of the Game 4 historic comeback captured the terminal appreciation from 741 to 1,000.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F0F4FA"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Derivative Instrument Structure — Prototype</w:t>
            </w:r>
          </w:p>
          <w:p>
            <w:pPr>
              <w:spacing w:after="140" w:line="360" w:lineRule="auto"/>
            </w:pPr>
            <w:r>
              <w:rPr>
                <w:rFonts w:ascii="Calibri" w:cs="Calibri" w:eastAsia="Calibri" w:hAnsi="Calibri"/>
                <w:b w:val="false"/>
                <w:bCs w:val="false"/>
                <w:i w:val="false"/>
                <w:iCs w:val="false"/>
                <w:strike w:val="false"/>
                <w:color w:val="1A1A1A"/>
                <w:sz w:val="22"/>
                <w:szCs w:val="22"/>
              </w:rPr>
              <w:t xml:space="preserve">A proposed Sports Equity Derivative linked to FVI would function as follows: a structured note with a notional tied to franchise equity valuation, with payoff curves keyed to FVI band crossings (e.g., 750 → 900 → 1000). Implied volatility surfaces would be constructed using CBR variance as the primary vol driver, calibrated against historical game-by-game FVI movement data.</w:t>
            </w:r>
          </w:p>
        </w:tc>
      </w:tr>
    </w:tbl>
    <w:p>
      <w:pPr>
        <w:spacing w:after="240" w:before="0"/>
      </w:pPr>
    </w:p>
    <w:p>
      <w:pPr>
        <w:pStyle w:val="Heading3"/>
        <w:spacing w:after="80" w:before="280" w:line="312" w:lineRule="auto"/>
      </w:pPr>
      <w:r>
        <w:rPr>
          <w:rFonts w:ascii="Calibri" w:cs="Calibri" w:eastAsia="Calibri" w:hAnsi="Calibri"/>
          <w:color w:val="1A3A6B"/>
          <w:sz w:val="26"/>
          <w:szCs w:val="26"/>
        </w:rPr>
        <w:t xml:space="preserve">3.2 Player Biometric Securitization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MS-StarPower Index enables the construction of a novel instrument class: </w:t>
      </w:r>
      <w:r>
        <w:rPr>
          <w:rFonts w:ascii="Calibri" w:cs="Calibri" w:eastAsia="Calibri" w:hAnsi="Calibri"/>
          <w:b/>
          <w:bCs/>
          <w:i w:val="false"/>
          <w:iCs w:val="false"/>
          <w:strike w:val="false"/>
          <w:color w:val="1A1A1A"/>
          <w:sz w:val="22"/>
          <w:szCs w:val="22"/>
        </w:rPr>
        <w:t xml:space="preserve">athlete performance contracts</w:t>
      </w:r>
      <w:r>
        <w:rPr>
          <w:rFonts w:ascii="Calibri" w:cs="Calibri" w:eastAsia="Calibri" w:hAnsi="Calibri"/>
          <w:b w:val="false"/>
          <w:bCs w:val="false"/>
          <w:i w:val="false"/>
          <w:iCs w:val="false"/>
          <w:strike w:val="false"/>
          <w:color w:val="1A1A1A"/>
          <w:sz w:val="22"/>
          <w:szCs w:val="22"/>
        </w:rPr>
        <w:t xml:space="preserve"> — structured financial products that give institutional investors fixed or variable exposure to an individual player's sustained biometric performance profile. These instruments are priced using the MS-StarPower Index as the underlying, with the BioQ and CBR readings driving both initial pricing and ongoing mark-to-market valuation.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Jalen Brunson's 2026 Finals performance presents the inaugural candidate for the inaugural BioQ Performance Bond: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Parameter</w:t>
            </w:r>
          </w:p>
        </w:tc>
        <w:tc>
          <w:tcPr>
            <w:tcW w:type="pct" w:w="6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Value</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Instrument Name</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Brunson BioQ Performance Bond — Series 2026-A</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Underlying Index</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MS-StarPower Index (Jalen Brunson)</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 Baseline (Regular Season)</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88.4</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 Peak (Finals)</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98.6</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Biometric Appreciation</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+10.2 pts CBR (+11.5%)</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Post-Championship StarPower Equity Price</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$47.2M equivalent per unit</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Coupon Structure</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Fixed coupon with performance floor: CBR maintained above 85.0 through 2026–27 season</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Trigger Event (Coupon Suspension)</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 falls below 85.0 for 10+ consecutive games</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Enhanced Coupon Trigger</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 sustained above 92.0 for full 2026–27 playoffs</w:t>
            </w:r>
          </w:p>
        </w:tc>
      </w:tr>
      <w:tr>
        <w:trPr>
          <w:tblHeader w:val="false"/>
        </w:trPr>
        <w:tc>
          <w:tcPr>
            <w:tcW w:type="pct" w:w="3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Target Investor Profile</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Institutional — Alternative Alpha Sleeve</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framework for expansion beyond Brunson follows a tiered approach — beginning with the top-10 CBR athletes across NBA, NFL, and Premier League rosters — creating a diversified portfolio of BioQ Performance Bonds with correlated championship upside exposure but differentiated sport and league risk profiles.</w:t>
      </w:r>
    </w:p>
    <w:p>
      <w:pPr>
        <w:pStyle w:val="Heading3"/>
        <w:spacing w:after="80" w:before="280" w:line="312" w:lineRule="auto"/>
      </w:pPr>
      <w:r>
        <w:rPr>
          <w:rFonts w:ascii="Calibri" w:cs="Calibri" w:eastAsia="Calibri" w:hAnsi="Calibri"/>
          <w:color w:val="1A3A6B"/>
          <w:sz w:val="26"/>
          <w:szCs w:val="26"/>
        </w:rPr>
        <w:t xml:space="preserve">3.3 Risk Management via Biometric Early Warning Signals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One of the Biometric Index Market framework's most immediate institutional value propositions is its utility as a </w:t>
      </w:r>
      <w:r>
        <w:rPr>
          <w:rFonts w:ascii="Calibri" w:cs="Calibri" w:eastAsia="Calibri" w:hAnsi="Calibri"/>
          <w:b/>
          <w:bCs/>
          <w:i w:val="false"/>
          <w:iCs w:val="false"/>
          <w:strike w:val="false"/>
          <w:color w:val="1A1A1A"/>
          <w:sz w:val="22"/>
          <w:szCs w:val="22"/>
        </w:rPr>
        <w:t xml:space="preserve">systematic risk management tool</w:t>
      </w:r>
      <w:r>
        <w:rPr>
          <w:rFonts w:ascii="Calibri" w:cs="Calibri" w:eastAsia="Calibri" w:hAnsi="Calibri"/>
          <w:b w:val="false"/>
          <w:bCs w:val="false"/>
          <w:i w:val="false"/>
          <w:iCs w:val="false"/>
          <w:strike w:val="false"/>
          <w:color w:val="1A1A1A"/>
          <w:sz w:val="22"/>
          <w:szCs w:val="22"/>
        </w:rPr>
        <w:t xml:space="preserve">. The 2026 Finals demonstrated three distinct applications of biometric data in risk management contexts:</w:t>
      </w:r>
    </w:p>
    <w:p>
      <w:pPr>
        <w:pStyle w:val="Heading4"/>
        <w:spacing w:after="80" w:before="200" w:line="360" w:lineRule="auto"/>
      </w:pPr>
      <w:r>
        <w:rPr>
          <w:rFonts w:ascii="Calibri" w:cs="Calibri" w:eastAsia="Calibri" w:hAnsi="Calibri"/>
          <w:color w:val="0A2755"/>
          <w:sz w:val="22"/>
          <w:szCs w:val="22"/>
        </w:rPr>
        <w:t xml:space="preserve">Tactical Hedging — RCI Dip Protocol</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Game 3 RCI dip to 76.2 — below the critical 80.0 threshold — automatically triggered a tactical short hedge against Knicks FVI exposure in the MS-SportsAlpha signal log. The hedge correctly captured the FVI decline from 799 to 741 on the Spurs' Game 3 victory, adding an incremental risk-adjusted gain to the overall position.</w:t>
      </w:r>
    </w:p>
    <w:p>
      <w:pPr>
        <w:pStyle w:val="Heading4"/>
        <w:spacing w:after="80" w:before="200" w:line="360" w:lineRule="auto"/>
      </w:pPr>
      <w:r>
        <w:rPr>
          <w:rFonts w:ascii="Calibri" w:cs="Calibri" w:eastAsia="Calibri" w:hAnsi="Calibri"/>
          <w:color w:val="0A2755"/>
          <w:sz w:val="22"/>
          <w:szCs w:val="22"/>
        </w:rPr>
        <w:t xml:space="preserve">Re-Entry Signal — ResilienceFactor Protocol</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pre-Game 4 MS-ResilienceFactor re-calibration — incorporating the Knicks' 6–2 record in double-digit deficit games and their historical biometric recovery curve — generated the re-entry STRONG BUY signal that captured the terminal FVI surge from 741 to 1,000. This represented the most significant single return event of the case study.</w:t>
      </w:r>
    </w:p>
    <w:p>
      <w:pPr>
        <w:pStyle w:val="Heading4"/>
        <w:spacing w:after="80" w:before="200" w:line="360" w:lineRule="auto"/>
      </w:pPr>
      <w:r>
        <w:rPr>
          <w:rFonts w:ascii="Calibri" w:cs="Calibri" w:eastAsia="Calibri" w:hAnsi="Calibri"/>
          <w:color w:val="0A2755"/>
          <w:sz w:val="22"/>
          <w:szCs w:val="22"/>
        </w:rPr>
        <w:t xml:space="preserve">Volatility Surface Construction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CBR variance across the five Finals games produced a measurable implied volatility surface that accurately reflected the binary risk profile of the series. Game 3's CBR reading of 72.1 corresponded to the highest implied volatility point in the surface — correctly signaling the maximum uncertainty period — while the converging CBR readings of 97.2 (Game 4) and 98.6 (Game 5) collapsed implied vol toward the championship terminal event, consistent with a deep-in-the-money options expiry profile.</w:t>
      </w:r>
    </w:p>
    <w:p>
      <w:pPr>
        <w:pStyle w:val="Heading3"/>
        <w:spacing w:after="80" w:before="280" w:line="312" w:lineRule="auto"/>
      </w:pPr>
      <w:r>
        <w:rPr>
          <w:rFonts w:ascii="Calibri" w:cs="Calibri" w:eastAsia="Calibri" w:hAnsi="Calibri"/>
          <w:color w:val="1A3A6B"/>
          <w:sz w:val="26"/>
          <w:szCs w:val="26"/>
        </w:rPr>
        <w:t xml:space="preserve">3.4 Institutional Portfolio Integration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Sports Biometric Index products are designed to function as </w:t>
      </w:r>
      <w:r>
        <w:rPr>
          <w:rFonts w:ascii="Calibri" w:cs="Calibri" w:eastAsia="Calibri" w:hAnsi="Calibri"/>
          <w:b/>
          <w:bCs/>
          <w:i w:val="false"/>
          <w:iCs w:val="false"/>
          <w:strike w:val="false"/>
          <w:color w:val="1A1A1A"/>
          <w:sz w:val="22"/>
          <w:szCs w:val="22"/>
        </w:rPr>
        <w:t xml:space="preserve">alternative equity instruments</w:t>
      </w:r>
      <w:r>
        <w:rPr>
          <w:rFonts w:ascii="Calibri" w:cs="Calibri" w:eastAsia="Calibri" w:hAnsi="Calibri"/>
          <w:b w:val="false"/>
          <w:bCs w:val="false"/>
          <w:i w:val="false"/>
          <w:iCs w:val="false"/>
          <w:strike w:val="false"/>
          <w:color w:val="1A1A1A"/>
          <w:sz w:val="22"/>
          <w:szCs w:val="22"/>
        </w:rPr>
        <w:t xml:space="preserve"> within diversified institutional portfolios, offering a meaningful allocation to a return stream with demonstrably low correlation to traditional equity markets.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Portfolio Parameter</w:t>
            </w:r>
          </w:p>
        </w:tc>
        <w:tc>
          <w:tcPr>
            <w:tcW w:type="pct" w:w="5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Sports Biometric Index — Knicks 2026 Case Data</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Holding Period</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 weeks (Finals Campaign)</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Return (Gross)</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+63.4%</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S&amp;P 500 Correlation</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0.11 (Near-Zero — Uncorrelated)</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 Drawdown (Game 3 FVI Dip)</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–7.3% (799 → 741, recovered via hedge)</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Recommended Portfolio Allocation</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2–5% of Alternative Equity Sleeve</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Target Client Profile</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Endowments, Sovereign Wealth, Institutional LP</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Liquidity Classification</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Event-Driven / Semi-Liquid (Series-Duration)</w:t>
            </w:r>
          </w:p>
        </w:tc>
      </w:tr>
      <w:tr>
        <w:trPr>
          <w:tblHeader w:val="false"/>
        </w:trPr>
        <w:tc>
          <w:tcPr>
            <w:tcW w:type="pct" w:w="4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Benchmark</w:t>
            </w:r>
          </w:p>
        </w:tc>
        <w:tc>
          <w:tcPr>
            <w:tcW w:type="pct" w:w="5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Sports Franchise Equity Index (proprietary)</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near-zero correlation (0.11) to the S&amp;P 500 over the same period is the most compelling institutional argument for Sports Biometric Index products: they offer genuine diversification — not merely low-beta exposure — in a market environment where true uncorrelated return streams are increasingly scarce. The recommended 2–5% allocation within an alternative equity sleeve would contribute meaningfully to portfolio Sharpe ratio improvement without introducing material systematic market risk.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A2755" w:sz="24"/>
              <w:bottom w:val="nil" w:color="FFFFFF" w:sz="0"/>
              <w:right w:val="nil" w:color="FFFFFF" w:sz="0"/>
            </w:tcBorders>
            <w:shd w:fill="F7F9FD" w:color="auto" w:val="clear"/>
            <w:tcMar>
              <w:top w:type="dxa" w:w="120"/>
              <w:left w:type="dxa" w:w="280"/>
              <w:bottom w:type="dxa" w:w="120"/>
              <w:right w:type="dxa" w:w="280"/>
            </w:tcMar>
          </w:tcPr>
          <w:p>
            <w:pPr>
              <w:spacing w:after="120" w:line="408" w:lineRule="auto"/>
            </w:pPr>
            <w:r>
              <w:rPr>
                <w:i/>
                <w:iCs/>
              </w:rPr>
              <w:t xml:space="preserve">The emergence of biometric data as a financial signal layer is not merely an innovation in sports analytics — it is the creation of an entirely new asset class. Biometric equity instruments offer institutional investors what traditional markets increasingly cannot: genuine decorrelation, event-driven return asymmetry, and signal precision rooted in human physiology rather than narrative-driven price action.</w:t>
            </w:r>
          </w:p>
          <w:p>
            <w:pPr>
              <w:spacing w:after="120" w:line="408" w:lineRule="auto"/>
            </w:pPr>
            <w:r>
              <w:t xml:space="preserve">— Biometric Finance Solutions, Morgan Stanley Equities Division, June 2026</w:t>
            </w:r>
          </w:p>
        </w:tc>
      </w:tr>
    </w:tbl>
    <w:p>
      <w:pPr>
        <w:spacing w:after="240" w:before="0"/>
      </w:pP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Section IV — Conclusions &amp; Strategic Recommendations</w:t>
      </w:r>
    </w:p>
    <w:p>
      <w:pPr>
        <w:pBdr>
          <w:top w:val="single" w:color="0A2755" w:sz="6"/>
        </w:pBdr>
        <w:spacing w:after="200" w:before="0"/>
      </w:pPr>
    </w:p>
    <w:p>
      <w:pPr>
        <w:pStyle w:val="Heading3"/>
        <w:spacing w:after="80" w:before="280" w:line="312" w:lineRule="auto"/>
      </w:pPr>
      <w:r>
        <w:rPr>
          <w:rFonts w:ascii="Calibri" w:cs="Calibri" w:eastAsia="Calibri" w:hAnsi="Calibri"/>
          <w:color w:val="1A3A6B"/>
          <w:sz w:val="26"/>
          <w:szCs w:val="26"/>
        </w:rPr>
        <w:t xml:space="preserve">4.1 Key Findings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2026 New York Knicks NBA Championship run constitutes the most comprehensive live validation of the Biometric Index Market framework to date. The following findings are supported by the full game-by-game biometric dataset and the MS-SportsAlpha signal log for the Finals series: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The Biometric Index Market framework is a viable sports equity signal generator.</w:t>
      </w:r>
      <w:r>
        <w:rPr>
          <w:rFonts w:ascii="Calibri" w:cs="Calibri" w:eastAsia="Calibri" w:hAnsi="Calibri"/>
          <w:b w:val="false"/>
          <w:bCs w:val="false"/>
          <w:i w:val="false"/>
          <w:iCs w:val="false"/>
          <w:strike w:val="false"/>
          <w:color w:val="1A1A1A"/>
          <w:sz w:val="22"/>
          <w:szCs w:val="22"/>
        </w:rPr>
        <w:t xml:space="preserve"> Across five games, the core indices (BioQ, CBR, RCI, FVI) provided directionally accurate signals in four of five game outcomes when applied within the MS-SportsAlpha protocol. The single mis-signal (Game 3) was correctly identified and hedged via the RCI dip protocol before the loss materialized.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Jalen Brunson's CBR of 98.6 in Game 5 sets a new dataset benchmark for elite clutch biometric performance.</w:t>
      </w:r>
      <w:r>
        <w:rPr>
          <w:rFonts w:ascii="Calibri" w:cs="Calibri" w:eastAsia="Calibri" w:hAnsi="Calibri"/>
          <w:b w:val="false"/>
          <w:bCs w:val="false"/>
          <w:i w:val="false"/>
          <w:iCs w:val="false"/>
          <w:strike w:val="false"/>
          <w:color w:val="1A1A1A"/>
          <w:sz w:val="22"/>
          <w:szCs w:val="22"/>
        </w:rPr>
        <w:t xml:space="preserve"> No player in the five-year biometric dataset has achieved a CBR reading above 97.0 in a series-clinching game. This reading, combined with a 0.34-second decision latency on the go-ahead shot, represents the highest single-moment performance output in the model's history.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The MS-ResilienceFactor proved prescient as both a risk management tool and a return-generating signal.</w:t>
      </w:r>
      <w:r>
        <w:rPr>
          <w:rFonts w:ascii="Calibri" w:cs="Calibri" w:eastAsia="Calibri" w:hAnsi="Calibri"/>
          <w:b w:val="false"/>
          <w:bCs w:val="false"/>
          <w:i w:val="false"/>
          <w:iCs w:val="false"/>
          <w:strike w:val="false"/>
          <w:color w:val="1A1A1A"/>
          <w:sz w:val="22"/>
          <w:szCs w:val="22"/>
        </w:rPr>
        <w:t xml:space="preserve"> The Knicks' 6–2 record in double-digit deficit games mapped precisely to RF readings above 4.0x — confirming the hypothesis that physiological resilience data predicts comeback outcomes with statistically significant accuracy. The Game 4 RF reading of 6.8x triggered the STRONG BUY re-entry that captured the largest return event of the series.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Roster Cohesion Index above 85 was the single most reliable leading indicator of Knicks victories.</w:t>
      </w:r>
      <w:r>
        <w:rPr>
          <w:rFonts w:ascii="Calibri" w:cs="Calibri" w:eastAsia="Calibri" w:hAnsi="Calibri"/>
          <w:b w:val="false"/>
          <w:bCs w:val="false"/>
          <w:i w:val="false"/>
          <w:iCs w:val="false"/>
          <w:strike w:val="false"/>
          <w:color w:val="1A1A1A"/>
          <w:sz w:val="22"/>
          <w:szCs w:val="22"/>
        </w:rPr>
        <w:t xml:space="preserve"> In every Finals game where the Knicks RCI exceeded 85 in the fourth quarter, the Knicks won. The one loss (Game 3) corresponded precisely to a sub-80 RCI reading — making RCI the highest-conviction predictive signal in this dataset.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The FVI's +63.4% appreciation over six weeks with 0.11 S&amp;P 500 correlation validates the uncorrelated alpha thesis.</w:t>
      </w:r>
      <w:r>
        <w:rPr>
          <w:rFonts w:ascii="Calibri" w:cs="Calibri" w:eastAsia="Calibri" w:hAnsi="Calibri"/>
          <w:b w:val="false"/>
          <w:bCs w:val="false"/>
          <w:i w:val="false"/>
          <w:iCs w:val="false"/>
          <w:strike w:val="false"/>
          <w:color w:val="1A1A1A"/>
          <w:sz w:val="22"/>
          <w:szCs w:val="22"/>
        </w:rPr>
        <w:t xml:space="preserve"> Sports Biometric Index instruments offer return characteristics that cannot be replicated through traditional equity allocation — establishing a genuine institutional case for a dedicated Sports Biometric allocation sleeve.</w:t>
      </w:r>
    </w:p>
    <w:p>
      <w:pPr>
        <w:pStyle w:val="Heading3"/>
        <w:spacing w:after="80" w:before="280" w:line="312" w:lineRule="auto"/>
      </w:pPr>
      <w:r>
        <w:rPr>
          <w:rFonts w:ascii="Calibri" w:cs="Calibri" w:eastAsia="Calibri" w:hAnsi="Calibri"/>
          <w:color w:val="1A3A6B"/>
          <w:sz w:val="26"/>
          <w:szCs w:val="26"/>
        </w:rPr>
        <w:t xml:space="preserve">4.2 Strategic Recommendations for Morgan Stanley Equities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Based on the findings of this case study, the following five strategic recommendations are submitted for consideration by the Morgan Stanley Equities leadership team: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w:t>
            </w:r>
          </w:p>
        </w:tc>
        <w:tc>
          <w:tcPr>
            <w:tcW w:type="pct" w:w="7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Recommendation</w:t>
            </w:r>
          </w:p>
        </w:tc>
        <w:tc>
          <w:tcPr>
            <w:tcW w:type="pct" w:w="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Priority</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Target Timeline</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Launch MS-SportsAlpha Index Fund:</w:t>
            </w:r>
            <w:r>
              <w:rPr>
                <w:rFonts w:ascii="Calibri" w:cs="Calibri" w:eastAsia="Calibri" w:hAnsi="Calibri"/>
                <w:b w:val="false"/>
                <w:bCs w:val="false"/>
                <w:i w:val="false"/>
                <w:iCs w:val="false"/>
                <w:strike w:val="false"/>
                <w:color w:val="1A1A1A"/>
                <w:sz w:val="22"/>
                <w:szCs w:val="22"/>
              </w:rPr>
              <w:t xml:space="preserve"> Pilot product targeting NBA, NFL, and Premier League biometric equity signals. Begin with NBA given data infrastructure maturity. Target AUM: $250M at launch.</w:t>
            </w:r>
          </w:p>
        </w:tc>
        <w:tc>
          <w:tcPr>
            <w:tcW w:type="pct" w:w="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HIGH</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Q4 2026</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Establish Biometric Data Partnerships:</w:t>
            </w:r>
            <w:r>
              <w:rPr>
                <w:rFonts w:ascii="Calibri" w:cs="Calibri" w:eastAsia="Calibri" w:hAnsi="Calibri"/>
                <w:b w:val="false"/>
                <w:bCs w:val="false"/>
                <w:i w:val="false"/>
                <w:iCs w:val="false"/>
                <w:strike w:val="false"/>
                <w:color w:val="1A1A1A"/>
                <w:sz w:val="22"/>
                <w:szCs w:val="22"/>
              </w:rPr>
              <w:t xml:space="preserve"> Negotiate authorized data access agreements with Second Spectrum, Catapult Sports, and Whoop for real-time biometric feed integration. Structure as exclusive institutional research data licenses.</w:t>
            </w:r>
          </w:p>
        </w:tc>
        <w:tc>
          <w:tcPr>
            <w:tcW w:type="pct" w:w="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HIGH</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Q3 2026</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Develop BioQ Performance Bond Product Suite:</w:t>
            </w:r>
            <w:r>
              <w:rPr>
                <w:rFonts w:ascii="Calibri" w:cs="Calibri" w:eastAsia="Calibri" w:hAnsi="Calibri"/>
                <w:b w:val="false"/>
                <w:bCs w:val="false"/>
                <w:i w:val="false"/>
                <w:iCs w:val="false"/>
                <w:strike w:val="false"/>
                <w:color w:val="1A1A1A"/>
                <w:sz w:val="22"/>
                <w:szCs w:val="22"/>
              </w:rPr>
              <w:t xml:space="preserve"> Launch with Brunson Series 2026-A bond (CBR floor: 85.0). Expand to top-10 CBR athletes across NBA, NFL, and Premier League in Year 1. Target issuance volume: $500M across three bonds.</w:t>
            </w:r>
          </w:p>
        </w:tc>
        <w:tc>
          <w:tcPr>
            <w:tcW w:type="pct" w:w="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HIGH</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Q4 2026</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Build FVI as Public-Facing ESG-Adjacent Metric:</w:t>
            </w:r>
            <w:r>
              <w:rPr>
                <w:rFonts w:ascii="Calibri" w:cs="Calibri" w:eastAsia="Calibri" w:hAnsi="Calibri"/>
                <w:b w:val="false"/>
                <w:bCs w:val="false"/>
                <w:i w:val="false"/>
                <w:iCs w:val="false"/>
                <w:strike w:val="false"/>
                <w:color w:val="1A1A1A"/>
                <w:sz w:val="22"/>
                <w:szCs w:val="22"/>
              </w:rPr>
              <w:t xml:space="preserve"> Position the Franchise Vitality Index as an institutional-grade sports franchise health metric for sovereign wealth funds and endowment investors active in sports franchise ownership. Explore co-branding with established sports analytics providers.</w:t>
            </w:r>
          </w:p>
        </w:tc>
        <w:tc>
          <w:tcPr>
            <w:tcW w:type="pct" w:w="9%"/>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MEDIUM</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Q1 2027</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w:t>
            </w:r>
          </w:p>
        </w:tc>
        <w:tc>
          <w:tcPr>
            <w:tcW w:type="pct" w:w="7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Target Q4 2026 Platform Launch:</w:t>
            </w:r>
            <w:r>
              <w:rPr>
                <w:rFonts w:ascii="Calibri" w:cs="Calibri" w:eastAsia="Calibri" w:hAnsi="Calibri"/>
                <w:b w:val="false"/>
                <w:bCs w:val="false"/>
                <w:i w:val="false"/>
                <w:iCs w:val="false"/>
                <w:strike w:val="false"/>
                <w:color w:val="1A1A1A"/>
                <w:sz w:val="22"/>
                <w:szCs w:val="22"/>
              </w:rPr>
              <w:t xml:space="preserve"> Full Sports Biometric Index derivatives platform, inclusive of FVI-linked structured notes, BioQ Performance Bonds, and MS-SportsAlpha signal service. ISDA documentation and regulatory review to commence Q3 2026.</w:t>
            </w:r>
          </w:p>
        </w:tc>
        <w:tc>
          <w:tcPr>
            <w:tcW w:type="pct" w:w="9%"/>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HIGH</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Q4 2026</w:t>
            </w:r>
          </w:p>
        </w:tc>
      </w:tr>
    </w:tbl>
    <w:p>
      <w:pPr>
        <w:spacing w:after="200" w:before="0"/>
      </w:pPr>
    </w:p>
    <w:p>
      <w:pPr>
        <w:pStyle w:val="Heading3"/>
        <w:spacing w:after="80" w:before="280" w:line="312" w:lineRule="auto"/>
      </w:pPr>
      <w:r>
        <w:rPr>
          <w:rFonts w:ascii="Calibri" w:cs="Calibri" w:eastAsia="Calibri" w:hAnsi="Calibri"/>
          <w:color w:val="1A3A6B"/>
          <w:sz w:val="26"/>
          <w:szCs w:val="26"/>
        </w:rPr>
        <w:t xml:space="preserve">4.3 Limitations &amp; Risk Disclosures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FDF0F0"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Important Risk Disclosures — Internal Use Only</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following limitations and risk factors are material to the evaluation of the Biometric Index Market framework and must be disclosed to any internal or external stakeholders engaging with this methodology:</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Biometric Data Privacy Regulations:</w:t>
      </w:r>
      <w:r>
        <w:rPr>
          <w:rFonts w:ascii="Calibri" w:cs="Calibri" w:eastAsia="Calibri" w:hAnsi="Calibri"/>
          <w:b w:val="false"/>
          <w:bCs w:val="false"/>
          <w:i w:val="false"/>
          <w:iCs w:val="false"/>
          <w:strike w:val="false"/>
          <w:color w:val="1A1A1A"/>
          <w:sz w:val="22"/>
          <w:szCs w:val="22"/>
        </w:rPr>
        <w:t xml:space="preserve"> The collection, storage, and application of athlete biometric data is subject to significant and evolving regulatory oversight under HIPAA (United States), GDPR (European Union), and sport-specific collective bargaining agreements. Any commercialization of this framework requires careful legal structuring of data access agreements to ensure full regulatory compliance. Morgan Stanley Legal and Compliance review is mandatory prior to any product launch.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Model Backtesting Limitations:</w:t>
      </w:r>
      <w:r>
        <w:rPr>
          <w:rFonts w:ascii="Calibri" w:cs="Calibri" w:eastAsia="Calibri" w:hAnsi="Calibri"/>
          <w:b w:val="false"/>
          <w:bCs w:val="false"/>
          <w:i w:val="false"/>
          <w:iCs w:val="false"/>
          <w:strike w:val="false"/>
          <w:color w:val="1A1A1A"/>
          <w:sz w:val="22"/>
          <w:szCs w:val="22"/>
        </w:rPr>
        <w:t xml:space="preserve"> The Biometric Index Market framework has been backtested against a five-year historical NBA dataset (2021–2025). This is a relatively short validation window for a novel financial instrument class. An extended backtesting program across a 10-year dataset and across additional sports leagues is strongly recommended prior to full-scale commercialization. Backtested performance is not indicative of future results.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Binary Event Risk:</w:t>
      </w:r>
      <w:r>
        <w:rPr>
          <w:rFonts w:ascii="Calibri" w:cs="Calibri" w:eastAsia="Calibri" w:hAnsi="Calibri"/>
          <w:b w:val="false"/>
          <w:bCs w:val="false"/>
          <w:i w:val="false"/>
          <w:iCs w:val="false"/>
          <w:strike w:val="false"/>
          <w:color w:val="1A1A1A"/>
          <w:sz w:val="22"/>
          <w:szCs w:val="22"/>
        </w:rPr>
        <w:t xml:space="preserve"> Championship outcomes introduce binary event risk — specifically the possibility of franchise valuation disruption upon unexpected early-round playoff exits — that is not fully captured by continuous biometric models. Options-style payoff structures and appropriate strike selection are required to manage this tail risk in derivative product construction.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Data Feed Integrity:</w:t>
      </w:r>
      <w:r>
        <w:rPr>
          <w:rFonts w:ascii="Calibri" w:cs="Calibri" w:eastAsia="Calibri" w:hAnsi="Calibri"/>
          <w:b w:val="false"/>
          <w:bCs w:val="false"/>
          <w:i w:val="false"/>
          <w:iCs w:val="false"/>
          <w:strike w:val="false"/>
          <w:color w:val="1A1A1A"/>
          <w:sz w:val="22"/>
          <w:szCs w:val="22"/>
        </w:rPr>
        <w:t xml:space="preserve"> The reliability of real-time biometric signal generation is contingent on continuous, high-quality data feed access from Second Spectrum, wearable API providers, and NLP data sources. Any disruption to these feeds during a live trading period could degrade signal quality and produce erroneous positions.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Single Case Study Validation:</w:t>
      </w:r>
      <w:r>
        <w:rPr>
          <w:rFonts w:ascii="Calibri" w:cs="Calibri" w:eastAsia="Calibri" w:hAnsi="Calibri"/>
          <w:b w:val="false"/>
          <w:bCs w:val="false"/>
          <w:i w:val="false"/>
          <w:iCs w:val="false"/>
          <w:strike w:val="false"/>
          <w:color w:val="1A1A1A"/>
          <w:sz w:val="22"/>
          <w:szCs w:val="22"/>
        </w:rPr>
        <w:t xml:space="preserve"> The 2026 Knicks Finals represents a single live case study. While the results are statistically encouraging, broader cross-sport, cross-season validation is required before the framework can be considered institutionally proven at scale.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Investment Advice Disclaimer:</w:t>
      </w:r>
      <w:r>
        <w:rPr>
          <w:rFonts w:ascii="Calibri" w:cs="Calibri" w:eastAsia="Calibri" w:hAnsi="Calibri"/>
          <w:b w:val="false"/>
          <w:bCs w:val="false"/>
          <w:i w:val="false"/>
          <w:iCs w:val="false"/>
          <w:strike w:val="false"/>
          <w:color w:val="1A1A1A"/>
          <w:sz w:val="22"/>
          <w:szCs w:val="22"/>
        </w:rPr>
        <w:t xml:space="preserve"> This document is prepared exclusively for internal Morgan Stanley research and strategic planning purposes. It does not constitute investment advice, a solicitation, or an offer to buy or sell any security or financial instrument. Past biometric index performance is not indicative of future returns.</w:t>
      </w: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Appendices</w:t>
      </w:r>
    </w:p>
    <w:p>
      <w:pPr>
        <w:pBdr>
          <w:top w:val="single" w:color="0A2755" w:sz="6"/>
        </w:pBdr>
        <w:spacing w:after="200" w:before="0"/>
      </w:pPr>
    </w:p>
    <w:p>
      <w:pPr>
        <w:spacing w:after="80" w:before="320" w:line="360" w:lineRule="auto"/>
      </w:pPr>
      <w:r>
        <w:rPr>
          <w:rFonts w:ascii="Calibri" w:cs="Calibri" w:eastAsia="Calibri" w:hAnsi="Calibri"/>
          <w:b/>
          <w:bCs/>
          <w:i w:val="false"/>
          <w:iCs w:val="false"/>
          <w:strike w:val="false"/>
          <w:color w:val="0A2755"/>
          <w:sz w:val="24"/>
          <w:szCs w:val="24"/>
        </w:rPr>
        <w:t xml:space="preserve">Appendix A — Full 2026 Finals Game-by-Game Biometric Scorecard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Game</w:t>
            </w:r>
          </w:p>
        </w:tc>
        <w:tc>
          <w:tcPr>
            <w:tcW w:type="pct" w:w="1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Date</w:t>
            </w:r>
          </w:p>
        </w:tc>
        <w:tc>
          <w:tcPr>
            <w:tcW w:type="pct" w:w="1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Result</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Team BioQ</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Brunson CBR</w:t>
            </w:r>
          </w:p>
        </w:tc>
        <w:tc>
          <w:tcPr>
            <w:tcW w:type="pct" w:w="1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Knicks RCI</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Spurs RCI</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FVI (End of Game)</w:t>
            </w:r>
          </w:p>
        </w:tc>
        <w:tc>
          <w:tcPr>
            <w:tcW w:type="pct" w:w="1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MS-RF</w:t>
            </w:r>
          </w:p>
        </w:tc>
      </w:tr>
      <w:tr>
        <w:trPr>
          <w:tblHeader w:val="false"/>
        </w:trPr>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G1</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 3</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105–95 (SA)</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76.8</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91.4</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84.3</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71.2</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712</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r>
      <w:tr>
        <w:trPr>
          <w:tblHeader w:val="false"/>
        </w:trPr>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G2</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 5</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105–104 (SA)</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75.1</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94.8</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86.1</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74.8</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799</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r>
      <w:tr>
        <w:trPr>
          <w:tblHeader w:val="false"/>
        </w:trPr>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G3</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 8</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 111–115 (MSG)</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71.3</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72.1</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76.2</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79.4</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741</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Alert</w:t>
            </w:r>
          </w:p>
        </w:tc>
      </w:tr>
      <w:tr>
        <w:trPr>
          <w:tblHeader w:val="false"/>
        </w:trPr>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G4</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 10</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107–106 (MSG)</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78.9</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97.2</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92.1*</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72.6</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942</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6.8x</w:t>
            </w:r>
          </w:p>
        </w:tc>
      </w:tr>
      <w:tr>
        <w:trPr>
          <w:tblHeader w:val="false"/>
        </w:trPr>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G5</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 13</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 94–90 (SA) ✦</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79.4</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98.6</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88.3</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70.1</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1000</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5A5A5A"/>
          <w:sz w:val="22"/>
          <w:szCs w:val="22"/>
        </w:rPr>
        <w:t xml:space="preserve">* RCI of 92.1 recorded in final 4-minute window of Game 4 only. ✦ Championship Clincher. BioQ values are fatigue-adjusted for road/home environment factors.</w:t>
      </w:r>
    </w:p>
    <w:p>
      <w:pPr>
        <w:spacing w:after="80" w:before="320" w:line="360" w:lineRule="auto"/>
      </w:pPr>
      <w:r>
        <w:rPr>
          <w:rFonts w:ascii="Calibri" w:cs="Calibri" w:eastAsia="Calibri" w:hAnsi="Calibri"/>
          <w:b/>
          <w:bCs/>
          <w:i w:val="false"/>
          <w:iCs w:val="false"/>
          <w:strike w:val="false"/>
          <w:color w:val="0A2755"/>
          <w:sz w:val="24"/>
          <w:szCs w:val="24"/>
        </w:rPr>
        <w:t xml:space="preserve">Appendix B — MS-SportsAlpha Signal Log: 2026 NBA Finals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9%"/>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Event</w:t>
            </w:r>
          </w:p>
        </w:tc>
        <w:tc>
          <w:tcPr>
            <w:tcW w:type="pct" w:w="1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Date</w:t>
            </w:r>
          </w:p>
        </w:tc>
        <w:tc>
          <w:tcPr>
            <w:tcW w:type="pct" w:w="2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Signal</w:t>
            </w:r>
          </w:p>
        </w:tc>
        <w:tc>
          <w:tcPr>
            <w:tcW w:type="pct" w:w="14%"/>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Direction</w:t>
            </w:r>
          </w:p>
        </w:tc>
        <w:tc>
          <w:tcPr>
            <w:tcW w:type="pct" w:w="1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Sigma</w:t>
            </w:r>
          </w:p>
        </w:tc>
        <w:tc>
          <w:tcPr>
            <w:tcW w:type="pct" w:w="20%"/>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Outcome</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Pre-Finals Entry</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2</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 LONG</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+1.8σ</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Correct — W</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Pre-Game 2 Hold</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4</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 HOLD</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A07800"/>
                <w:sz w:val="22"/>
                <w:szCs w:val="22"/>
              </w:rPr>
              <w:t xml:space="preserve">HOLD</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+1.6σ</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Correct — W</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 3 RCI Alert</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8 (in-game)</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RCI Dip &lt; 80 — Hedge</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8B0000"/>
                <w:sz w:val="22"/>
                <w:szCs w:val="22"/>
              </w:rPr>
              <w:t xml:space="preserve">HEDGE SHORT</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–1.2σ</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Correct — L</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Pre-Game 4 RF Re-Entry</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9</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RF Re-Calibration — STRONG BUY</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 Re-Entry</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+2.4σ</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Correct — W (+29 comeback)</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Pre-Game 5 Max Conviction</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12</w:t>
            </w:r>
          </w:p>
        </w:tc>
        <w:tc>
          <w:tcPr>
            <w:tcW w:type="pct" w:w="2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 Conviction LONG</w:t>
            </w:r>
          </w:p>
        </w:tc>
        <w:tc>
          <w:tcPr>
            <w:tcW w:type="pct" w:w="14%"/>
            <w:tcMar>
              <w:top w:type="dxa" w:w="90"/>
              <w:left w:type="dxa" w:w="135"/>
              <w:bottom w:type="dxa" w:w="90"/>
              <w:right w:type="dxa" w:w="135"/>
            </w:tcMar>
          </w:tcPr>
          <w:p>
            <w:r>
              <w:rPr>
                <w:rFonts w:ascii="Calibri" w:cs="Calibri" w:eastAsia="Calibri" w:hAnsi="Calibri"/>
                <w:b/>
                <w:bCs/>
                <w:i w:val="false"/>
                <w:iCs w:val="false"/>
                <w:strike w:val="false"/>
                <w:color w:val="1A6B2A"/>
                <w:sz w:val="22"/>
                <w:szCs w:val="22"/>
              </w:rPr>
              <w:t xml:space="preserve">LONG — Max</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+2.9σ</w:t>
            </w:r>
          </w:p>
        </w:tc>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Correct — Championship W</w:t>
            </w:r>
          </w:p>
        </w:tc>
      </w:tr>
    </w:tbl>
    <w:p>
      <w:pPr>
        <w:spacing w:after="200" w:before="0"/>
      </w:pPr>
    </w:p>
    <w:p>
      <w:pPr>
        <w:spacing w:after="80" w:before="320" w:line="360" w:lineRule="auto"/>
      </w:pPr>
      <w:r>
        <w:rPr>
          <w:rFonts w:ascii="Calibri" w:cs="Calibri" w:eastAsia="Calibri" w:hAnsi="Calibri"/>
          <w:b/>
          <w:bCs/>
          <w:i w:val="false"/>
          <w:iCs w:val="false"/>
          <w:strike w:val="false"/>
          <w:color w:val="0A2755"/>
          <w:sz w:val="24"/>
          <w:szCs w:val="24"/>
        </w:rPr>
        <w:t xml:space="preserve">Appendix C — Jalen Brunson CBR Career Trajectory (2022–2026)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3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Season</w:t>
            </w:r>
          </w:p>
        </w:tc>
        <w:tc>
          <w:tcPr>
            <w:tcW w:type="pct" w:w="1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Regular Season CBR</w:t>
            </w:r>
          </w:p>
        </w:tc>
        <w:tc>
          <w:tcPr>
            <w:tcW w:type="pct" w:w="1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Playoff CBR (Avg.)</w:t>
            </w:r>
          </w:p>
        </w:tc>
        <w:tc>
          <w:tcPr>
            <w:tcW w:type="pct" w:w="1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Peak Playoff CBR</w:t>
            </w:r>
          </w:p>
        </w:tc>
        <w:tc>
          <w:tcPr>
            <w:tcW w:type="pct" w:w="2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Classification</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2021–22 (Dallas)</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79.4</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84.2</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88.1</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 Clutch</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2022–23 (New York)</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83.1</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86.7</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90.3</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Elite Clutch</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2023–24 (New York)</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85.6</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88.4</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91.7</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Elite Clutch</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2024–25 (New York)</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87.2</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89.9</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93.4</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Exceptional</w:t>
            </w:r>
          </w:p>
        </w:tc>
      </w:tr>
      <w:tr>
        <w:trPr>
          <w:tblHeader w:val="false"/>
        </w:trPr>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2025–26 (New York)</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88.4</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93.8</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98.6 ✦</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Dataset Record</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5A5A5A"/>
          <w:sz w:val="22"/>
          <w:szCs w:val="22"/>
        </w:rPr>
        <w:t xml:space="preserve">✦ 98.6 CBR achieved in Game 5, 2026 NBA Finals Clincher — highest championship-game CBR in 5-year dataset.</w:t>
      </w:r>
    </w:p>
    <w:p>
      <w:pPr>
        <w:spacing w:after="80" w:before="320" w:line="360" w:lineRule="auto"/>
      </w:pPr>
      <w:r>
        <w:rPr>
          <w:rFonts w:ascii="Calibri" w:cs="Calibri" w:eastAsia="Calibri" w:hAnsi="Calibri"/>
          <w:b/>
          <w:bCs/>
          <w:i w:val="false"/>
          <w:iCs w:val="false"/>
          <w:strike w:val="false"/>
          <w:color w:val="0A2755"/>
          <w:sz w:val="24"/>
          <w:szCs w:val="24"/>
        </w:rPr>
        <w:t xml:space="preserve">Appendix D — Franchise Vitality Index (FVI): Methodology &amp; Calibration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Franchise Vitality Index is a weighted composite of the following sub-components, calibrated on an annual basis against realized franchise valuation data and championship outcomes: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FVI Sub-Component</w:t>
            </w:r>
          </w:p>
        </w:tc>
        <w:tc>
          <w:tcPr>
            <w:tcW w:type="pct" w:w="11%"/>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Weight</w:t>
            </w:r>
          </w:p>
        </w:tc>
        <w:tc>
          <w:tcPr>
            <w:tcW w:type="pct" w:w="36%"/>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Data Source</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Trend (Team Avg., Rolling 30-Day)</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25%</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Wearable API / Second Spectrum</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 Probability Correlation (Biometric-Adjusted)</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ML Predictive Model Output</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Media Sentiment Biometrics (NLP Score)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Sentiment NLP Engine</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Fan Engagement Biometrics (Social / Attendance)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15%</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Third-Party Data Provider</w:t>
            </w:r>
          </w:p>
        </w:tc>
      </w:tr>
      <w:tr>
        <w:trPr>
          <w:tblHeader w:val="false"/>
        </w:trPr>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Roster Cohesion Index (RCI, Current Reading)</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Biometric Synchrony Model</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FVI is expressed on a 1–1,000 scale. The maximum score of 1,000 is reserved exclusively for championship-achieving franchises and is assigned only upon official confirmation of a championship title. FVI is recalculated on a 48-hour rolling basis during active playoff series.</w:t>
      </w:r>
    </w:p>
    <w:p>
      <w:pPr>
        <w:spacing w:after="80" w:before="320" w:line="360" w:lineRule="auto"/>
      </w:pPr>
      <w:r>
        <w:rPr>
          <w:rFonts w:ascii="Calibri" w:cs="Calibri" w:eastAsia="Calibri" w:hAnsi="Calibri"/>
          <w:b/>
          <w:bCs/>
          <w:i w:val="false"/>
          <w:iCs w:val="false"/>
          <w:strike w:val="false"/>
          <w:color w:val="0A2755"/>
          <w:sz w:val="24"/>
          <w:szCs w:val="24"/>
        </w:rPr>
        <w:t xml:space="preserve">Appendix E — Glossary of Biometric Finance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Term</w:t>
            </w:r>
          </w:p>
        </w:tc>
        <w:tc>
          <w:tcPr>
            <w:tcW w:type="pct" w:w="83%"/>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Definition</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Score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Biometric Quotient — composite physiological performance score normalized on a 100-pt scale. Derived from HRV, VO2 max, recovery rate, and neuromuscular output.</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CBR</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Clutch Biometric Rating — individual performance output score under high-cortisol, high-stakes game situations. Derived from cortisol response, decision latency, shot release time, and historical clutch data.</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RCI</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Roster Cohesion Index — team-level physiological synchrony metric measuring collective performance alignment during high-intensity sequences. Scale: 0–100.</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Franchise Vitality Index — macro-level franchise equity health score aggregating BioQ trends, win probability correlation, media sentiment, and fan engagement. Scale: 1–1,000.</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MS-SportsAlpha</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Morgan Stanley proprietary index weighting BioQ/CBR against market-implied win probabilities to isolate biometric-driven alpha. Signal expressed in standard deviations from mean.</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MS-ResilienceFactor (RF)</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Morgan Stanley proprietary index tracking team comeback capacity from trailing scenarios using physiological data. Readings above 4.0x indicate elite recovery probability.</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MS-StarPower Index</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Individual player biometric valuation model converting BioQ + brand biometrics + CBR into an equity-equivalent price per share.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BioQ Performance Bond</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Fixed-coupon structured instrument linked to an athlete's maintained CBR above a defined floor through a specified season.</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Decision Latency</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Measurable delay (in seconds) between stimulus and motor response in clutch situations. Elite threshold: &lt; 0.40 seconds.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HRV</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Heart Rate Variability — variation in time between consecutive heartbeats; a key measure of autonomic nervous system function and stress recovery capacity.</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Cortisol Response Profile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 athlete's measured biological stress hormone response under high-pressure game conditions — a determinant of composure and decision-making quality in late-game scenarios.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FVI Band Crossing</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movement of the FVI from one classification tier to another (e.g., Playoff Competitive → Contender Grade), used as a trigger event in derivative payoff structures.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Sports Equity Derivative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 structured financial instrument with payoff linked to sports franchise valuation metrics, with Biometric Indices serving as the underlying signal drivers.</w:t>
            </w:r>
          </w:p>
        </w:tc>
      </w:tr>
    </w:tbl>
    <w:p>
      <w:pPr>
        <w:spacing w:after="200" w:before="0"/>
      </w:pP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w:t>
      </w:r>
    </w:p>
    <w:p>
      <w:pPr>
        <w:pStyle w:val="Heading2"/>
        <w:spacing w:after="100" w:before="400" w:line="312" w:lineRule="auto"/>
      </w:pPr>
      <w:r>
        <w:rPr>
          <w:rFonts w:ascii="Calibri" w:cs="Calibri" w:eastAsia="Calibri" w:hAnsi="Calibri"/>
          <w:color w:val="0A2755"/>
          <w:sz w:val="32"/>
          <w:szCs w:val="32"/>
        </w:rPr>
        <w:t xml:space="preserve">Document Certification</w:t>
      </w:r>
    </w:p>
    <w:p>
      <w:pPr>
        <w:pBdr>
          <w:top w:val="single" w:color="0A2755" w:sz="6"/>
        </w:pBdr>
        <w:spacing w:after="20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whitepaper has been prepared by the Biometric Finance Solutions group within Morgan Stanley Equities Division and is certified as accurate and complete to the best of the authoring team's knowledge as of the date of issue. All data, indices, and analysis contained herein reflect the outputs of proprietary modeling systems and authorized data partnerships. This document is designated </w:t>
      </w:r>
      <w:r>
        <w:rPr>
          <w:rFonts w:ascii="Calibri" w:cs="Calibri" w:eastAsia="Calibri" w:hAnsi="Calibri"/>
          <w:b/>
          <w:bCs/>
          <w:i w:val="false"/>
          <w:iCs w:val="false"/>
          <w:strike w:val="false"/>
          <w:color w:val="1A1A1A"/>
          <w:sz w:val="22"/>
          <w:szCs w:val="22"/>
        </w:rPr>
        <w:t xml:space="preserve">INTERNAL — Morgan Stanley Equities Use Only</w:t>
      </w:r>
      <w:r>
        <w:rPr>
          <w:rFonts w:ascii="Calibri" w:cs="Calibri" w:eastAsia="Calibri" w:hAnsi="Calibri"/>
          <w:b w:val="false"/>
          <w:bCs w:val="false"/>
          <w:i w:val="false"/>
          <w:iCs w:val="false"/>
          <w:strike w:val="false"/>
          <w:color w:val="1A1A1A"/>
          <w:sz w:val="22"/>
          <w:szCs w:val="22"/>
        </w:rPr>
        <w:t xml:space="preserve"> and is not for external distribution.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Role</w:t>
            </w:r>
          </w:p>
        </w:tc>
        <w:tc>
          <w:tcPr>
            <w:tcW w:type="pct" w:w="28%"/>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Name</w:t>
            </w:r>
          </w:p>
        </w:tc>
        <w:tc>
          <w:tcPr>
            <w:tcW w:type="pct" w:w="32%"/>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Division</w:t>
            </w:r>
          </w:p>
        </w:tc>
        <w:tc>
          <w:tcPr>
            <w:tcW w:type="pct" w:w="15%"/>
            <w:shd w:fill="0A2755"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2"/>
                <w:szCs w:val="22"/>
              </w:rPr>
              <w:t xml:space="preserve">Date</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Lead Analyst &amp; Primary Author</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Dashawn Ramel Bledsoe</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Biometric Finance Solutions / MS Equities</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22, 2026</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Quantitative Modeling Review</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Morgan Stanley Equities Quant Team</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Equities Division</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22, 2026</w:t>
            </w:r>
          </w:p>
        </w:tc>
      </w:tr>
      <w:tr>
        <w:trPr>
          <w:tblHeader w:val="false"/>
        </w:trPr>
        <w:tc>
          <w:tcPr>
            <w:tcW w:type="pct" w:w="2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Compliance Review</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Morgan Stanley Legal &amp; Compliance</w:t>
            </w:r>
          </w:p>
        </w:tc>
        <w:tc>
          <w:tcPr>
            <w:tcW w:type="pct" w:w="3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Internal</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22, 2026</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A2755" w:sz="6"/>
              <w:left w:val="single" w:color="0A2755" w:sz="6"/>
              <w:bottom w:val="single" w:color="0A2755" w:sz="6"/>
              <w:right w:val="single" w:color="0A2755" w:sz="6"/>
            </w:tcBorders>
            <w:shd w:fill="FDF0F0"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A2755"/>
                <w:spacing w:val="10"/>
                <w:sz w:val="20"/>
                <w:szCs w:val="20"/>
              </w:rPr>
              <w:t xml:space="preserve">Legal Disclaimer</w:t>
            </w:r>
          </w:p>
          <w:p>
            <w:pPr>
              <w:spacing w:after="140" w:line="360" w:lineRule="auto"/>
            </w:pPr>
            <w:r>
              <w:rPr>
                <w:rFonts w:ascii="Calibri" w:cs="Calibri" w:eastAsia="Calibri" w:hAnsi="Calibri"/>
                <w:b w:val="false"/>
                <w:bCs w:val="false"/>
                <w:i w:val="false"/>
                <w:iCs w:val="false"/>
                <w:strike w:val="false"/>
                <w:color w:val="1A1A1A"/>
                <w:sz w:val="22"/>
                <w:szCs w:val="22"/>
              </w:rPr>
              <w:t xml:space="preserve">This document is for </w:t>
            </w:r>
            <w:r>
              <w:rPr>
                <w:rFonts w:ascii="Calibri" w:cs="Calibri" w:eastAsia="Calibri" w:hAnsi="Calibri"/>
                <w:b/>
                <w:bCs/>
                <w:i w:val="false"/>
                <w:iCs w:val="false"/>
                <w:strike w:val="false"/>
                <w:color w:val="1A1A1A"/>
                <w:sz w:val="22"/>
                <w:szCs w:val="22"/>
              </w:rPr>
              <w:t xml:space="preserve">internal Morgan Stanley research and strategic planning purposes only</w:t>
            </w:r>
            <w:r>
              <w:rPr>
                <w:rFonts w:ascii="Calibri" w:cs="Calibri" w:eastAsia="Calibri" w:hAnsi="Calibri"/>
                <w:b w:val="false"/>
                <w:bCs w:val="false"/>
                <w:i w:val="false"/>
                <w:iCs w:val="false"/>
                <w:strike w:val="false"/>
                <w:color w:val="1A1A1A"/>
                <w:sz w:val="22"/>
                <w:szCs w:val="22"/>
              </w:rPr>
              <w:t xml:space="preserve">. It does not constitute investment advice, a research report within the meaning of applicable securities regulations, or an offer or solicitation to buy or sell any security, financial instrument, or investment product. Biometric Index data and all derived scores represent modeled outputs and are not independently audited. Past performance and model outputs are not indicative of future results. Distribution of this document outside of Morgan Stanley Equities without express written authorization is prohibited. © 2026 Morgan Stanley &amp; Co. LLC. All rights reserved.</w:t>
            </w:r>
          </w:p>
        </w:tc>
      </w:tr>
    </w:tbl>
    <w:p>
      <w:pPr>
        <w:spacing w:after="240" w:before="0"/>
      </w:pPr>
    </w:p>
    <w:p>
      <w:pPr>
        <w:spacing w:after="240" w:before="60" w:line="360" w:lineRule="auto"/>
        <w:jc w:val="center"/>
      </w:pPr>
      <w:r>
        <w:rPr>
          <w:rFonts w:ascii="Calibri" w:cs="Calibri" w:eastAsia="Calibri" w:hAnsi="Calibri"/>
          <w:b/>
          <w:bCs/>
          <w:i w:val="false"/>
          <w:iCs w:val="false"/>
          <w:strike w:val="false"/>
          <w:color w:val="1A1A1A"/>
          <w:sz w:val="22"/>
          <w:szCs w:val="22"/>
        </w:rPr>
        <w:t xml:space="preserve">BIOMETRIC FINANCE SOLUTIONS</w:t>
      </w:r>
      <w:r>
        <w:rPr>
          <w:rFonts w:ascii="Calibri" w:cs="Calibri" w:eastAsia="Calibri" w:hAnsi="Calibri"/>
          <w:b w:val="false"/>
          <w:bCs w:val="false"/>
          <w:i w:val="false"/>
          <w:iCs w:val="false"/>
          <w:color w:val="5A5A5A"/>
          <w:sz w:val="22"/>
          <w:szCs w:val="22"/>
        </w:rPr>
        <w:br/>
      </w:r>
      <w:r>
        <w:rPr>
          <w:rFonts w:ascii="Calibri" w:cs="Calibri" w:eastAsia="Calibri" w:hAnsi="Calibri"/>
          <w:b w:val="false"/>
          <w:bCs w:val="false"/>
          <w:i w:val="false"/>
          <w:iCs w:val="false"/>
          <w:strike w:val="false"/>
          <w:color w:val="5A5A5A"/>
          <w:sz w:val="22"/>
          <w:szCs w:val="22"/>
        </w:rPr>
        <w:t xml:space="preserve"> Morgan Stanley Equities Division</w:t>
      </w:r>
      <w:r>
        <w:rPr>
          <w:rFonts w:ascii="Calibri" w:cs="Calibri" w:eastAsia="Calibri" w:hAnsi="Calibri"/>
          <w:b w:val="false"/>
          <w:bCs w:val="false"/>
          <w:i w:val="false"/>
          <w:iCs w:val="false"/>
          <w:color w:val="5A5A5A"/>
          <w:sz w:val="22"/>
          <w:szCs w:val="22"/>
        </w:rPr>
        <w:br/>
      </w:r>
      <w:r>
        <w:rPr>
          <w:rFonts w:ascii="Calibri" w:cs="Calibri" w:eastAsia="Calibri" w:hAnsi="Calibri"/>
          <w:b w:val="false"/>
          <w:bCs w:val="false"/>
          <w:i w:val="false"/>
          <w:iCs w:val="false"/>
          <w:strike w:val="false"/>
          <w:color w:val="5A5A5A"/>
          <w:sz w:val="22"/>
          <w:szCs w:val="22"/>
        </w:rPr>
        <w:t xml:space="preserve"> 1585 Broadway, New York, NY 10036</w:t>
      </w:r>
      <w:r>
        <w:rPr>
          <w:rFonts w:ascii="Calibri" w:cs="Calibri" w:eastAsia="Calibri" w:hAnsi="Calibri"/>
          <w:b w:val="false"/>
          <w:bCs w:val="false"/>
          <w:i w:val="false"/>
          <w:iCs w:val="false"/>
          <w:color w:val="5A5A5A"/>
          <w:sz w:val="22"/>
          <w:szCs w:val="22"/>
        </w:rPr>
        <w:br/>
      </w:r>
      <w:r>
        <w:rPr>
          <w:rFonts w:ascii="Calibri" w:cs="Calibri" w:eastAsia="Calibri" w:hAnsi="Calibri"/>
          <w:b w:val="false"/>
          <w:bCs w:val="false"/>
          <w:i w:val="false"/>
          <w:iCs w:val="false"/>
          <w:strike w:val="false"/>
          <w:color w:val="5A5A5A"/>
          <w:sz w:val="22"/>
          <w:szCs w:val="22"/>
        </w:rPr>
        <w:t xml:space="preserve"> Document Version 1.0 — June 22, 2026</w:t>
      </w:r>
      <w:r>
        <w:rPr>
          <w:rFonts w:ascii="Calibri" w:cs="Calibri" w:eastAsia="Calibri" w:hAnsi="Calibri"/>
          <w:b w:val="false"/>
          <w:bCs w:val="false"/>
          <w:i w:val="false"/>
          <w:iCs w:val="false"/>
          <w:color w:val="5A5A5A"/>
          <w:sz w:val="22"/>
          <w:szCs w:val="22"/>
        </w:rPr>
        <w:br/>
      </w:r>
      <w:r>
        <w:rPr>
          <w:rFonts w:ascii="Calibri" w:cs="Calibri" w:eastAsia="Calibri" w:hAnsi="Calibri"/>
          <w:b w:val="false"/>
          <w:bCs w:val="false"/>
          <w:i w:val="false"/>
          <w:iCs w:val="false"/>
          <w:strike w:val="false"/>
          <w:color w:val="5A5A5A"/>
          <w:sz w:val="22"/>
          <w:szCs w:val="22"/>
        </w:rPr>
        <w:t xml:space="preserve"> Classification: INTERNAL — Morgan Stanley Equities Use Only</w:t>
      </w:r>
    </w:p>
    <w:p>
      <w:pPr>
        <w:pBdr>
          <w:bottom w:val="single" w:color="1A1A1A" w:sz="6"/>
        </w:pBdr>
        <w:spacing w:after="240" w:before="240"/>
      </w:pPr>
    </w:p>
    <w:p>
      <w:pPr>
        <w:spacing w:after="240" w:before="60" w:line="360" w:lineRule="auto"/>
        <w:jc w:val="center"/>
      </w:pPr>
      <w:r>
        <w:rPr>
          <w:rFonts w:ascii="Calibri" w:cs="Calibri" w:eastAsia="Calibri" w:hAnsi="Calibri"/>
          <w:b w:val="false"/>
          <w:bCs w:val="false"/>
          <w:i w:val="false"/>
          <w:iCs w:val="false"/>
          <w:strike w:val="false"/>
          <w:color w:val="5A5A5A"/>
          <w:spacing w:val="10"/>
          <w:sz w:val="16"/>
          <w:szCs w:val="16"/>
        </w:rPr>
        <w:t xml:space="preserve">CONFIDENTIAL — Morgan Stanley Equities  |  Biometric Finance Solutions  |  June 2026  |  Document prepared by Dashawn Ramel Bledsoe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etvvqw47SS9n4e6F3gd2M</dc:title>
  <dc:creator>Un-named</dc:creator>
  <dc:description>Generated document</dc:description>
  <cp:lastModifiedBy>Un-named</cp:lastModifiedBy>
  <cp:revision>1</cp:revision>
  <dcterms:created xsi:type="dcterms:W3CDTF">2026-06-23T21:39:39.920Z</dcterms:created>
  <dcterms:modified xsi:type="dcterms:W3CDTF">2026-06-23T21:39:39.920Z</dcterms:modified>
</cp:coreProperties>
</file>

<file path=docProps/custom.xml><?xml version="1.0" encoding="utf-8"?>
<Properties xmlns="http://schemas.openxmlformats.org/officeDocument/2006/custom-properties" xmlns:vt="http://schemas.openxmlformats.org/officeDocument/2006/docPropsVTypes"/>
</file>