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003366"/>
          <w:sz w:val="22"/>
        </w:rPr>
        <w:t>J.P. MORGAN HEDGE DESK &amp; QUANT R&amp;D</w:t>
      </w:r>
    </w:p>
    <w:p>
      <w:pPr>
        <w:spacing w:before="0" w:after="240"/>
      </w:pPr>
      <w:r>
        <w:rPr>
          <w:rFonts w:ascii="Arial" w:hAnsi="Arial"/>
          <w:b/>
          <w:color w:val="111111"/>
          <w:sz w:val="44"/>
        </w:rPr>
        <w:t>BLEI-E Risk Engine &amp; Interest Developer.jpm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F0F4F8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16"/>
              </w:rPr>
              <w:t>DOCUMENT ID</w:t>
              <w:br/>
            </w:r>
            <w:r>
              <w:rPr>
                <w:rFonts w:ascii="Arial" w:hAnsi="Arial"/>
                <w:color w:val="222222"/>
                <w:sz w:val="19"/>
              </w:rPr>
              <w:t>JPM-BLEIE-SPEC-2026</w:t>
            </w:r>
          </w:p>
        </w:tc>
        <w:tc>
          <w:tcPr>
            <w:tcW w:type="dxa" w:w="2304"/>
            <w:shd w:fill="F0F4F8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16"/>
              </w:rPr>
              <w:t>EFFECTIVE DATE</w:t>
              <w:br/>
            </w:r>
            <w:r>
              <w:rPr>
                <w:rFonts w:ascii="Arial" w:hAnsi="Arial"/>
                <w:color w:val="222222"/>
                <w:sz w:val="19"/>
              </w:rPr>
              <w:t>September 13, 2026</w:t>
            </w:r>
          </w:p>
        </w:tc>
        <w:tc>
          <w:tcPr>
            <w:tcW w:type="dxa" w:w="2304"/>
            <w:shd w:fill="F0F4F8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16"/>
              </w:rPr>
              <w:t>TARGET DESK</w:t>
              <w:br/>
            </w:r>
            <w:r>
              <w:rPr>
                <w:rFonts w:ascii="Arial" w:hAnsi="Arial"/>
                <w:color w:val="222222"/>
                <w:sz w:val="19"/>
              </w:rPr>
              <w:t>Hedge Desk &amp; R&amp;D</w:t>
            </w:r>
          </w:p>
        </w:tc>
        <w:tc>
          <w:tcPr>
            <w:tcW w:type="dxa" w:w="2448"/>
            <w:shd w:fill="F0F4F8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16"/>
              </w:rPr>
              <w:t>CLASSIFICATION</w:t>
              <w:br/>
            </w:r>
            <w:r>
              <w:rPr>
                <w:rFonts w:ascii="Arial" w:hAnsi="Arial"/>
                <w:color w:val="222222"/>
                <w:sz w:val="19"/>
              </w:rPr>
              <w:t>Production Blueprint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003366"/>
          <w:sz w:val="30"/>
        </w:rPr>
        <w:t>1. Executive Summary &amp; System Scope</w:t>
      </w:r>
    </w:p>
    <w:p>
      <w:pPr>
        <w:spacing w:before="0" w:after="120" w:line="276" w:lineRule="auto"/>
      </w:pPr>
      <w:r>
        <w:rPr>
          <w:rFonts w:ascii="Arial" w:hAnsi="Arial"/>
          <w:color w:val="222222"/>
          <w:sz w:val="21"/>
        </w:rPr>
        <w:t>The Interest Developer.jpm module serves as the core institutional architecture sitting between the BLEI-E Factor Engine, the NIL (Name, Image, Likeness) Valuation Fabric, the Hedge Desk, and the Quant R&amp;D Laboratory. Its primary function is to transform market signals, biometric data deltas, and research hypotheses into fully backtested, risk-governed candidate strategies and tradeable overlays.</w:t>
      </w:r>
    </w:p>
    <w:p>
      <w:pPr>
        <w:spacing w:before="0" w:after="120" w:line="276" w:lineRule="auto"/>
      </w:pPr>
      <w:r>
        <w:rPr>
          <w:rFonts w:ascii="Arial" w:hAnsi="Arial"/>
          <w:color w:val="222222"/>
          <w:sz w:val="21"/>
        </w:rPr>
        <w:t>The system bridges Portfolio Managers, Risk Officers, Execution Traders, Structurers, Quant Researchers, and Data Engineers. It formalizes the Dashawn Bledsoe Principle: treating physiology as market data, virality as volatility, fan energy as revenue, and stress as contagion.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24477"/>
          <w:sz w:val="25"/>
        </w:rPr>
        <w:t>System Architecture Layers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Layer 1 — Signal Intake Layer: </w:t>
      </w:r>
      <w:r>
        <w:rPr>
          <w:rFonts w:ascii="Arial" w:hAnsi="Arial"/>
          <w:color w:val="222222"/>
          <w:sz w:val="21"/>
        </w:rPr>
        <w:t>Ingests biometric inputs, virality metrics, and market data with strict physiological range validation. Exposes dedicated read-only APIs (/api/factors/blei-e, /api/nil/market, /api/sponsor/risk).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Layer 2 — Interest Registry &amp; Taxonomy: </w:t>
      </w:r>
      <w:r>
        <w:rPr>
          <w:rFonts w:ascii="Arial" w:hAnsi="Arial"/>
          <w:color w:val="222222"/>
          <w:sz w:val="21"/>
        </w:rPr>
        <w:t>Logs every idea, anomaly, or hypothesis into a standardized interest_ticket with asset handles and initial priority.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Layer 3 — Research Pipeline Orchestrator: </w:t>
      </w:r>
      <w:r>
        <w:rPr>
          <w:rFonts w:ascii="Arial" w:hAnsi="Arial"/>
          <w:color w:val="222222"/>
          <w:sz w:val="21"/>
        </w:rPr>
        <w:t>Standardized R&amp;D pipeline covering hypothesis definition, data slicing, quantitative modeling, backtesting, and risk reviews.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Layer 4 — Hedge Desk Integration Layer: </w:t>
      </w:r>
      <w:r>
        <w:rPr>
          <w:rFonts w:ascii="Arial" w:hAnsi="Arial"/>
          <w:color w:val="222222"/>
          <w:sz w:val="21"/>
        </w:rPr>
        <w:t>Maps approved outcomes to strategy_id catalog objects, risk engine hooks, paper trading simulation, and controlled live execution.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Layer 5 — Governance &amp; Audit Layer: </w:t>
      </w:r>
      <w:r>
        <w:rPr>
          <w:rFonts w:ascii="Arial" w:hAnsi="Arial"/>
          <w:color w:val="222222"/>
          <w:sz w:val="21"/>
        </w:rPr>
        <w:t>Enforces strict separation between R&amp;D sandbox and production, mandatory approval sign-offs, and WORM compliance logging.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Layer 6 — Feedback &amp; Iteration Loop: </w:t>
      </w:r>
      <w:r>
        <w:rPr>
          <w:rFonts w:ascii="Arial" w:hAnsi="Arial"/>
          <w:color w:val="222222"/>
          <w:sz w:val="21"/>
        </w:rPr>
        <w:t>Evaluates live P&amp;L performance versus backtests in Weekly Interest Reviews to capture edge decay or regime shifts.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003366"/>
          <w:sz w:val="30"/>
        </w:rPr>
        <w:t>2. BLEI-E Six-Layer Risk Fabric</w:t>
      </w:r>
    </w:p>
    <w:p>
      <w:pPr>
        <w:spacing w:before="0" w:after="120" w:line="276" w:lineRule="auto"/>
      </w:pPr>
      <w:r>
        <w:rPr>
          <w:rFonts w:ascii="Arial" w:hAnsi="Arial"/>
          <w:color w:val="222222"/>
          <w:sz w:val="21"/>
        </w:rPr>
        <w:t>The BLEI-E Risk Engine operates across a unified six-layer risk fabric engineered to translate multi-factor biometric and market data into quantitative portfolio overlays: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003366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92"/>
            <w:shd w:fill="003366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Layer Name</w:t>
            </w:r>
          </w:p>
        </w:tc>
        <w:tc>
          <w:tcPr>
            <w:tcW w:type="dxa" w:w="5616"/>
            <w:shd w:fill="003366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Operational Function &amp; Control Logic</w:t>
            </w:r>
          </w:p>
        </w:tc>
      </w:tr>
      <w:tr>
        <w:tc>
          <w:tcPr>
            <w:tcW w:type="dxa" w:w="1152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L1</w:t>
            </w:r>
          </w:p>
        </w:tc>
        <w:tc>
          <w:tcPr>
            <w:tcW w:type="dxa" w:w="2592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2222"/>
                <w:sz w:val="19"/>
              </w:rPr>
              <w:t>Signal Ingestion</w:t>
            </w:r>
          </w:p>
        </w:tc>
        <w:tc>
          <w:tcPr>
            <w:tcW w:type="dxa" w:w="5616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22222"/>
                <w:sz w:val="19"/>
              </w:rPr>
              <w:t>Biometric, virality, and market data ingestion with real-time physiological range validation.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L2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2222"/>
                <w:sz w:val="19"/>
              </w:rPr>
              <w:t>Factor Normalization</w:t>
            </w:r>
          </w:p>
        </w:tc>
        <w:tc>
          <w:tcPr>
            <w:tcW w:type="dxa" w:w="56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22222"/>
                <w:sz w:val="19"/>
              </w:rPr>
              <w:t>Z-score transformation, percentile ranking, and volatility scaling across PMF-E, SEF-E, VVE-E, FBR-E, and CSE-E.</w:t>
            </w:r>
          </w:p>
        </w:tc>
      </w:tr>
      <w:tr>
        <w:tc>
          <w:tcPr>
            <w:tcW w:type="dxa" w:w="1152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L3</w:t>
            </w:r>
          </w:p>
        </w:tc>
        <w:tc>
          <w:tcPr>
            <w:tcW w:type="dxa" w:w="2592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2222"/>
                <w:sz w:val="19"/>
              </w:rPr>
              <w:t>Cross-Asset Mapping</w:t>
            </w:r>
          </w:p>
        </w:tc>
        <w:tc>
          <w:tcPr>
            <w:tcW w:type="dxa" w:w="5616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22222"/>
                <w:sz w:val="19"/>
              </w:rPr>
              <w:t>OLS beta estimation utilizing Newey-West HAC robust standard errors to eliminate autocorrelation and heteroskedasticity.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L4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2222"/>
                <w:sz w:val="19"/>
              </w:rPr>
              <w:t>CRS Risk-State Engine</w:t>
            </w:r>
          </w:p>
        </w:tc>
        <w:tc>
          <w:tcPr>
            <w:tcW w:type="dxa" w:w="56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22222"/>
                <w:sz w:val="19"/>
              </w:rPr>
              <w:t>Unified 0–4 risk scoring engine determining systemic risk regimes and triggering defensive overlays.</w:t>
            </w:r>
          </w:p>
        </w:tc>
      </w:tr>
      <w:tr>
        <w:tc>
          <w:tcPr>
            <w:tcW w:type="dxa" w:w="1152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L5</w:t>
            </w:r>
          </w:p>
        </w:tc>
        <w:tc>
          <w:tcPr>
            <w:tcW w:type="dxa" w:w="2592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2222"/>
                <w:sz w:val="19"/>
              </w:rPr>
              <w:t>Overlay Recommendation</w:t>
            </w:r>
          </w:p>
        </w:tc>
        <w:tc>
          <w:tcPr>
            <w:tcW w:type="dxa" w:w="5616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22222"/>
                <w:sz w:val="19"/>
              </w:rPr>
              <w:t>Generates dynamic equity hedges across sponsor, media, betting platform, and franchise asset universes.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L6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2222"/>
                <w:sz w:val="19"/>
              </w:rPr>
              <w:t>Governance &amp; Audit</w:t>
            </w:r>
          </w:p>
        </w:tc>
        <w:tc>
          <w:tcPr>
            <w:tcW w:type="dxa" w:w="56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22222"/>
                <w:sz w:val="19"/>
              </w:rPr>
              <w:t>Enforces WORM audit logging, HIPAA/GDPR privacy-by-design, RBAC access controls, SEC alt-data compliance, and factor lineage tracking.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003366"/>
          <w:sz w:val="30"/>
        </w:rPr>
        <w:t>3. The 24 Canonical BLEI-E Trade Execution Methods</w:t>
      </w:r>
    </w:p>
    <w:p>
      <w:pPr>
        <w:spacing w:before="0" w:after="120" w:line="276" w:lineRule="auto"/>
      </w:pPr>
      <w:r>
        <w:rPr>
          <w:rFonts w:ascii="Arial" w:hAnsi="Arial"/>
          <w:color w:val="222222"/>
          <w:sz w:val="21"/>
        </w:rPr>
        <w:t>The framework defines 24 distinct, actionable trade execution methods categorized by factor asset class and risk regime: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24477"/>
          <w:sz w:val="25"/>
        </w:rPr>
        <w:t>Sponsor Equity Methods (SEF-E)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1. SEF-E Long Momentum: </w:t>
      </w:r>
      <w:r>
        <w:rPr>
          <w:rFonts w:ascii="Arial" w:hAnsi="Arial"/>
          <w:color w:val="222222"/>
          <w:sz w:val="21"/>
        </w:rPr>
        <w:t>Captures upward momentum in sponsor equities driven by positive athlete performance/biometric signals.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2. SEF-E Short Contagion: </w:t>
      </w:r>
      <w:r>
        <w:rPr>
          <w:rFonts w:ascii="Arial" w:hAnsi="Arial"/>
          <w:color w:val="222222"/>
          <w:sz w:val="21"/>
        </w:rPr>
        <w:t>Short positions targeting sponsor downside when athlete reputational/performance stress leaks into corporate brand equity.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3. SEF-E Dispersion Trade: </w:t>
      </w:r>
      <w:r>
        <w:rPr>
          <w:rFonts w:ascii="Arial" w:hAnsi="Arial"/>
          <w:color w:val="222222"/>
          <w:sz w:val="21"/>
        </w:rPr>
        <w:t>Exploits mispricing between index-level volatility and individual sponsor stock volatility.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4. SEF-E Options Overlay: </w:t>
      </w:r>
      <w:r>
        <w:rPr>
          <w:rFonts w:ascii="Arial" w:hAnsi="Arial"/>
          <w:color w:val="222222"/>
          <w:sz w:val="21"/>
        </w:rPr>
        <w:t>Tail-risk put option buying to hedge sponsor equity exposure surrounding high-stakes sporting events.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5. SEF-E Cross-Sponsor Pair Trade: </w:t>
      </w:r>
      <w:r>
        <w:rPr>
          <w:rFonts w:ascii="Arial" w:hAnsi="Arial"/>
          <w:color w:val="222222"/>
          <w:sz w:val="21"/>
        </w:rPr>
        <w:t>Long/short relative value trade comparing two linked corporate sponsors based on SEF-E factor divergence.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24477"/>
          <w:sz w:val="25"/>
        </w:rPr>
        <w:t>Media Equity Methods (VVE-E)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6. VVE-E Viral Momentum Long: </w:t>
      </w:r>
      <w:r>
        <w:rPr>
          <w:rFonts w:ascii="Arial" w:hAnsi="Arial"/>
          <w:color w:val="222222"/>
          <w:sz w:val="21"/>
        </w:rPr>
        <w:t>Rides rapid expansion in media engagement and virality velocity signals across broadcasting networks.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7. VVE-E Volatility Straddle: </w:t>
      </w:r>
      <w:r>
        <w:rPr>
          <w:rFonts w:ascii="Arial" w:hAnsi="Arial"/>
          <w:color w:val="222222"/>
          <w:sz w:val="21"/>
        </w:rPr>
        <w:t>Long straddle option position capturing sharp equity price moves surrounding peak virality media catalysts.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8. VVE-E Media Drift Capture: </w:t>
      </w:r>
      <w:r>
        <w:rPr>
          <w:rFonts w:ascii="Arial" w:hAnsi="Arial"/>
          <w:color w:val="222222"/>
          <w:sz w:val="21"/>
        </w:rPr>
        <w:t>Harvests post-viral event price drift in digital media and sports broadcasting equities.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9. VVE-E Cross-Media Spread: </w:t>
      </w:r>
      <w:r>
        <w:rPr>
          <w:rFonts w:ascii="Arial" w:hAnsi="Arial"/>
          <w:color w:val="222222"/>
          <w:sz w:val="21"/>
        </w:rPr>
        <w:t>Relative value spread trading across competing media platforms based on engagement velocity differentials.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10. VVE-E Event-Driven Gamma Trade: </w:t>
      </w:r>
      <w:r>
        <w:rPr>
          <w:rFonts w:ascii="Arial" w:hAnsi="Arial"/>
          <w:color w:val="222222"/>
          <w:sz w:val="21"/>
        </w:rPr>
        <w:t>Capitalizes on short-dated options gamma expansion during high-intensity live media events.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24477"/>
          <w:sz w:val="25"/>
        </w:rPr>
        <w:t>Betting Platform Methods (CSE-E)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11. CSE-E Volatility Expansion Long-Vol: </w:t>
      </w:r>
      <w:r>
        <w:rPr>
          <w:rFonts w:ascii="Arial" w:hAnsi="Arial"/>
          <w:color w:val="222222"/>
          <w:sz w:val="21"/>
        </w:rPr>
        <w:t>Buys implied volatility ahead of high-volume sports betting events or liquidity shifts.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12. CSE-E Volatility Crush Short-Vol: </w:t>
      </w:r>
      <w:r>
        <w:rPr>
          <w:rFonts w:ascii="Arial" w:hAnsi="Arial"/>
          <w:color w:val="222222"/>
          <w:sz w:val="21"/>
        </w:rPr>
        <w:t>Sells implied volatility post-event resolution as betting handle volume normalizes.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13. CSE-E Stress-Event Straddle: </w:t>
      </w:r>
      <w:r>
        <w:rPr>
          <w:rFonts w:ascii="Arial" w:hAnsi="Arial"/>
          <w:color w:val="222222"/>
          <w:sz w:val="21"/>
        </w:rPr>
        <w:t>Positions for tail risk and severe market dislocations across sports gaming and wagering platforms.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14. CSE-E Cross-Platform Arbitrage: </w:t>
      </w:r>
      <w:r>
        <w:rPr>
          <w:rFonts w:ascii="Arial" w:hAnsi="Arial"/>
          <w:color w:val="222222"/>
          <w:sz w:val="21"/>
        </w:rPr>
        <w:t>Captures valuation and spread dislocations between competing betting operator equities.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24477"/>
          <w:sz w:val="25"/>
        </w:rPr>
        <w:t>Franchise Equity Methods (FBR-E)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15. FBR-E Franchise Momentum Long: </w:t>
      </w:r>
      <w:r>
        <w:rPr>
          <w:rFonts w:ascii="Arial" w:hAnsi="Arial"/>
          <w:color w:val="222222"/>
          <w:sz w:val="21"/>
        </w:rPr>
        <w:t>Go-long sports franchise-linked assets displaying positive performance trajectory.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16. FBR-E Drawdown Hedge: </w:t>
      </w:r>
      <w:r>
        <w:rPr>
          <w:rFonts w:ascii="Arial" w:hAnsi="Arial"/>
          <w:color w:val="222222"/>
          <w:sz w:val="21"/>
        </w:rPr>
        <w:t>Deploys protective equity hedges during team performance drops or off-season activity lulls.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17. FBR-E Playoff Cycle Overlay: </w:t>
      </w:r>
      <w:r>
        <w:rPr>
          <w:rFonts w:ascii="Arial" w:hAnsi="Arial"/>
          <w:color w:val="222222"/>
          <w:sz w:val="21"/>
        </w:rPr>
        <w:t>Seasonally adjusted overlay strategies designed around playoff qualification and championship runs.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18. FBR-E Cross-Franchise Spread: </w:t>
      </w:r>
      <w:r>
        <w:rPr>
          <w:rFonts w:ascii="Arial" w:hAnsi="Arial"/>
          <w:color w:val="222222"/>
          <w:sz w:val="21"/>
        </w:rPr>
        <w:t>Pairs trade exploiting relative valuation gaps between different team/franchise corporate equities.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24477"/>
          <w:sz w:val="25"/>
        </w:rPr>
        <w:t>Physiological Market Methods (PMF-E)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19. PMF-E Factor Portfolio Long/Short: </w:t>
      </w:r>
      <w:r>
        <w:rPr>
          <w:rFonts w:ascii="Arial" w:hAnsi="Arial"/>
          <w:color w:val="222222"/>
          <w:sz w:val="21"/>
        </w:rPr>
        <w:t>Long top-quintile PMF-E factor exposures, short bottom-quintile factor exposures.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20. PMF-E Beta-Weighted Equity Basket: </w:t>
      </w:r>
      <w:r>
        <w:rPr>
          <w:rFonts w:ascii="Arial" w:hAnsi="Arial"/>
          <w:color w:val="222222"/>
          <w:sz w:val="21"/>
        </w:rPr>
        <w:t>Beta-neutral equity portfolio weighted dynamically according to physiological signal intensity.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21. PMF-E Physiological Drift Capture: </w:t>
      </w:r>
      <w:r>
        <w:rPr>
          <w:rFonts w:ascii="Arial" w:hAnsi="Arial"/>
          <w:color w:val="222222"/>
          <w:sz w:val="21"/>
        </w:rPr>
        <w:t>Systematic capture of structural equity price drift stemming from sustained physiological athlete data trends.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24477"/>
          <w:sz w:val="25"/>
        </w:rPr>
        <w:t>CRS Risk-State Methods (0–4 Overlays)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22. CRS State-3 Hedge Overlay: </w:t>
      </w:r>
      <w:r>
        <w:rPr>
          <w:rFonts w:ascii="Arial" w:hAnsi="Arial"/>
          <w:color w:val="222222"/>
          <w:sz w:val="21"/>
        </w:rPr>
        <w:t>Partial defensive hedging triggered when the unified risk score reaches State 3 (elevated risk).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23. CRS State-4 Emergency Overlay: </w:t>
      </w:r>
      <w:r>
        <w:rPr>
          <w:rFonts w:ascii="Arial" w:hAnsi="Arial"/>
          <w:color w:val="222222"/>
          <w:sz w:val="21"/>
        </w:rPr>
        <w:t>Maximum defensive overlay and aggressive de-risking executed during State 4 (systemic stress/emergency).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24. CRS Multi-Asset Shock Basket: </w:t>
      </w:r>
      <w:r>
        <w:rPr>
          <w:rFonts w:ascii="Arial" w:hAnsi="Arial"/>
          <w:color w:val="222222"/>
          <w:sz w:val="21"/>
        </w:rPr>
        <w:t>Multi-asset cross-hedging basket deployed across sponsors, media, gaming, and franchise equities during regime shocks.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003366"/>
          <w:sz w:val="30"/>
        </w:rPr>
        <w:t>4. Portfolio Construction Models</w:t>
      </w:r>
    </w:p>
    <w:p>
      <w:pPr>
        <w:spacing w:before="0" w:after="120" w:line="276" w:lineRule="auto"/>
      </w:pPr>
      <w:r>
        <w:rPr>
          <w:rFonts w:ascii="Arial" w:hAnsi="Arial"/>
          <w:color w:val="222222"/>
          <w:sz w:val="21"/>
        </w:rPr>
        <w:t>The BLEI-E engine supports four standardized portfolio construction archetypes: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BLEI-E Market-Neutral Portfolio: </w:t>
      </w:r>
      <w:r>
        <w:rPr>
          <w:rFonts w:ascii="Arial" w:hAnsi="Arial"/>
          <w:color w:val="222222"/>
          <w:sz w:val="21"/>
        </w:rPr>
        <w:t>Constructs a quintile-based long/short factor portfolio (long top quintile, short bottom quintile) that enforces strict market neutrality and beta control.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BLEI-E Multi-Asset Overlay Portfolio: </w:t>
      </w:r>
      <w:r>
        <w:rPr>
          <w:rFonts w:ascii="Arial" w:hAnsi="Arial"/>
          <w:color w:val="222222"/>
          <w:sz w:val="21"/>
        </w:rPr>
        <w:t>Integrated multi-asset basket dynamically hedging sponsor, media, betting platform, and franchise equities concurrently based on cross-asset OLS betas.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BLEI-E Volatility Portfolio: </w:t>
      </w:r>
      <w:r>
        <w:rPr>
          <w:rFonts w:ascii="Arial" w:hAnsi="Arial"/>
          <w:color w:val="222222"/>
          <w:sz w:val="21"/>
        </w:rPr>
        <w:t>Combines CSE-E (betting) and VVE-E (media) volatility signals into long-volatility, straddle, and dispersion structures to harvest volatility expansion.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BLEI-E Franchise Momentum Portfolio: </w:t>
      </w:r>
      <w:r>
        <w:rPr>
          <w:rFonts w:ascii="Arial" w:hAnsi="Arial"/>
          <w:color w:val="222222"/>
          <w:sz w:val="21"/>
        </w:rPr>
        <w:t>Dedicated FBR-E strategy designed for harvesting playoff-cycle drift, seasonal valuation peaks, and franchise momentum.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003366"/>
          <w:sz w:val="30"/>
        </w:rPr>
        <w:t>5. Pod-Level Deployment &amp; Compliance Controls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Pod Structure: </w:t>
      </w:r>
      <w:r>
        <w:rPr>
          <w:rFonts w:ascii="Arial" w:hAnsi="Arial"/>
          <w:color w:val="222222"/>
          <w:sz w:val="21"/>
        </w:rPr>
        <w:t>Quant Pod Organization</w:t>
      </w:r>
    </w:p>
    <w:p>
      <w:pPr>
        <w:spacing w:before="0" w:after="120" w:line="276" w:lineRule="auto"/>
      </w:pPr>
      <w:r>
        <w:rPr>
          <w:rFonts w:ascii="Arial" w:hAnsi="Arial"/>
          <w:color w:val="222222"/>
          <w:sz w:val="21"/>
        </w:rPr>
        <w:t>Execution is managed by a 5-role Quant Pod comprising the Portfolio Manager (PM), Quant Researcher (QR), Data Engineer (DE), Chief Risk Officer (CRO), and Compliance Officer.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Workflow Pipeline: </w:t>
      </w:r>
      <w:r>
        <w:rPr>
          <w:rFonts w:ascii="Arial" w:hAnsi="Arial"/>
          <w:color w:val="222222"/>
          <w:sz w:val="21"/>
        </w:rPr>
        <w:t xml:space="preserve">The 6-Stage Pod Workflow: </w:t>
      </w:r>
    </w:p>
    <w:p>
      <w:pPr>
        <w:spacing w:before="0" w:after="120" w:line="276" w:lineRule="auto"/>
      </w:pPr>
      <w:r>
        <w:rPr>
          <w:rFonts w:ascii="Arial" w:hAnsi="Arial"/>
          <w:color w:val="222222"/>
          <w:sz w:val="21"/>
        </w:rPr>
        <w:t>1. Factor Ingestion ➔ 2. CRS Scoring ➔ 3. Overlay Generation ➔ 4. PM/CRO Approval ➔ 5. Sandbox/Live Execution ➔ 6. Audit Logging.</w:t>
      </w:r>
    </w:p>
    <w:p>
      <w:pPr>
        <w:spacing w:before="0" w:after="120" w:line="276" w:lineRule="auto"/>
      </w:pPr>
      <w:r>
        <w:rPr>
          <w:rFonts w:ascii="Arial" w:hAnsi="Arial"/>
          <w:b/>
          <w:color w:val="111111"/>
          <w:sz w:val="21"/>
        </w:rPr>
        <w:t xml:space="preserve">Statistical Verification: </w:t>
      </w:r>
      <w:r>
        <w:rPr>
          <w:rFonts w:ascii="Arial" w:hAnsi="Arial"/>
          <w:color w:val="222222"/>
          <w:sz w:val="21"/>
        </w:rPr>
        <w:t>Econometric Validation Standards</w:t>
      </w:r>
    </w:p>
    <w:p>
      <w:pPr>
        <w:spacing w:before="0" w:after="120" w:line="276" w:lineRule="auto"/>
      </w:pPr>
      <w:r>
        <w:rPr>
          <w:rFonts w:ascii="Arial" w:hAnsi="Arial"/>
          <w:color w:val="222222"/>
          <w:sz w:val="21"/>
        </w:rPr>
        <w:t>Prior to promoting any candidate_strategy from the R&amp;D sandbox to live Hedge Desk production, models must undergo mandatory econometric testing using Gibbons-Ross-Shanken (GRS) tests, Fama-MacBeth cross-sectional regressions, and Newey-West HAC standard error corrections.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08090"/>
        <w:sz w:val="18"/>
      </w:rPr>
      <w:t xml:space="preserve">Interest Developer.jpm — BLEI-E Risk Framework Specification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08090"/>
        <w:sz w:val="17"/>
      </w:rPr>
      <w:t>J.P. MORGAN HEDGE DESK &amp; QUANT R&amp;D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