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Recent (2022–present) advances in the diagnosis, pathogenesis, and treatment of IgA nephropathy (IgAN) and IgA vasculitis (IgAV)</w:t>
      </w:r>
    </w:p>
    <w:p>
      <w:pPr>
        <w:pStyle w:val="Heading2"/>
      </w:pPr>
      <w:r>
        <w:t xml:space="preserve">Scope</w:t>
      </w:r>
    </w:p>
    <w:p>
      <w:r>
        <w:t xml:space="preserve">This review addresses: what are the recent (January 2022–present) advances in the diagnosis, pathogenesis, and treatment of IgA nephropathy (IgAN) and IgA vasculitis (IgAV, including IgA vasculitis nephritis [IgAVN]), across both clinical and basic/mechanistic research?</w:t>
      </w:r>
    </w:p>
    <w:p>
      <w:r>
        <w:rPr>
          <w:b/>
          <w:bCs/>
        </w:rPr>
        <w:t xml:space="preserve">Population/model:</w:t>
      </w:r>
      <w:r>
        <w:t xml:space="preserve"> Human patients — pediatric and adult — with biopsy-confirmed or clinically diagnosed IgAN and/or IgAV/IgAVN, plus human kidney tissue/biopsy specimens, human cell lines or primary cells, and animal models explicitly used to model IgAN or IgAV pathogenesis (e.g., Gd-IgA1 immune-complex models, gddY mice, humanized IGHA1 mice, HSP mouse models).</w:t>
      </w:r>
    </w:p>
    <w:p>
      <w:r>
        <w:rPr>
          <w:b/>
          <w:bCs/>
        </w:rPr>
        <w:t xml:space="preserve">Intervention/exposure/mechanism:</w:t>
      </w:r>
      <w:r>
        <w:t xml:space="preserve"> Pharmacologic and biologic therapies specific to IgAN or IgAV (SGLT2 inhibitors, endothelin receptor antagonists, targeted-release budesonide, complement pathway inhibitors, BAFF/APRIL inhibitors, B-cell-depleting agents, RAAS blockade, mineralocorticoid receptor antagonists, immunosuppressants); diagnostic/prognostic biomarkers (Gd-IgA1, anti-glycan autoantibodies, multi-omics markers); and pathogenic mechanisms (mucosal immunity/gut–kidney axis, complement activation, genetic risk, immune-complex/mesangial deposition).</w:t>
      </w:r>
    </w:p>
    <w:p>
      <w:r>
        <w:rPr>
          <w:b/>
          <w:bCs/>
        </w:rPr>
        <w:t xml:space="preserve">Date range:</w:t>
      </w:r>
      <w:r>
        <w:t xml:space="preserve"> January 2022–present. </w:t>
      </w:r>
      <w:r>
        <w:rPr>
          <w:b/>
          <w:bCs/>
        </w:rPr>
        <w:t xml:space="preserve">Language:</w:t>
      </w:r>
      <w:r>
        <w:t xml:space="preserve"> English only.</w:t>
      </w:r>
    </w:p>
    <w:p>
      <w:r>
        <w:rPr>
          <w:b/>
          <w:bCs/>
        </w:rPr>
        <w:t xml:space="preserve">Topic-specific constraints applied throughout this report, per research-question.md:</w:t>
      </w:r>
      <w:r>
        <w:t xml:space="preserve"> (1) IgAN and IgAV findings are reported under separate headings even where a single study or shared mechanism spans both diseases; (2) any extrapolation of IgAN-derived therapies (e.g., TRF-budesonide, complement inhibitors, BAFF/APRIL inhibitors, sparsentan) to IgAV is explicitly labeled indirect evidence, never presented as IgAV-specific confirmation.</w:t>
      </w:r>
    </w:p>
    <w:p>
      <w:pPr>
        <w:pStyle w:val="Heading2"/>
      </w:pPr>
      <w:r>
        <w:t xml:space="preserve">Methodology</w:t>
      </w:r>
    </w:p>
    <w:p>
      <w:r>
        <w:t xml:space="preserve">Evidence was assembled by </w:t>
      </w:r>
      <w:r>
        <w:rPr>
          <w:rFonts w:ascii="Consolas" w:cs="Consolas" w:eastAsia="Consolas" w:hAnsi="Consolas"/>
        </w:rPr>
        <w:t xml:space="preserve">literature-scout</w:t>
      </w:r>
      <w:r>
        <w:t xml:space="preserve"> (discovery and bibliographic verification, primarily via Consensus with PubMed cross-verification) and screened/extracted/appraised by </w:t>
      </w:r>
      <w:r>
        <w:rPr>
          <w:rFonts w:ascii="Consolas" w:cs="Consolas" w:eastAsia="Consolas" w:hAnsi="Consolas"/>
        </w:rPr>
        <w:t xml:space="preserve">evidence-reviewer</w:t>
      </w:r>
      <w:r>
        <w:t xml:space="preserve"> against </w:t>
      </w:r>
      <w:r>
        <w:rPr>
          <w:rFonts w:ascii="Consolas" w:cs="Consolas" w:eastAsia="Consolas" w:hAnsi="Consolas"/>
        </w:rPr>
        <w:t xml:space="preserve">research-question.md</w:t>
      </w:r>
      <w:r>
        <w:t xml:space="preserve">'s inclusion/exclusion criteria and study-type ladder. Per </w:t>
      </w:r>
      <w:r>
        <w:rPr>
          <w:rFonts w:ascii="Consolas" w:cs="Consolas" w:eastAsia="Consolas" w:hAnsi="Consolas"/>
        </w:rPr>
        <w:t xml:space="preserve">sources/search-log.md</w:t>
      </w:r>
      <w:r>
        <w:t xml:space="preserve">, discovery proceeded across two batches and 18 logged search runs: an initial bounded test batch (Runs 1–5) and a full production batch (Runs 6–18) that systematically targeted, for both diseases, (a) mechanism/pathogenesis/biomarkers, (b) treatment/therapeutics across all named and same-class drug categories (endothelin receptor antagonists, TRF-budesonide, complement inhibitors including iptacopan/avacopan/narsoplimab, BAFF/APRIL inhibitors including telitacicept/atacicept/blisibimod, rituximab, SGLT2 inhibitors), and (c) diagnostics/clinical phenotyping. Two sub-topics (avacopan; narsoplimab) were pursued to explicit saturation (three consecutive reformulated queries with zero new in-scope candidates for avacopan) and are reported as confirmed evidence gaps below rather than silently omitted.</w:t>
      </w:r>
    </w:p>
    <w:p>
      <w:r>
        <w:t xml:space="preserve">Per </w:t>
      </w:r>
      <w:r>
        <w:rPr>
          <w:rFonts w:ascii="Consolas" w:cs="Consolas" w:eastAsia="Consolas" w:hAnsi="Consolas"/>
        </w:rPr>
        <w:t xml:space="preserve">outputs/evidence-table.md</w:t>
      </w:r>
      <w:r>
        <w:t xml:space="preserve">'s own header, 44 </w:t>
      </w:r>
      <w:r>
        <w:rPr>
          <w:rFonts w:ascii="Consolas" w:cs="Consolas" w:eastAsia="Consolas" w:hAnsi="Consolas"/>
        </w:rPr>
        <w:t xml:space="preserve">verified</w:t>
      </w:r>
      <w:r>
        <w:t xml:space="preserve"> source records were screened; one candidate record (a PROTECT patient-reported-outcomes analysis, "Wadhwani et al.") remained </w:t>
      </w:r>
      <w:r>
        <w:rPr>
          <w:rFonts w:ascii="Consolas" w:cs="Consolas" w:eastAsia="Consolas" w:hAnsi="Consolas"/>
        </w:rPr>
        <w:t xml:space="preserve">unverified</w:t>
      </w:r>
      <w:r>
        <w:t xml:space="preserve"> after two independent PubMed searches and was excluded at the eligibility gate without being screened; one administrative </w:t>
      </w:r>
      <w:r>
        <w:rPr>
          <w:rFonts w:ascii="Consolas" w:cs="Consolas" w:eastAsia="Consolas" w:hAnsi="Consolas"/>
        </w:rPr>
        <w:t xml:space="preserve">superseded</w:t>
      </w:r>
      <w:r>
        <w:t xml:space="preserve"> stub was ignored entirely. Screening against </w:t>
      </w:r>
      <w:r>
        <w:rPr>
          <w:rFonts w:ascii="Consolas" w:cs="Consolas" w:eastAsia="Consolas" w:hAnsi="Consolas"/>
        </w:rPr>
        <w:t xml:space="preserve">research-question.md</w:t>
      </w:r>
      <w:r>
        <w:t xml:space="preserve"> sorted the 44 verified records into: </w:t>
      </w:r>
      <w:r>
        <w:rPr>
          <w:b/>
          <w:bCs/>
        </w:rPr>
        <w:t xml:space="preserve">43 Included Studies rows</w:t>
      </w:r>
      <w:r>
        <w:t xml:space="preserve"> (39 unique source papers — three papers are split across multiple rows per the disease-separation and subgroup-fidelity rules: a telitacicept case series split into IgAN/IgAVN arms, the IPNA practice guideline split into IgAN/IgAV-nephritis recommendation sets, and a three-way comparative cohort study split into adult IgAV/pediatric IgAV/IgAN), </w:t>
      </w:r>
      <w:r>
        <w:rPr>
          <w:b/>
          <w:bCs/>
        </w:rPr>
        <w:t xml:space="preserve">5 Background/Context narrative reviews</w:t>
      </w:r>
      <w:r>
        <w:t xml:space="preserve"> (tier 8, framing use only), and </w:t>
      </w:r>
      <w:r>
        <w:rPr>
          <w:b/>
          <w:bCs/>
        </w:rPr>
        <w:t xml:space="preserve">1 Excluded Candidate</w:t>
      </w:r>
      <w:r>
        <w:t xml:space="preserve"> (the unverified Wadhwani record). No verified record was excluded during screening itself — every verified record reached either the Included or Background/Context table.</w:t>
      </w:r>
    </w:p>
    <w:p>
      <w:r>
        <w:t xml:space="preserve">The full reproducible audit trail — every query, verification step, and screening judgment call — is in </w:t>
      </w:r>
      <w:r>
        <w:rPr>
          <w:rFonts w:ascii="Consolas" w:cs="Consolas" w:eastAsia="Consolas" w:hAnsi="Consolas"/>
        </w:rPr>
        <w:t xml:space="preserve">sources/search-log.md</w:t>
      </w:r>
      <w:r>
        <w:t xml:space="preserve"> and </w:t>
      </w:r>
      <w:r>
        <w:rPr>
          <w:rFonts w:ascii="Consolas" w:cs="Consolas" w:eastAsia="Consolas" w:hAnsi="Consolas"/>
        </w:rPr>
        <w:t xml:space="preserve">outputs/evidence-table.md</w:t>
      </w:r>
      <w:r>
        <w:t xml:space="preserve">; this report does not re-derive or re-verify any of that trail, only synthesizes it.</w:t>
      </w:r>
    </w:p>
    <w:p>
      <w:pPr>
        <w:pStyle w:val="Heading2"/>
      </w:pPr>
      <w:r>
        <w:t xml:space="preserve">Findings</w:t>
      </w:r>
    </w:p>
    <w:p>
      <w:pPr>
        <w:pStyle w:val="Heading3"/>
      </w:pPr>
      <w:r>
        <w:t xml:space="preserve">IgA Nephropathy (IgAN)</w:t>
      </w:r>
    </w:p>
    <w:p>
      <w:pPr>
        <w:pStyle w:val="Heading4"/>
      </w:pPr>
      <w:r>
        <w:t xml:space="preserve">Pathogenesis and mechanism</w:t>
      </w:r>
    </w:p>
    <w:p>
      <w:r>
        <w:t xml:space="preserve">As background, IgAN is understood to arise from a multi-hit process involving galactose-deficient IgA1 (Gd-IgA1) production, anti-glycan autoantibody formation, immune-complex deposition, and mesangial injury, with complement activation (particularly the lectin and alternative pathways) increasingly recognized as a key amplifying step [Cheung et al., 2024, background; Barratt et al., 2023, background]. Within the included primary evidence, a case-control immunological study found that circulating Gd-IgA1-producing B cells in IgAN patients preferentially carry lambda light chains and mucosal (gut/respiratory-tract) homing receptors, supporting a mucosal origin for Gd-IgA1 production, though the authors themselves note this was a single-center European cohort with unconfirmed generalizability to other populations [Zachova et al., 2022]. A mixed human case-control and murine mechanistic study found that gut dysbiosis (Escherichia-Shigella enrichment) correlated with Gd-IgA1 levels and TLR4/MyD88/NF-κB pathway activation in IgAN patients, and that fecal microbiota transplantation from IgAN patients reproduced an IgAN-like phenotype in recipient mice — the murine causal component strengthens inference beyond the human cross-sectional/case-control data alone, but the human arm remains correlational [Zhu et al., 2024]. A novel humanized IGHA1 transgenic mouse model (crossed with a complement factor H mutant) reproduced IgAN-like glomerular IgA deposition, hematuria, and albuminuria following mucosal stimulation with Lactobacillus casei cell wall extract, providing a new preclinical tool for mucosal-trigger hypotheses but no human efficacy/safety data [Li et al., 2024/2025]. A PRISMA-guided tier-1 systematic review of 34 studies (10,082 patients) found that complement proteins from the alternative and lectin pathways were specifically associated with the crescentic (C1-2) Oxford MEST-C class, supporting the biological rationale for complement-pathway-targeted therapies in more histologically active disease — though this review was heavily weighted toward Asian-population studies (8,128 of 10,082 patients), a generalizability caveat [Ștefan et al., 2023].</w:t>
      </w:r>
    </w:p>
    <w:p>
      <w:pPr>
        <w:pStyle w:val="Heading4"/>
      </w:pPr>
      <w:r>
        <w:t xml:space="preserve">Diagnostics and biomarkers</w:t>
      </w:r>
    </w:p>
    <w:p>
      <w:r>
        <w:t xml:space="preserve">A single-center deep-learning study trained and validated a neural network for automated Oxford MEST-C scoring on IgAN biopsies (total n=196 across training/test/application cohorts) and found that network-derived S and T scores were prognostic for a composite kidney-survival endpoint (HR 9.67 and 7.67 respectively); this is a small, single-center cohort pending external validation [Jaugey et al., 2023]. A single-center retrospective cross-sectional study (n=256) found that hyperhomocysteinemia (32% of patients) was associated with worse renal function, higher inflammatory/tubular-injury markers, and more severe tubulointerstitial fibrosis, with an exploratory homocysteine cutoff of 12.50 μmol/L (AUC 0.756); however, the authors explicitly state this association was "largely attenuated after adjusting for renal function," caution against using homocysteine as a standalone prognostic tool, and the cross-sectional design cannot establish causality or temporality [Lin et al., 2026].</w:t>
      </w:r>
    </w:p>
    <w:p>
      <w:pPr>
        <w:pStyle w:val="Heading4"/>
      </w:pPr>
      <w:r>
        <w:t xml:space="preserve">Treatment</w:t>
      </w:r>
    </w:p>
    <w:p>
      <w:r>
        <w:rPr>
          <w:b/>
          <w:bCs/>
        </w:rPr>
        <w:t xml:space="preserve">Endothelin receptor antagonists and endothelin/angiotensin dual blockade.</w:t>
      </w:r>
      <w:r>
        <w:t xml:space="preserve"> The PROTECT phase 3 trial of sparsentan (a dual endothelin/angiotensin receptor antagonist) versus active-comparator irbesartan in adults with IgAN (n=404) is represented by three linked reports of the same underlying trial maturing over time, not three independent confirmations: the prespecified interim analysis found a 41% relative reduction in urine protein-to-creatinine ratio (UPCR) versus irbesartan at week 36 (p&lt;0.0001) [Heerspink et al., 2023]; the 2-year (110-week) final results found a sustained 40% lower UPCR and an eGFR-slope benefit of 1.1 mL/min/1.73m²/year (p=0.037), but the composite kidney-failure endpoint numerically favored sparsentan (9% vs. 13%) without reaching statistical significance (RR 0.7, 95% CI 0.4–1.2) — an important null hard-outcome finding that should not be smoothed over by the significant surrogate results [Rovin et al., 2023]; and a post hoc analysis found that achieving complete proteinuria remission (irrespective of original treatment arm) was associated with better eGFR preservation and fewer kidney-failure events, supporting proteinuria as a surrogate endpoint, though this was a non-randomized comparison by remission status carrying substantial confounding-by-indication risk [Heerspink et al., 2025/2026]. All three PROTECT reports used an active comparator (irbesartan), not placebo, and are sponsor-funded (Travere Therapeutics); a preclinical gddY-mouse study by partly overlapping industry-affiliated authors found sparsentan superior to losartan in reducing albuminuria and glomerulosclerosis, offering mechanistic support for PROTECT's clinical findings but remaining preclinical evidence [Nagasawa et al., 2024].</w:t>
      </w:r>
    </w:p>
    <w:p>
      <w:r>
        <w:t xml:space="preserve">The selective endothelin-A antagonist atrasentan was tested in a separate, placebo-controlled phase 3 trial, ALIGN (final 2.5-year results, n=404 randomized): the key secondary eGFR endpoint at week 136 narrowly missed the prespecified significance threshold (2.4 mL/min/1.73m² difference, 95% CI −0.1 to 4.8, p=0.057) — an important near-null finding not to be overstated — although the total eGFR slope difference (1.4 mL/min/1.73m²/year, 95% CI 0.5–2.3) favored atrasentan, and an exploratory SGLT2-inhibitor-background stratum (n=64) showed a larger eGFR difference (9.1 mL/min/1.73m², 95% CI 3.0–15.2), a hypothesis-generating rather than confirmatory finding [Heerspink et al., 2026, ALIGN]. A separate, smaller placebo-controlled crossover trial (n=54) in patients already on background RASi+SGLT2i therapy found atrasentan reduced UPCR by 25.3% versus placebo at week 12 (95% CI −36.8 to −11.7, p&lt;0.001), though this was a small trial with short (12-week) treatment periods [Heerspink et al., 2026, atrasentan+SGLT2i]. A separate, open-label, academically-run 3-arm crossover trial (n=65, no pharmaceutical funding disclosed) compared ambrisentan, the SGLT2 inhibitor henagliflozin, and their combination, finding the combination reduced UPCR similarly to ambrisentan alone (−44% vs. −48%) but significantly more than henagliflozin alone (−21%), with less fluid retention than ERA monotherapy — but the open-label design and 4-week treatment arms are substantial limitations [Chen et al., 2026].</w:t>
      </w:r>
    </w:p>
    <w:p>
      <w:r>
        <w:rPr>
          <w:b/>
          <w:bCs/>
        </w:rPr>
        <w:t xml:space="preserve">Targeted-release formulation (TRF) budesonide (Nefecon).</w:t>
      </w:r>
      <w:r>
        <w:t xml:space="preserve"> The NefIgArd phase 3, placebo-controlled trial is represented by two reports of the same trial: Part A (9-month primary endpoint, n=199) found UPCR 27% lower versus placebo [Barratt et al., 2022, NefIgArd Part A], and the 2-year final results (n=364) found the primary endpoint (time-weighted average eGFR) favored Nefecon by 5.05 mL/min/1.73m² (95% CI 3.24–7.38, p&lt;0.0001) — one of the strongest effect sizes in this evidence base — but with a meaningful adverse-event burden (peripheral oedema 17% vs. 4%, hypertension 12% vs. 3%, muscle spasms 12% vs. 4%, acne 11% vs. 1%, Nefecon vs. placebo), a safety/tolerability tradeoff that belongs alongside the efficacy finding in any risk-benefit synthesis [Lafayette et al., 2023, NefIgArd 2-year]. A separate short research-letter-format report describes TRF-budesonide use in recurrent IgAN after kidney transplantation, a population outside NefIgArd's inclusion criteria [Gandolfini et al., 2023] — </w:t>
      </w:r>
      <w:r>
        <w:rPr>
          <w:b/>
          <w:bCs/>
        </w:rPr>
        <w:t xml:space="preserve">this record carries a low-confidence classification</w:t>
      </w:r>
      <w:r>
        <w:t xml:space="preserve">: PubMed lists it as "Letter"/"Comment" with no abstract available and full text paywalled; </w:t>
      </w:r>
      <w:r>
        <w:rPr>
          <w:rFonts w:ascii="Consolas" w:cs="Consolas" w:eastAsia="Consolas" w:hAnsi="Consolas"/>
        </w:rPr>
        <w:t xml:space="preserve">evidence-reviewer</w:t>
      </w:r>
      <w:r>
        <w:t xml:space="preserve"> resolved it as a probable data-bearing research letter on title-pattern grounds only, explicitly flagging this as low confidence and reversible if full text later shows it is pure commentary with no original data. No numeric findings from this record are usable — none were extractable from the available text — and it should be treated, at most, as evidence that TRF-budesonide has been used in a post-transplant recurrence context, not as a source of any quantitative claim.</w:t>
      </w:r>
    </w:p>
    <w:p>
      <w:r>
        <w:rPr>
          <w:b/>
          <w:bCs/>
        </w:rPr>
        <w:t xml:space="preserve">Complement pathway inhibitors.</w:t>
      </w:r>
      <w:r>
        <w:t xml:space="preserve"> Iptacopan (an alternative complement pathway/Factor B inhibitor) has the most mature complement-pathway evidence stream in this table, again representing one trial program at different timepoints, not independent confirmations: a placebo-controlled phase 2 dose-finding trial (n=112) supported progression to phase 3 without itself reporting detailed quantitative efficacy in the available record [Zhang et al., 2023]; the phase 3 APPLAUSE-IgAN 9-month interim analysis (n=443) found a 38.3% greater UPCR reduction versus placebo (95% CI 26.0–48.6, p&lt;0.001) [Perkovic et al., 2024]; and the APPLAUSE-IgAN final 24-month analysis (n=477) found the primary annualized total eGFR slope endpoint favored iptacopan (−3.10 vs. −6.12 mL/min/1.73m²/year, difference 3.02, p&lt;0.001) and — notably — a statistically significant reduction in the composite kidney-failure endpoint (21.4% vs. 33.5%, HR 0.57, 95% CI 0.40–0.81, p=0.003), one of the few IgAN RCTs in this evidence base with a significant hard clinical outcome rather than only a surrogate; this benefit came with a counterbalancing safety signal of numerically higher serious infections (6.7% vs. 2.1%) that should be weighed alongside the efficacy result, not omitted [Barratt et al., 2026, APPLAUSE-IgAN final]. A design/rationale paper for APPLAUSE-IgAN reports no outcomes and is cited only for methodological context [Rizk et al., 2023]. Two further complement-pathway agents — not among the three drugs explicitly named in </w:t>
      </w:r>
      <w:r>
        <w:rPr>
          <w:rFonts w:ascii="Consolas" w:cs="Consolas" w:eastAsia="Consolas" w:hAnsi="Consolas"/>
        </w:rPr>
        <w:t xml:space="preserve">research-question.md</w:t>
      </w:r>
      <w:r>
        <w:t xml:space="preserve"> (iptacopan/avacopan/narsoplimab) but included under the same-mechanism-class judgment call applied consistently across this table — showed positive phase 2 signals: ravulizumab (complement C5 inhibitor, n=66) reduced proteinuria by 30.1% relative to placebo at week 26 (p=0.005) with stable eGFR through week 26, though eGFR declined further in both arms during an open-label extension to week 50, a pattern warranting caution about durability, and a phase 3 trial is only now enrolling [Lafayette et al., 2025]; cemdisiran (an RNAi therapeutic targeting complement C5, n=31, placebo arm n=9 only) reduced placebo-adjusted UPCR by 37.4% at week 32, though the very small placebo arm substantially limits precision [Barratt et al., 2024, cemdisiran].</w:t>
      </w:r>
    </w:p>
    <w:p>
      <w:r>
        <w:rPr>
          <w:b/>
          <w:bCs/>
        </w:rPr>
        <w:t xml:space="preserve">No dedicated IgAN or IgAV trial for avacopan or narsoplimab was found despite explicit, saturated searching.</w:t>
      </w:r>
      <w:r>
        <w:t xml:space="preserve"> For avacopan, three consecutive reformulated Consensus queries returned zero new in-scope candidates — all hits were for the distinct diseases ANCA-associated vasculitis or C3 glomerulopathy — confirming this as a genuine evidence gap as of the search date, not an artifact of insufficient searching [per </w:t>
      </w:r>
      <w:r>
        <w:rPr>
          <w:rFonts w:ascii="Consolas" w:cs="Consolas" w:eastAsia="Consolas" w:hAnsi="Consolas"/>
        </w:rPr>
        <w:t xml:space="preserve">sources/search-log.md</w:t>
      </w:r>
      <w:r>
        <w:t xml:space="preserve">, Runs 11–13]. For narsoplimab, only case reports and trial-design-only conference abstracts were found; a citing commentary suggested the pivotal phase 3 trial may have missed its primary endpoint, but this was not independently verified as a primary source and is therefore not usable as a finding — it is recorded here as an unresolved gap, not a conclusion [per </w:t>
      </w:r>
      <w:r>
        <w:rPr>
          <w:rFonts w:ascii="Consolas" w:cs="Consolas" w:eastAsia="Consolas" w:hAnsi="Consolas"/>
        </w:rPr>
        <w:t xml:space="preserve">sources/search-log.md</w:t>
      </w:r>
      <w:r>
        <w:t xml:space="preserve">, Run 10 notes].</w:t>
      </w:r>
    </w:p>
    <w:p>
      <w:r>
        <w:rPr>
          <w:b/>
          <w:bCs/>
        </w:rPr>
        <w:t xml:space="preserve">BAFF/APRIL-targeted therapies.</w:t>
      </w:r>
      <w:r>
        <w:t xml:space="preserve"> Sibeprenlimab (an APRIL-neutralizing monoclonal antibody, included under the same-mechanism-class judgment call since it is not one of </w:t>
      </w:r>
      <w:r>
        <w:rPr>
          <w:rFonts w:ascii="Consolas" w:cs="Consolas" w:eastAsia="Consolas" w:hAnsi="Consolas"/>
        </w:rPr>
        <w:t xml:space="preserve">research-question.md</w:t>
      </w:r>
      <w:r>
        <w:t xml:space="preserve">'s three explicitly named BAFF/APRIL drugs) showed a dose-dependent proteinuria reduction of 47.2%–62.0% versus 20.0% with placebo at 12 months in a phase 2 trial (n=155), with eGFR stabilization in higher-dose arms versus decline with placebo [Mathur et al., 2023, ENVISION]. Atacicept, one of the three explicitly named drugs, was tested in two trials representing an escalating evidence stream: an earlier, very small (n=16) phase II precursor (JANUS) found an early pharmacodynamic (Gd-IgA1 reduction) signal without being powered for efficacy conclusions [Barratt et al., 2022, JANUS], and the larger phase 2b ORIGIN trial (n=116) met its primary endpoint with a 25% relative UPCR reduction versus placebo at week 24, eGFR stabilization versus decline with placebo, and a 60% reduction in Gd-IgA1 versus placebo as mechanistic corroboration [Lafayette et al., 2024, ORIGIN]. Telitacicept, another explicitly named drug, showed a dose-dependent and partly negative controlled-trial result: in a placebo-controlled phase 2 trial (n=44), the 240mg dose reduced proteinuria by 49% from baseline versus placebo (p=0.013), but the 160mg dose was not statistically significant (p=0.389) — both doses' results should be represented together, not just the positive one [Lv et al., 2022]. Separately, a small retrospective, uncontrolled case series of adolescents receiving telitacicept reported combined-cohort (IgAN n=11 + IgAVN n=4, pooled n=15) proteinuria reductions of 31.2% at 3 months and 59.0% at 12 months with stable eGFR, but IgAN-specific stratified results were not extractable from the available abstract — the quoted effect sizes apply only to the pooled cohort, and this is a small, retrospective, single-arm series with no comparator [Wu et al., 2025, IgAN arm].</w:t>
      </w:r>
    </w:p>
    <w:p>
      <w:r>
        <w:rPr>
          <w:b/>
          <w:bCs/>
        </w:rPr>
        <w:t xml:space="preserve">Mineralocorticoid receptor antagonism.</w:t>
      </w:r>
      <w:r>
        <w:t xml:space="preserve"> A single-center, retrospective, single-arm case series (n=52) of adults initiating finerenone found a 29.7% reduction in 24-hour urinary protein by month 12 (p=0.003), with complete or partial remission in roughly a third of eligible patients and stable eGFR; the authors themselves note that finerenone evidence in IgAN specifically remains limited and is largely extrapolated from diabetic kidney disease, and this uncontrolled, 12-month, single-center series is hypothesis-generating, not confirmatory [Pei et al., 2026].</w:t>
      </w:r>
    </w:p>
    <w:p>
      <w:r>
        <w:rPr>
          <w:b/>
          <w:bCs/>
        </w:rPr>
        <w:t xml:space="preserve">Overall trial-evidence synthesis.</w:t>
      </w:r>
      <w:r>
        <w:t xml:space="preserve"> Two tier-1 systematic reviews synthesize this expanding IgAN trial landscape: a PRISMA/Cochrane-methods systematic review of 183 studies (76 RCTs in narrative synthesis, search updated through December 2023) concluded that historical IgAN trial evidence was mixed/high risk of bias, while the newer NefIgArd and PROTECT trials demonstrate meaningful benefit, and explicitly called for further high-quality RCTs with ≥2-year follow-up — noting one co-author's affiliation with Travere Therapeutics (sparsentan's manufacturer) as an industry-adjacency flag for bias appraisal [Jeyabalan et al., 2025]. A formal international pediatric practice guideline (IPNA, GRADE-informed, treated in this table as an evidence-synthesis tier alongside tier-1 evidence) provides graded diagnostic and management recommendations for pediatric IgAN, but explicitly states that management recommendations in several areas are "supported by little high-quality evidence" — an acknowledged gap that should not be smoothed into a false sense of settled practice [Vivarelli et al., 2024, IgAN].</w:t>
      </w:r>
    </w:p>
    <w:p>
      <w:pPr>
        <w:pStyle w:val="Heading3"/>
      </w:pPr>
      <w:r>
        <w:t xml:space="preserve">IgA Vasculitis (IgAV)</w:t>
      </w:r>
    </w:p>
    <w:p>
      <w:pPr>
        <w:pStyle w:val="Heading4"/>
      </w:pPr>
      <w:r>
        <w:t xml:space="preserve">Pathogenesis and mechanism</w:t>
      </w:r>
    </w:p>
    <w:p>
      <w:r>
        <w:t xml:space="preserve">As background, IgAV shares overlapping mucosal-immune and IgA-glycosylation mechanisms with IgAN, though it is understood as a distinct systemic small-vessel vasculitis [Castañeda et al., 2024, background]. Directly on IgAV (not extrapolated from IgAN), a prospective case-control study of 86 pediatric IgAV patients and 70 controls (Croatia, 6-month follow-up) found that urinary HMGB1 was higher in patients who went on to develop nephritis than in those who did not, and correlated with albuminuria and hematuria, suggesting HMGB1 as a candidate biomarker for nephritis risk — though this is a single-country, pediatric-only cohort with generalizability to adults unestablished [Held et al., 2024]. A preclinical mouse study of Henoch-Schönlein purpura (IgAV) found that Rehmannia glutinosa extract and its active component catalpol reduced skin/kidney injury and abnormal IgA deposition via correction of a Treg/Th17 imbalance and suppression of PI3K-AKT-mTOR/NF-κB signaling, with accompanying gut-microbiome/metabolome changes; this is preclinical-only evidence (mouse, in vitro, network pharmacology) with no human efficacy or safety data [Lang et al., 2026].</w:t>
      </w:r>
    </w:p>
    <w:p>
      <w:pPr>
        <w:pStyle w:val="Heading4"/>
      </w:pPr>
      <w:r>
        <w:t xml:space="preserve">Diagnostics and clinical phenotypes</w:t>
      </w:r>
    </w:p>
    <w:p>
      <w:r>
        <w:t xml:space="preserve">A key open question in IgAV diagnostics is whether the IgAN-derived Oxford MEST-C histologic classification applies directly to IgAV nephritis. A large, methodologically rigorous multicenter cohort (n=361, 23 centers, centralized 3-pathologist re-scoring) found that only endocapillary hypercellularity (E1) among the full MEST-C component set was independently associated with a high-risk eGFR-decline trajectory, while fibrous crescents (not part of the pediatric ISKDC classification) were also prognostically relevant — this </w:t>
      </w:r>
      <w:r>
        <w:rPr>
          <w:b/>
          <w:bCs/>
        </w:rPr>
        <w:t xml:space="preserve">nuances rather than validates</w:t>
      </w:r>
      <w:r>
        <w:t xml:space="preserve"> the direct extrapolation of MEST-C from IgAN to IgAV, consistent with </w:t>
      </w:r>
      <w:r>
        <w:rPr>
          <w:rFonts w:ascii="Consolas" w:cs="Consolas" w:eastAsia="Consolas" w:hAnsi="Consolas"/>
        </w:rPr>
        <w:t xml:space="preserve">research-question.md</w:t>
      </w:r>
      <w:r>
        <w:t xml:space="preserve">'s instruction to treat such extrapolation as an open question rather than an assumption [Barbour et al., 2024]. A retrospective cohort with unsupervised hierarchical clustering (French IGAVAS database, n=260, independently validated on a Slovenian cohort, n=208) identified three distinct adult-onset IgAV phenotype clusters — young males with GI/joint involvement and low renal risk; middle-aged patients without GI involvement; and older patients with skin necrosis and high renal involvement/chronic renal failure — validated across two independent national cohorts [Maisons et al., 2026]. </w:t>
      </w:r>
      <w:r>
        <w:rPr>
          <w:b/>
          <w:bCs/>
        </w:rPr>
        <w:t xml:space="preserve">This study carries an important caveat: a published corrigendum exists for this paper whose content could not be verified</w:t>
      </w:r>
      <w:r>
        <w:t xml:space="preserve"> (no abstract, full text inaccessible); the numeric/cluster findings above have not been checked against the corrigendum, and any use of this study's specific figures should be treated with corresponding caution pending that verification. A retrospective 2-center comparative cohort (n=165 total: 60 adult IgAV, 60 pediatric IgAV, 45 non-vasculitic IgAN, reported here as three separate rows per the source study's own subgroup structure) found that adult IgAV patients had higher overall long-term mortality than IgAN patients despite similar risk/time to dialysis — a phenotypic distinction directly supporting the requirement to report IgAV and IgAN outcomes separately rather than merging them; the pediatric IgAV subgroup had zero dialysis/transplant events during follow-up, severely limiting statistical power for any pediatric-specific comparison beyond that absence of events [Levanon et al., 2023, adult IgAV / pediatric IgAV / IgAN]. A multicenter retrospective study combined with a systematic literature review (1990–2025) characterized IgA vasculitis with necrotizing arteritis (IgAV-NA, n=30) as a distinct, severe phenotype — with higher multi-organ involvement and mortality than classical IgAV and some but not all features shared with polyarteritis nodosa — but the comparator cohorts (257 classical IgAV, 196 PAN patients) were historical/literature-derived rather than concurrently matched, and 23 of the 30 index cases were drawn from published literature with no formal risk-of-bias assessment, so ascertainment/selection bias is a material limitation on this study's comparative claims [Ribereau-Gayon et al., 2026].</w:t>
      </w:r>
    </w:p>
    <w:p>
      <w:pPr>
        <w:pStyle w:val="Heading4"/>
      </w:pPr>
      <w:r>
        <w:t xml:space="preserve">Treatment</w:t>
      </w:r>
    </w:p>
    <w:p>
      <w:r>
        <w:t xml:space="preserve">The strongest and most consistent treatment-evidence signal for IgAV kidney disease is a </w:t>
      </w:r>
      <w:r>
        <w:rPr>
          <w:b/>
          <w:bCs/>
        </w:rPr>
        <w:t xml:space="preserve">convergent null finding across two independent, high-quality sources spanning different study designs and populations</w:t>
      </w:r>
      <w:r>
        <w:t xml:space="preserve">: a Cochrane systematic review of 20 RCTs (1,963 participants, GRADE-assessed) found no significant difference in persistent kidney disease with short-course prednisone versus placebo/supportive care in children with minimal kidney involvement at presentation, no significant differences for antiplatelet therapy or for cyclophosphamide/MMF/tacrolimus comparisons in severe kidney disease, and no RCTs at all addressing prevention of recurrent IgAV kidney-disease episodes (overall low-to-moderate certainty; several comparisons underpowered, as few as 15–26 participants) [Hahn, Hodson &amp; Craig, 2023]. Separately, the largest retrospective multicenter cohort of pediatric IgAVN identified in this review (n=1,148, 41 international centres, 25 countries, median follow-up 3.7 years) found that no specific second-line immunosuppressive regimen was superior to others, even in higher-risk subgroups [Rohner et al., 2024]. These two studies — a tier-1 randomized-evidence systematic review and the largest tier-4 observational cohort of its kind — independently reach the same conclusion using different designs and populations, which strengthens confidence in a genuine absence of demonstrated superiority among currently used immunosuppressive regimens for IgAV kidney disease, rather than being two isolated negative results. Consistent with this, the IPNA pediatric practice guideline's IgAV-nephritis-specific recommendations explicitly describe the underlying evidence base as sparse for IgAVN-specific management [Vivarelli et al., 2024, IgAV nephritis].</w:t>
      </w:r>
    </w:p>
    <w:p>
      <w:r>
        <w:t xml:space="preserve">On the emerging-therapy side, telitacicept (dual BAFF/APRIL inhibitor) has the most substantive IgAVN-specific signal in this table, though at low evidentiary weight: the same adolescent case series discussed above reported an IgAVN arm of only n=4 (below the tier-5 case-series threshold, included only via the tier-7 novel-therapy carve-out), with no IgAVN-specific numeric results extractable separately from the pooled cohort figures — this should not be treated as independent confirmatory evidence [Wu et al., 2025, IgAVN arm]. A single-patient case report of telitacicept combined with glucocorticoids in adult-onset IgAVN reported a 78.7% proteinuria reduction and steroid-sparing effect at 6 months, but as an uncontrolled, unblinded, single-patient report this is the lowest-weight evidence in this table and must not be weighted as supporting evidence in its own right [Guo et al., 2026].</w:t>
      </w:r>
    </w:p>
    <w:p>
      <w:r>
        <w:rPr>
          <w:b/>
          <w:bCs/>
        </w:rPr>
        <w:t xml:space="preserve">Extrapolation of IgAN-derived therapies to IgAV is discussed in the background literature but is not IgAV-specific evidence.</w:t>
      </w:r>
      <w:r>
        <w:t xml:space="preserve"> Two background/context narrative reviews explicitly map IgAN-derived therapies — TRF-budesonide, complement inhibitors (including avacopan, which as noted above has no IgAN or IgAV trial at all), and BAFF/APRIL inhibitors including telitacicept, blisibimod, and sparsentan — onto proposed IgAV-nephritis use [Castañeda et al., 2024, background; Williams et al., 2023, background]. Per </w:t>
      </w:r>
      <w:r>
        <w:rPr>
          <w:rFonts w:ascii="Consolas" w:cs="Consolas" w:eastAsia="Consolas" w:hAnsi="Consolas"/>
        </w:rPr>
        <w:t xml:space="preserve">research-question.md</w:t>
      </w:r>
      <w:r>
        <w:t xml:space="preserve">'s explicit constraint, this must be labeled indirect (IgAN-derived) evidence, not IgAV-specific evidence: none of these reviews report original IgAV trial data for these agents, and no included primary study in this evidence table tests TRF-budesonide, sparsentan, atrasentan, iptacopan, ravulizumab, cemdisiran, sibeprenlimab, or atacicept in an IgAV population.</w:t>
      </w:r>
    </w:p>
    <w:p>
      <w:pPr>
        <w:pStyle w:val="Heading2"/>
      </w:pPr>
      <w:r>
        <w:t xml:space="preserve">Quality of the Evidence</w:t>
      </w:r>
    </w:p>
    <w:p>
      <w:r>
        <w:rPr>
          <w:b/>
          <w:bCs/>
        </w:rPr>
        <w:t xml:space="preserve">IgAN</w:t>
      </w:r>
      <w:r>
        <w:t xml:space="preserve"> now has a comparatively mature tier-1/tier-2 evidence base: two tier-1 systematic reviews [Jeyabalan et al., 2025; Ștefan et al., 2023] and a near-tier-1 international practice guideline [Vivarelli et al., 2024, IgAN], plus four distinct placebo-controlled phase 3 trial programs (ALIGN/atrasentan, NefIgArd/TRF-budesonide, APPLAUSE-IgAN/iptacopan, and the active-comparator PROTECT/sparsentan program), and numerous phase 2/2b RCTs across BAFF/APRIL and complement drug classes. However, several of these "multiple" trial reports are the same underlying trial at different timepoints (PROTECT ×3, APPLAUSE-IgAN ×3, NefIgArd ×2) and should be read as one evidence stream maturing over time per drug, not as independent replications. All major phase 2/3 trials are industry-sponsored (Travere, Novartis, Calliditas, Visterra, Vera Therapeutics, Alexion/AstraZeneca, Alnylam, RemeGen, EMD Serono/Merck KGaA), which is a consistent, table-wide bias-appraisal note rather than an isolated flag. Mechanistic/pathogenesis evidence for IgAN (mucosal immunity, gut-kidney axis, novel mouse models) is exclusively tier-6 preclinical/mechanistic (human case-control or animal-model), useful for biological plausibility but not for efficacy/safety conclusions.</w:t>
      </w:r>
    </w:p>
    <w:p>
      <w:r>
        <w:rPr>
          <w:b/>
          <w:bCs/>
        </w:rPr>
        <w:t xml:space="preserve">IgAV</w:t>
      </w:r>
      <w:r>
        <w:t xml:space="preserve"> evidence is comparatively less mature. The single tier-1 source (the Cochrane systematic review) and the largest tier-4 cohort (Rohner et al.) both converge on a null treatment finding rather than establishing an effective regimen. Diagnostic/phenotyping evidence for IgAV is dominated by tier-4 retrospective multicenter cohorts (Barbour, Maisons, Levanon, Ribereau-Gayon), several of which rely on historical/literature-derived rather than concurrently matched comparator cohorts — a limitation that should be carried forward whenever these studies' comparative claims are cited. IgAV-specific mechanistic/biomarker evidence is limited to one human case-control study [Held et al., 2024] and one preclinical mouse study [Lang et al., 2026] — a comparatively thin sub-topic per </w:t>
      </w:r>
      <w:r>
        <w:rPr>
          <w:rFonts w:ascii="Consolas" w:cs="Consolas" w:eastAsia="Consolas" w:hAnsi="Consolas"/>
        </w:rPr>
        <w:t xml:space="preserve">sources/search-log.md</w:t>
      </w:r>
      <w:r>
        <w:t xml:space="preserve">'s own saturation assessment. Emerging IgAVN-specific drug evidence (telitacicept) rests entirely on an n=4 case-series subgroup and a single case report — both explicitly flagged in the evidence table as too small to weigh as independent confirmatory evidence.</w:t>
      </w:r>
    </w:p>
    <w:p>
      <w:r>
        <w:t xml:space="preserve">One inclusion in this table carries an explicit low-confidence flag rather than standard quality caveats: the Gandolfini et al. (2023) research letter was included as a tier-7 carve-out on a judgment call that could not be confirmed from any available text (no abstract, paywalled full text) and is flagged for possible reversal to Background/Context if full text later shows it contains no original data. A second inclusion, Maisons et al. (2026), carries an unresolved corrigendum caveat on all of its reported numbers.</w:t>
      </w:r>
    </w:p>
    <w:p>
      <w:pPr>
        <w:pStyle w:val="Heading2"/>
      </w:pPr>
      <w:r>
        <w:t xml:space="preserve">Conflicting Evidence and Uncertainty</w:t>
      </w:r>
    </w:p>
    <w:p>
      <w:r>
        <w:t xml:space="preserve">No head-to-head contradictory findings between two comparable primary studies were flagged in the evidence table (i.e., no case where one included study found a treatment effective and another comparable included study found the same treatment ineffective in the same population). The genuine tensions and unresolved points that should remain visible are:</w:t>
      </w:r>
    </w:p>
    <w:p>
      <w:pPr>
        <w:pStyle w:val="ListParagraph"/>
        <w:numPr>
          <w:ilvl w:val="0"/>
          <w:numId w:val="2"/>
        </w:numPr>
      </w:pPr>
      <w:r>
        <w:rPr>
          <w:b/>
          <w:bCs/>
        </w:rPr>
        <w:t xml:space="preserve">ALIGN's internal near-miss.</w:t>
      </w:r>
      <w:r>
        <w:t xml:space="preserve"> The atrasentan ALIGN trial's key secondary eGFR endpoint narrowly missed its prespecified significance threshold (p=0.057) even as the total eGFR slope endpoint favored the drug — this is not a "positive trial" in the same unambiguous sense as APPLAUSE-IgAN or NefIgArd, and should not be described as such [Heerspink et al., 2026, ALIGN].</w:t>
      </w:r>
    </w:p>
    <w:p>
      <w:pPr>
        <w:pStyle w:val="ListParagraph"/>
        <w:numPr>
          <w:ilvl w:val="0"/>
          <w:numId w:val="2"/>
        </w:numPr>
      </w:pPr>
      <w:r>
        <w:rPr>
          <w:b/>
          <w:bCs/>
        </w:rPr>
        <w:t xml:space="preserve">Surrogate versus hard-outcome discordance in PROTECT.</w:t>
      </w:r>
      <w:r>
        <w:t xml:space="preserve"> Sparsentan's proteinuria and eGFR-slope benefits versus irbesartan were statistically robust, but the composite kidney-failure (hard outcome) endpoint was not statistically significant at 2 years — a genuine gap between surrogate and hard-outcome evidence for this specific drug, distinct from iptacopan/APPLAUSE-IgAN, which did reach significance on a hard composite outcome [Rovin et al., 2023; Barratt et al., 2026].</w:t>
      </w:r>
    </w:p>
    <w:p>
      <w:pPr>
        <w:pStyle w:val="ListParagraph"/>
        <w:numPr>
          <w:ilvl w:val="0"/>
          <w:numId w:val="2"/>
        </w:numPr>
      </w:pPr>
      <w:r>
        <w:rPr>
          <w:b/>
          <w:bCs/>
        </w:rPr>
        <w:t xml:space="preserve">MEST-C applicability to IgAV remains unresolved, not settled.</w:t>
      </w:r>
      <w:r>
        <w:t xml:space="preserve"> Barbour et al. (2024) nuances rather than validates direct extrapolation of the IgAN-derived MEST-C classification to IgAV nephritis; this should not be treated as either a validation or a refutation.</w:t>
      </w:r>
    </w:p>
    <w:p>
      <w:pPr>
        <w:pStyle w:val="ListParagraph"/>
        <w:numPr>
          <w:ilvl w:val="0"/>
          <w:numId w:val="2"/>
        </w:numPr>
      </w:pPr>
      <w:r>
        <w:rPr>
          <w:b/>
          <w:bCs/>
        </w:rPr>
        <w:t xml:space="preserve">Narsoplimab's clinical trial outcome is unverified.</w:t>
      </w:r>
      <w:r>
        <w:t xml:space="preserve"> A citing commentary suggests the pivotal narsoplimab trial may have missed its primary endpoint, but no primary source was independently verified — this is recorded as an open uncertainty, not a finding either way.</w:t>
      </w:r>
    </w:p>
    <w:p>
      <w:pPr>
        <w:pStyle w:val="ListParagraph"/>
        <w:numPr>
          <w:ilvl w:val="0"/>
          <w:numId w:val="2"/>
        </w:numPr>
      </w:pPr>
      <w:r>
        <w:rPr>
          <w:b/>
          <w:bCs/>
        </w:rPr>
        <w:t xml:space="preserve">Two low-confidence/caveated inclusions bear directly on how much weight any citation of them should carry</w:t>
      </w:r>
      <w:r>
        <w:t xml:space="preserve">: Gandolfini et al. (2023)'s classification as data-bearing versus pure commentary is unresolved, and Maisons et al. (2026)'s corrigendum content is unverified. Any specific number drawn from either source in future summaries of this report should be treated as provisional.</w:t>
      </w:r>
    </w:p>
    <w:p>
      <w:pPr>
        <w:pStyle w:val="Heading2"/>
      </w:pPr>
      <w:r>
        <w:t xml:space="preserve">Evidence Gaps</w:t>
      </w:r>
    </w:p>
    <w:p>
      <w:pPr>
        <w:pStyle w:val="ListParagraph"/>
        <w:numPr>
          <w:ilvl w:val="0"/>
          <w:numId w:val="2"/>
        </w:numPr>
      </w:pPr>
      <w:r>
        <w:rPr>
          <w:b/>
          <w:bCs/>
        </w:rPr>
        <w:t xml:space="preserve">Avacopan:</w:t>
      </w:r>
      <w:r>
        <w:t xml:space="preserve"> No dedicated IgAN or IgAV clinical trial exists in the literature as of this search, confirmed via saturated searching (three consecutive reformulated queries, zero new candidates). This is a real gap in </w:t>
      </w:r>
      <w:r>
        <w:rPr>
          <w:rFonts w:ascii="Consolas" w:cs="Consolas" w:eastAsia="Consolas" w:hAnsi="Consolas"/>
        </w:rPr>
        <w:t xml:space="preserve">research-question.md</w:t>
      </w:r>
      <w:r>
        <w:t xml:space="preserve">'s own named scope, not an artifact of insufficient search effort.</w:t>
      </w:r>
    </w:p>
    <w:p>
      <w:pPr>
        <w:pStyle w:val="ListParagraph"/>
        <w:numPr>
          <w:ilvl w:val="0"/>
          <w:numId w:val="2"/>
        </w:numPr>
      </w:pPr>
      <w:r>
        <w:rPr>
          <w:b/>
          <w:bCs/>
        </w:rPr>
        <w:t xml:space="preserve">Narsoplimab:</w:t>
      </w:r>
      <w:r>
        <w:t xml:space="preserve"> No full-text primary publication of pivotal trial results was found; only case reports and design-only conference abstracts exist in verifiable form.</w:t>
      </w:r>
    </w:p>
    <w:p>
      <w:pPr>
        <w:pStyle w:val="ListParagraph"/>
        <w:numPr>
          <w:ilvl w:val="0"/>
          <w:numId w:val="2"/>
        </w:numPr>
      </w:pPr>
      <w:r>
        <w:rPr>
          <w:b/>
          <w:bCs/>
        </w:rPr>
        <w:t xml:space="preserve">Rituximab in IgAV:</w:t>
      </w:r>
      <w:r>
        <w:t xml:space="preserve"> The most substantial dataset found (a multicentre European cohort, n=61 IgAV + n=15 crescentic IgAN, reporting 85% remission at 6 months) is conference-abstract-only with no matching full-text peer-reviewed publication identified, and could not be verified or included per </w:t>
      </w:r>
      <w:r>
        <w:rPr>
          <w:rFonts w:ascii="Consolas" w:cs="Consolas" w:eastAsia="Consolas" w:hAnsi="Consolas"/>
        </w:rPr>
        <w:t xml:space="preserve">research-question.md</w:t>
      </w:r>
      <w:r>
        <w:t xml:space="preserve">'s exclusion criteria for conference-abstract-only findings. No included study in this table addresses rituximab in either IgAN or IgAV.</w:t>
      </w:r>
    </w:p>
    <w:p>
      <w:pPr>
        <w:pStyle w:val="ListParagraph"/>
        <w:numPr>
          <w:ilvl w:val="0"/>
          <w:numId w:val="2"/>
        </w:numPr>
      </w:pPr>
      <w:r>
        <w:rPr>
          <w:b/>
          <w:bCs/>
        </w:rPr>
        <w:t xml:space="preserve">PROTECT patient-reported outcomes:</w:t>
      </w:r>
      <w:r>
        <w:t xml:space="preserve"> A patient-reported-outcomes analysis of PROTECT could not be independently verified as a peer-reviewed publication (two independent PubMed searches returned zero results) and was excluded at the eligibility gate; patient-reported outcomes as an outcome domain are therefore not represented anywhere in this evidence base.</w:t>
      </w:r>
    </w:p>
    <w:p>
      <w:pPr>
        <w:pStyle w:val="ListParagraph"/>
        <w:numPr>
          <w:ilvl w:val="0"/>
          <w:numId w:val="2"/>
        </w:numPr>
      </w:pPr>
      <w:r>
        <w:rPr>
          <w:b/>
          <w:bCs/>
        </w:rPr>
        <w:t xml:space="preserve">IgAV mechanism/pathogenesis:</w:t>
      </w:r>
      <w:r>
        <w:t xml:space="preserve"> Represented by only one human study [Held et al., 2024] and one preclinical study [Lang et al., 2026] — explicitly noted in </w:t>
      </w:r>
      <w:r>
        <w:rPr>
          <w:rFonts w:ascii="Consolas" w:cs="Consolas" w:eastAsia="Consolas" w:hAnsi="Consolas"/>
        </w:rPr>
        <w:t xml:space="preserve">sources/search-log.md</w:t>
      </w:r>
      <w:r>
        <w:t xml:space="preserve"> as receiving less search depth than the IgAN mechanism sub-topic and not saturated.</w:t>
      </w:r>
    </w:p>
    <w:p>
      <w:pPr>
        <w:pStyle w:val="ListParagraph"/>
        <w:numPr>
          <w:ilvl w:val="0"/>
          <w:numId w:val="2"/>
        </w:numPr>
      </w:pPr>
      <w:r>
        <w:rPr>
          <w:b/>
          <w:bCs/>
        </w:rPr>
        <w:t xml:space="preserve">Long-term (&gt;2-year) outcomes:</w:t>
      </w:r>
      <w:r>
        <w:t xml:space="preserve"> No included IgAN RCT reports outcomes beyond the ~2.5-year ALIGN/PROTECT/NefIgArd/APPLAUSE-IgAN timeframes; the tier-1 systematic review [Jeyabalan et al., 2025] itself calls for RCTs with longer follow-up.</w:t>
      </w:r>
    </w:p>
    <w:p>
      <w:pPr>
        <w:pStyle w:val="ListParagraph"/>
        <w:numPr>
          <w:ilvl w:val="0"/>
          <w:numId w:val="2"/>
        </w:numPr>
      </w:pPr>
      <w:r>
        <w:rPr>
          <w:b/>
          <w:bCs/>
        </w:rPr>
        <w:t xml:space="preserve">IgAN-specific stratified data within combined-cohort case series:</w:t>
      </w:r>
      <w:r>
        <w:t xml:space="preserve"> The telitacicept adolescent case series [Wu et al., 2025] reports only pooled IgAN+IgAVN figures; disease-specific effect sizes are not extractable from the available abstract for either arm.</w:t>
      </w:r>
    </w:p>
    <w:p>
      <w:pPr>
        <w:pStyle w:val="ListParagraph"/>
        <w:numPr>
          <w:ilvl w:val="0"/>
          <w:numId w:val="2"/>
        </w:numPr>
      </w:pPr>
      <w:r>
        <w:rPr>
          <w:b/>
          <w:bCs/>
        </w:rPr>
        <w:t xml:space="preserve">Pediatric-specific quantitative IgAVN treatment-comparison data:</w:t>
      </w:r>
      <w:r>
        <w:t xml:space="preserve"> Beyond the null second-line-regimen finding in Rohner et al. (2024) and the IPNA guideline's acknowledgment of a sparse evidence base, no included study provides a positive, well-powered comparative treatment result specific to pediatric IgAVN.</w:t>
      </w:r>
    </w:p>
    <w:p>
      <w:pPr>
        <w:pStyle w:val="Heading2"/>
      </w:pPr>
      <w:r>
        <w:t xml:space="preserve">Limitations of This Review</w:t>
      </w:r>
    </w:p>
    <w:p>
      <w:pPr>
        <w:pStyle w:val="ListParagraph"/>
        <w:numPr>
          <w:ilvl w:val="0"/>
          <w:numId w:val="2"/>
        </w:numPr>
      </w:pPr>
      <w:r>
        <w:rPr>
          <w:b/>
          <w:bCs/>
        </w:rPr>
        <w:t xml:space="preserve">Non-exhaustive, bounded search.</w:t>
      </w:r>
      <w:r>
        <w:t xml:space="preserve"> Per </w:t>
      </w:r>
      <w:r>
        <w:rPr>
          <w:rFonts w:ascii="Consolas" w:cs="Consolas" w:eastAsia="Consolas" w:hAnsi="Consolas"/>
        </w:rPr>
        <w:t xml:space="preserve">research-question.md</w:t>
      </w:r>
      <w:r>
        <w:t xml:space="preserve">'s own saturation guidance for a literature of this size (thousands of PubMed hits per topic), searches were stopped at a representative, well-populated sample once high-quality systematic reviews/RCTs were captured, rather than pursued to full literal saturation for every sub-topic (avacopan was the only sub-topic taken to full 3-consecutive-query saturation). Additional relevant studies almost certainly exist and were not captured (e.g., several candidate mechanistic papers on C1GALT1-knockout mouse models and unconventional T-cell subsets were identified but not verified/recorded, per </w:t>
      </w:r>
      <w:r>
        <w:rPr>
          <w:rFonts w:ascii="Consolas" w:cs="Consolas" w:eastAsia="Consolas" w:hAnsi="Consolas"/>
        </w:rPr>
        <w:t xml:space="preserve">sources/search-log.md</w:t>
      </w:r>
      <w:r>
        <w:t xml:space="preserve"> Run 16).</w:t>
      </w:r>
    </w:p>
    <w:p>
      <w:pPr>
        <w:pStyle w:val="ListParagraph"/>
        <w:numPr>
          <w:ilvl w:val="0"/>
          <w:numId w:val="2"/>
        </w:numPr>
      </w:pPr>
      <w:r>
        <w:rPr>
          <w:b/>
          <w:bCs/>
        </w:rPr>
        <w:t xml:space="preserve">English-language restriction.</w:t>
      </w:r>
      <w:r>
        <w:t xml:space="preserve"> Non-English studies were excluded per </w:t>
      </w:r>
      <w:r>
        <w:rPr>
          <w:rFonts w:ascii="Consolas" w:cs="Consolas" w:eastAsia="Consolas" w:hAnsi="Consolas"/>
        </w:rPr>
        <w:t xml:space="preserve">research-question.md</w:t>
      </w:r>
      <w:r>
        <w:t xml:space="preserve"> unless an independently verifiable English translation existed; none were logged as excluded solely for language in this batch, but the restriction itself may have shaped which studies were discoverable.</w:t>
      </w:r>
    </w:p>
    <w:p>
      <w:pPr>
        <w:pStyle w:val="ListParagraph"/>
        <w:numPr>
          <w:ilvl w:val="0"/>
          <w:numId w:val="2"/>
        </w:numPr>
      </w:pPr>
      <w:r>
        <w:rPr>
          <w:b/>
          <w:bCs/>
        </w:rPr>
        <w:t xml:space="preserve">Date range restriction (Jan 2022–present).</w:t>
      </w:r>
      <w:r>
        <w:t xml:space="preserve"> Foundational mechanistic literature predating 2022 is not represented in the Included Studies table (only used, where necessary, via background-tier sources).</w:t>
      </w:r>
    </w:p>
    <w:p>
      <w:pPr>
        <w:pStyle w:val="ListParagraph"/>
        <w:numPr>
          <w:ilvl w:val="0"/>
          <w:numId w:val="2"/>
        </w:numPr>
      </w:pPr>
      <w:r>
        <w:rPr>
          <w:b/>
          <w:bCs/>
        </w:rPr>
        <w:t xml:space="preserve">Reliance on Consensus as a discovery tool.</w:t>
      </w:r>
      <w:r>
        <w:t xml:space="preserve"> Consensus (an AI-generated search summary) was used only as a discovery signal and never as a citable source in its own right; all bibliographic details were independently verified via PubMed before inclusion, per the project's anti-fabrication rules.</w:t>
      </w:r>
    </w:p>
    <w:p>
      <w:pPr>
        <w:pStyle w:val="ListParagraph"/>
        <w:numPr>
          <w:ilvl w:val="0"/>
          <w:numId w:val="2"/>
        </w:numPr>
      </w:pPr>
      <w:r>
        <w:rPr>
          <w:b/>
          <w:bCs/>
        </w:rPr>
        <w:t xml:space="preserve">Abstract-level extraction for several studies.</w:t>
      </w:r>
      <w:r>
        <w:t xml:space="preserve"> A number of included records (e.g., Zhang et al. 2023 iptacopan phase 2; Wu et al. 2025 telitacicept case series; Lang et al. 2026 Rehmannia glutinosa) had full text unavailable or not attempted, limiting extraction to abstract-level detail; this is noted per-study in the evidence table and carried into this report wherever those studies are cited.</w:t>
      </w:r>
    </w:p>
    <w:p>
      <w:pPr>
        <w:pStyle w:val="ListParagraph"/>
        <w:numPr>
          <w:ilvl w:val="0"/>
          <w:numId w:val="2"/>
        </w:numPr>
      </w:pPr>
      <w:r>
        <w:rPr>
          <w:b/>
          <w:bCs/>
        </w:rPr>
        <w:t xml:space="preserve">Two inclusions carry unresolved confidence issues</w:t>
      </w:r>
      <w:r>
        <w:t xml:space="preserve"> (Gandolfini et al. 2023's letter-vs-commentary classification; Maisons et al. 2026's unverified corrigendum) that could, on resolution, change how those studies should be weighted or whether the Gandolfini record should remain in the Included Studies table at all.</w:t>
      </w:r>
    </w:p>
    <w:p>
      <w:pPr>
        <w:pStyle w:val="Heading2"/>
      </w:pPr>
      <w:r>
        <w:t xml:space="preserve">References</w:t>
      </w:r>
    </w:p>
    <w:p>
      <w:pPr>
        <w:pStyle w:val="ListParagraph"/>
        <w:numPr>
          <w:ilvl w:val="0"/>
          <w:numId w:val="3"/>
        </w:numPr>
      </w:pPr>
      <w:r>
        <w:t xml:space="preserve">Hahn, D., Hodson, E.M., Craig, J.C. Interventions for preventing and treating kidney disease in IgA vasculitis. </w:t>
      </w:r>
      <w:r>
        <w:rPr>
          <w:i/>
          <w:iCs/>
        </w:rPr>
        <w:t xml:space="preserve">Cochrane Database of Systematic Reviews</w:t>
      </w:r>
      <w:r>
        <w:t xml:space="preserve">. 2023. DOI: </w:t>
      </w:r>
      <w:hyperlink w:history="1" r:id="rIdxaut1878ofkygvza0_4dm">
        <w:r>
          <w:rPr>
            <w:rStyle w:val="Hyperlink"/>
          </w:rPr>
          <w:t xml:space="preserve">10.1002/14651858.CD005128.pub4</w:t>
        </w:r>
      </w:hyperlink>
      <w:r>
        <w:t xml:space="preserve">; PMID: </w:t>
      </w:r>
      <w:hyperlink w:history="1" r:id="rIdocfey9r7xefqmoardbcv6">
        <w:r>
          <w:rPr>
            <w:rStyle w:val="Hyperlink"/>
          </w:rPr>
          <w:t xml:space="preserve">36853224</w:t>
        </w:r>
      </w:hyperlink>
    </w:p>
    <w:p>
      <w:pPr>
        <w:pStyle w:val="ListParagraph"/>
        <w:numPr>
          <w:ilvl w:val="0"/>
          <w:numId w:val="3"/>
        </w:numPr>
      </w:pPr>
      <w:r>
        <w:t xml:space="preserve">Jeyabalan, A., Jhaveri, K.D., Bunke, M., Briggs, J.A., Cork, D.M.W., Bensink, M.E. Clinical study outcomes in IgA nephropathy: A systematic literature review and narrative synthesis. </w:t>
      </w:r>
      <w:r>
        <w:rPr>
          <w:i/>
          <w:iCs/>
        </w:rPr>
        <w:t xml:space="preserve">PLoS One</w:t>
      </w:r>
      <w:r>
        <w:t xml:space="preserve">. 2025. DOI: </w:t>
      </w:r>
      <w:hyperlink w:history="1" r:id="rIdpxm3qhojvgekjg6vl-bbg">
        <w:r>
          <w:rPr>
            <w:rStyle w:val="Hyperlink"/>
          </w:rPr>
          <w:t xml:space="preserve">10.1371/journal.pone.0323530</w:t>
        </w:r>
      </w:hyperlink>
      <w:r>
        <w:t xml:space="preserve">; PMID: </w:t>
      </w:r>
      <w:hyperlink w:history="1" r:id="rIdh3hzuqm34ecqgf6hsylrn">
        <w:r>
          <w:rPr>
            <w:rStyle w:val="Hyperlink"/>
          </w:rPr>
          <w:t xml:space="preserve">40493692</w:t>
        </w:r>
      </w:hyperlink>
    </w:p>
    <w:p>
      <w:pPr>
        <w:pStyle w:val="ListParagraph"/>
        <w:numPr>
          <w:ilvl w:val="0"/>
          <w:numId w:val="3"/>
        </w:numPr>
      </w:pPr>
      <w:r>
        <w:t xml:space="preserve">Ștefan, G., Alamartine, E., Mariat, C., Maillard, N. Systematic Review of the Link Between Oxford MEST-C Classification and Complement Activation in IgA Nephropathy. </w:t>
      </w:r>
      <w:r>
        <w:rPr>
          <w:i/>
          <w:iCs/>
        </w:rPr>
        <w:t xml:space="preserve">Kidney International Reports</w:t>
      </w:r>
      <w:r>
        <w:t xml:space="preserve">. 2023. DOI: </w:t>
      </w:r>
      <w:hyperlink w:history="1" r:id="rIdvu34-elxs24ysi802um-x">
        <w:r>
          <w:rPr>
            <w:rStyle w:val="Hyperlink"/>
          </w:rPr>
          <w:t xml:space="preserve">10.1016/j.ekir.2023.11.005</w:t>
        </w:r>
      </w:hyperlink>
      <w:r>
        <w:t xml:space="preserve">; PMID: </w:t>
      </w:r>
      <w:hyperlink w:history="1" r:id="rIdjrtrlgtyfjheusvl3hbaa">
        <w:r>
          <w:rPr>
            <w:rStyle w:val="Hyperlink"/>
          </w:rPr>
          <w:t xml:space="preserve">38344730</w:t>
        </w:r>
      </w:hyperlink>
    </w:p>
    <w:p>
      <w:pPr>
        <w:pStyle w:val="ListParagraph"/>
        <w:numPr>
          <w:ilvl w:val="0"/>
          <w:numId w:val="3"/>
        </w:numPr>
      </w:pPr>
      <w:r>
        <w:t xml:space="preserve">Vivarelli, M., Samuel, S., Coppo, R., Barratt, J., Bonilla-Felix, M., Haffner, D., et al. IPNA clinical practice recommendations for the diagnosis and management of children with IgA nephropathy and IgA vasculitis nephritis. </w:t>
      </w:r>
      <w:r>
        <w:rPr>
          <w:i/>
          <w:iCs/>
        </w:rPr>
        <w:t xml:space="preserve">Pediatric Nephrology</w:t>
      </w:r>
      <w:r>
        <w:t xml:space="preserve">. 2024. DOI: </w:t>
      </w:r>
      <w:hyperlink w:history="1" r:id="rIdmorbez4pvpe5iazvewte4">
        <w:r>
          <w:rPr>
            <w:rStyle w:val="Hyperlink"/>
          </w:rPr>
          <w:t xml:space="preserve">10.1007/s00467-024-06502-6</w:t>
        </w:r>
      </w:hyperlink>
      <w:r>
        <w:t xml:space="preserve">; PMID: </w:t>
      </w:r>
      <w:hyperlink w:history="1" r:id="rIddulubqqh529f_3qcxcsop">
        <w:r>
          <w:rPr>
            <w:rStyle w:val="Hyperlink"/>
          </w:rPr>
          <w:t xml:space="preserve">39331079</w:t>
        </w:r>
      </w:hyperlink>
    </w:p>
    <w:p>
      <w:pPr>
        <w:pStyle w:val="ListParagraph"/>
        <w:numPr>
          <w:ilvl w:val="0"/>
          <w:numId w:val="3"/>
        </w:numPr>
      </w:pPr>
      <w:r>
        <w:t xml:space="preserve">Heerspink, H.J.L., Radhakrishnan, J., Alpers, C.E., Barratt, J., Bieler, S., Diva, U., et al. Sparsentan in patients with IgA nephropathy: a prespecified interim analysis from a randomised, double-blind, active-controlled clinical trial. </w:t>
      </w:r>
      <w:r>
        <w:rPr>
          <w:i/>
          <w:iCs/>
        </w:rPr>
        <w:t xml:space="preserve">Lancet</w:t>
      </w:r>
      <w:r>
        <w:t xml:space="preserve">. 2023. DOI: </w:t>
      </w:r>
      <w:hyperlink w:history="1" r:id="rIdrkl5oa9lkyhpl9xfv1yyl">
        <w:r>
          <w:rPr>
            <w:rStyle w:val="Hyperlink"/>
          </w:rPr>
          <w:t xml:space="preserve">10.1016/S0140-6736(23)00569-X</w:t>
        </w:r>
      </w:hyperlink>
      <w:r>
        <w:t xml:space="preserve">00569-X); PMID: </w:t>
      </w:r>
      <w:hyperlink w:history="1" r:id="rIdavlpu5xswph1a2xud6acn">
        <w:r>
          <w:rPr>
            <w:rStyle w:val="Hyperlink"/>
          </w:rPr>
          <w:t xml:space="preserve">37015244</w:t>
        </w:r>
      </w:hyperlink>
    </w:p>
    <w:p>
      <w:pPr>
        <w:pStyle w:val="ListParagraph"/>
        <w:numPr>
          <w:ilvl w:val="0"/>
          <w:numId w:val="3"/>
        </w:numPr>
      </w:pPr>
      <w:r>
        <w:t xml:space="preserve">Rovin, B.H., Barratt, J., Heerspink, H.J.L., Alpers, C.E., Bieler, S., Chae, D.-W., et al. Efficacy and safety of sparsentan versus irbesartan in patients with IgA nephropathy (PROTECT): 2-year results from a randomised, active-controlled, phase 3 trial. </w:t>
      </w:r>
      <w:r>
        <w:rPr>
          <w:i/>
          <w:iCs/>
        </w:rPr>
        <w:t xml:space="preserve">Lancet</w:t>
      </w:r>
      <w:r>
        <w:t xml:space="preserve">. 2023. DOI: </w:t>
      </w:r>
      <w:hyperlink w:history="1" r:id="rIdibkhdlmki9mg6zn4dedmm">
        <w:r>
          <w:rPr>
            <w:rStyle w:val="Hyperlink"/>
          </w:rPr>
          <w:t xml:space="preserve">10.1016/S0140-6736(23)02302-4</w:t>
        </w:r>
      </w:hyperlink>
      <w:r>
        <w:t xml:space="preserve">02302-4); PMID: </w:t>
      </w:r>
      <w:hyperlink w:history="1" r:id="rIdn83ukogodfq1iehxwgqhw">
        <w:r>
          <w:rPr>
            <w:rStyle w:val="Hyperlink"/>
          </w:rPr>
          <w:t xml:space="preserve">37931634</w:t>
        </w:r>
      </w:hyperlink>
    </w:p>
    <w:p>
      <w:pPr>
        <w:pStyle w:val="ListParagraph"/>
        <w:numPr>
          <w:ilvl w:val="0"/>
          <w:numId w:val="3"/>
        </w:numPr>
      </w:pPr>
      <w:r>
        <w:t xml:space="preserve">Heerspink, H.J.L., Rovin, B.H., Komers, R., Hendry, B., Mercer, A., Preciado, P., Murphy, E., Tesar, V. Association between Complete Proteinuria Remission and Kidney Function in the Phase 3 PROTECT Trial of Sparsentan in IgA Nephropathy. </w:t>
      </w:r>
      <w:r>
        <w:rPr>
          <w:i/>
          <w:iCs/>
        </w:rPr>
        <w:t xml:space="preserve">Clinical Journal of the American Society of Nephrology</w:t>
      </w:r>
      <w:r>
        <w:t xml:space="preserve">. 2025 (electronic)/2026 (print). DOI: </w:t>
      </w:r>
      <w:hyperlink w:history="1" r:id="rIdfapxonvucfa9bf9pcgbkk">
        <w:r>
          <w:rPr>
            <w:rStyle w:val="Hyperlink"/>
          </w:rPr>
          <w:t xml:space="preserve">10.2215/CJN.0000000961</w:t>
        </w:r>
      </w:hyperlink>
      <w:r>
        <w:t xml:space="preserve">; PMID: </w:t>
      </w:r>
      <w:hyperlink w:history="1" r:id="rIdvet7x0izz8tml7dse0vbr">
        <w:r>
          <w:rPr>
            <w:rStyle w:val="Hyperlink"/>
          </w:rPr>
          <w:t xml:space="preserve">41428405</w:t>
        </w:r>
      </w:hyperlink>
    </w:p>
    <w:p>
      <w:pPr>
        <w:pStyle w:val="ListParagraph"/>
        <w:numPr>
          <w:ilvl w:val="0"/>
          <w:numId w:val="3"/>
        </w:numPr>
      </w:pPr>
      <w:r>
        <w:t xml:space="preserve">Nagasawa, H., Ueda, S., Suzuki, H., Jenkinson, C., Fukao, Y., Nakayama, M., et al. Sparsentan is superior to losartan in the gddY mouse model of IgA nephropathy. </w:t>
      </w:r>
      <w:r>
        <w:rPr>
          <w:i/>
          <w:iCs/>
        </w:rPr>
        <w:t xml:space="preserve">Nephrology Dialysis Transplantation</w:t>
      </w:r>
      <w:r>
        <w:t xml:space="preserve">. 2024. DOI: </w:t>
      </w:r>
      <w:hyperlink w:history="1" r:id="rIdxpgbidm43o-1v1lbgmuku">
        <w:r>
          <w:rPr>
            <w:rStyle w:val="Hyperlink"/>
          </w:rPr>
          <w:t xml:space="preserve">10.1093/ndt/gfae021</w:t>
        </w:r>
      </w:hyperlink>
      <w:r>
        <w:t xml:space="preserve">; PMID: </w:t>
      </w:r>
      <w:hyperlink w:history="1" r:id="rIdeq5i2wm8lt-_wkykw76o8">
        <w:r>
          <w:rPr>
            <w:rStyle w:val="Hyperlink"/>
          </w:rPr>
          <w:t xml:space="preserve">38271614</w:t>
        </w:r>
      </w:hyperlink>
    </w:p>
    <w:p>
      <w:pPr>
        <w:pStyle w:val="ListParagraph"/>
        <w:numPr>
          <w:ilvl w:val="0"/>
          <w:numId w:val="3"/>
        </w:numPr>
      </w:pPr>
      <w:r>
        <w:t xml:space="preserve">Heerspink, H.J.L., Jardine, M.J., Kohan, D.E., Lafayette, R., Levin, A., Liew, A., et al. Atrasentan in patients with IgA nephropathy (ALIGN): final 2·5-year results from a randomised, double-blind, placebo-controlled, phase 3 trial. </w:t>
      </w:r>
      <w:r>
        <w:rPr>
          <w:i/>
          <w:iCs/>
        </w:rPr>
        <w:t xml:space="preserve">Lancet</w:t>
      </w:r>
      <w:r>
        <w:t xml:space="preserve">. 2026. DOI: </w:t>
      </w:r>
      <w:hyperlink w:history="1" r:id="rIdjpsxrh-aibm4zfz7q55p2">
        <w:r>
          <w:rPr>
            <w:rStyle w:val="Hyperlink"/>
          </w:rPr>
          <w:t xml:space="preserve">10.1016/S0140-6736(26)00960-8</w:t>
        </w:r>
      </w:hyperlink>
      <w:r>
        <w:t xml:space="preserve">00960-8); PMID: </w:t>
      </w:r>
      <w:hyperlink w:history="1" r:id="rIdhxodurny7ueeq0wj1lt2m">
        <w:r>
          <w:rPr>
            <w:rStyle w:val="Hyperlink"/>
          </w:rPr>
          <w:t xml:space="preserve">42242268</w:t>
        </w:r>
      </w:hyperlink>
    </w:p>
    <w:p>
      <w:pPr>
        <w:pStyle w:val="ListParagraph"/>
        <w:numPr>
          <w:ilvl w:val="0"/>
          <w:numId w:val="3"/>
        </w:numPr>
      </w:pPr>
      <w:r>
        <w:t xml:space="preserve">Heerspink, H.J.L., Noronha, I.L., Górriz, J.L., Lim, S.K., Kotwal, S.S., Kirsztajn, G.M., et al. Efficacy and Safety of Atrasentan in Patients with IgA Nephropathy Receiving Sodium-Glucose Cotransporter 2 Inhibitors: Placebo-Controlled, Crossover Trial. </w:t>
      </w:r>
      <w:r>
        <w:rPr>
          <w:i/>
          <w:iCs/>
        </w:rPr>
        <w:t xml:space="preserve">Journal of the American Society of Nephrology</w:t>
      </w:r>
      <w:r>
        <w:t xml:space="preserve">. 2026. DOI: </w:t>
      </w:r>
      <w:hyperlink w:history="1" r:id="rIduwp-n_xfszkxmhm6zix73">
        <w:r>
          <w:rPr>
            <w:rStyle w:val="Hyperlink"/>
          </w:rPr>
          <w:t xml:space="preserve">10.1681/ASN.0000001076</w:t>
        </w:r>
      </w:hyperlink>
      <w:r>
        <w:t xml:space="preserve">; PMID: </w:t>
      </w:r>
      <w:hyperlink w:history="1" r:id="rIdzrqqdyprft8filga120jb">
        <w:r>
          <w:rPr>
            <w:rStyle w:val="Hyperlink"/>
          </w:rPr>
          <w:t xml:space="preserve">41904616</w:t>
        </w:r>
      </w:hyperlink>
    </w:p>
    <w:p>
      <w:pPr>
        <w:pStyle w:val="ListParagraph"/>
        <w:numPr>
          <w:ilvl w:val="0"/>
          <w:numId w:val="3"/>
        </w:numPr>
      </w:pPr>
      <w:r>
        <w:t xml:space="preserve">Chen, Q., Chen, P., Liu, L., Shi, S., Zhou, X., Yang, H., et al. Endothelin Receptor Antagonist Ambrisentan, Sodium-Glucose Cotransporter 2 Inhibitor Henagliflozin, and Their Combination in IgA Nephropathy: A Randomized Crossover Trial. </w:t>
      </w:r>
      <w:r>
        <w:rPr>
          <w:i/>
          <w:iCs/>
        </w:rPr>
        <w:t xml:space="preserve">Journal of the American Society of Nephrology</w:t>
      </w:r>
      <w:r>
        <w:t xml:space="preserve">. 2026. DOI: </w:t>
      </w:r>
      <w:hyperlink w:history="1" r:id="rIdzvedspqdlh6zf3ispvefs">
        <w:r>
          <w:rPr>
            <w:rStyle w:val="Hyperlink"/>
          </w:rPr>
          <w:t xml:space="preserve">10.1681/ASN.0000001097</w:t>
        </w:r>
      </w:hyperlink>
      <w:r>
        <w:t xml:space="preserve">; PMID: </w:t>
      </w:r>
      <w:hyperlink w:history="1" r:id="rIdlc4spuhz9fc3i1q-foo0q">
        <w:r>
          <w:rPr>
            <w:rStyle w:val="Hyperlink"/>
          </w:rPr>
          <w:t xml:space="preserve">41949916</w:t>
        </w:r>
      </w:hyperlink>
    </w:p>
    <w:p>
      <w:pPr>
        <w:pStyle w:val="ListParagraph"/>
        <w:numPr>
          <w:ilvl w:val="0"/>
          <w:numId w:val="3"/>
        </w:numPr>
      </w:pPr>
      <w:r>
        <w:t xml:space="preserve">Barratt, J., Lafayette, R., Kristensen, J., Stone, A., Cattran, D., Floege, J., et al. Results from part A of the multi-center, double-blind, randomized, placebo-controlled NefIgArd trial, which evaluated targeted-release formulation of budesonide for the treatment of primary immunoglobulin A nephropathy. </w:t>
      </w:r>
      <w:r>
        <w:rPr>
          <w:i/>
          <w:iCs/>
        </w:rPr>
        <w:t xml:space="preserve">Kidney International</w:t>
      </w:r>
      <w:r>
        <w:t xml:space="preserve">. 2022. DOI: </w:t>
      </w:r>
      <w:hyperlink w:history="1" r:id="rId_yh93tggc6mto2mdhabbj">
        <w:r>
          <w:rPr>
            <w:rStyle w:val="Hyperlink"/>
          </w:rPr>
          <w:t xml:space="preserve">10.1016/j.kint.2022.09.017</w:t>
        </w:r>
      </w:hyperlink>
      <w:r>
        <w:t xml:space="preserve">; PMID: </w:t>
      </w:r>
      <w:hyperlink w:history="1" r:id="rIdxmrepudk7arzrfqi8tvu5">
        <w:r>
          <w:rPr>
            <w:rStyle w:val="Hyperlink"/>
          </w:rPr>
          <w:t xml:space="preserve">36270561</w:t>
        </w:r>
      </w:hyperlink>
    </w:p>
    <w:p>
      <w:pPr>
        <w:pStyle w:val="ListParagraph"/>
        <w:numPr>
          <w:ilvl w:val="0"/>
          <w:numId w:val="3"/>
        </w:numPr>
      </w:pPr>
      <w:r>
        <w:t xml:space="preserve">Lafayette, R., Kristensen, J., Stone, A., Floege, J., Tesař, V., Trimarchi, H., et al. Efficacy and safety of a targeted-release formulation of budesonide in patients with primary IgA nephropathy (NefIgArd): 2-year results from a randomised phase 3 trial. </w:t>
      </w:r>
      <w:r>
        <w:rPr>
          <w:i/>
          <w:iCs/>
        </w:rPr>
        <w:t xml:space="preserve">Lancet</w:t>
      </w:r>
      <w:r>
        <w:t xml:space="preserve">. 2023. DOI: </w:t>
      </w:r>
      <w:hyperlink w:history="1" r:id="rId3kwhaatvhoxu4bidet5gs">
        <w:r>
          <w:rPr>
            <w:rStyle w:val="Hyperlink"/>
          </w:rPr>
          <w:t xml:space="preserve">10.1016/S0140-6736(23)01554-4</w:t>
        </w:r>
      </w:hyperlink>
      <w:r>
        <w:t xml:space="preserve">01554-4); PMID: </w:t>
      </w:r>
      <w:hyperlink w:history="1" r:id="rIdcdjsbhd_c0vo5dtu08i-3">
        <w:r>
          <w:rPr>
            <w:rStyle w:val="Hyperlink"/>
          </w:rPr>
          <w:t xml:space="preserve">37591292</w:t>
        </w:r>
      </w:hyperlink>
    </w:p>
    <w:p>
      <w:pPr>
        <w:pStyle w:val="ListParagraph"/>
        <w:numPr>
          <w:ilvl w:val="0"/>
          <w:numId w:val="3"/>
        </w:numPr>
      </w:pPr>
      <w:r>
        <w:t xml:space="preserve">Gandolfini, I., Alibrandi, S., Gentile, M., Sanchez Russo, L., Fiaccadori, E., Palmisano, A., Cravedi, P., Maggiore, U. Targeted-release budesonide in recurrent IgA nephropathy after kidney transplantation. </w:t>
      </w:r>
      <w:r>
        <w:rPr>
          <w:i/>
          <w:iCs/>
        </w:rPr>
        <w:t xml:space="preserve">Kidney International</w:t>
      </w:r>
      <w:r>
        <w:t xml:space="preserve">. 2023. DOI: </w:t>
      </w:r>
      <w:hyperlink w:history="1" r:id="rIdngy3djybumvtqsoibb8pb">
        <w:r>
          <w:rPr>
            <w:rStyle w:val="Hyperlink"/>
          </w:rPr>
          <w:t xml:space="preserve">10.1016/j.kint.2023.02.012</w:t>
        </w:r>
      </w:hyperlink>
      <w:r>
        <w:t xml:space="preserve">; PMID: </w:t>
      </w:r>
      <w:hyperlink w:history="1" r:id="rIdahgazgnvffhea1ey-jdl4">
        <w:r>
          <w:rPr>
            <w:rStyle w:val="Hyperlink"/>
          </w:rPr>
          <w:t xml:space="preserve">37085262</w:t>
        </w:r>
      </w:hyperlink>
      <w:r>
        <w:t xml:space="preserve"> — </w:t>
      </w:r>
      <w:r>
        <w:rPr>
          <w:i/>
          <w:iCs/>
        </w:rPr>
        <w:t xml:space="preserve">low-confidence inclusion; see Quality of the Evidence and Conflicting Evidence sections</w:t>
      </w:r>
    </w:p>
    <w:p>
      <w:pPr>
        <w:pStyle w:val="ListParagraph"/>
        <w:numPr>
          <w:ilvl w:val="0"/>
          <w:numId w:val="3"/>
        </w:numPr>
      </w:pPr>
      <w:r>
        <w:t xml:space="preserve">Zhang, H., Rizk, D.V., Perkovic, V., Maes, B., Kashihara, N., Rovin, B., et al. Results of a randomized double-blind placebo-controlled Phase 2 study propose iptacopan as an alternative complement pathway inhibitor for IgA nephropathy. </w:t>
      </w:r>
      <w:r>
        <w:rPr>
          <w:i/>
          <w:iCs/>
        </w:rPr>
        <w:t xml:space="preserve">Kidney International</w:t>
      </w:r>
      <w:r>
        <w:t xml:space="preserve">. 2023. DOI: </w:t>
      </w:r>
      <w:hyperlink w:history="1" r:id="rIdxsvlxzh8h72alkspvlvgh">
        <w:r>
          <w:rPr>
            <w:rStyle w:val="Hyperlink"/>
          </w:rPr>
          <w:t xml:space="preserve">10.1016/j.kint.2023.09.027</w:t>
        </w:r>
      </w:hyperlink>
      <w:r>
        <w:t xml:space="preserve">; PMID: </w:t>
      </w:r>
      <w:hyperlink w:history="1" r:id="rIdzrge3pzcot8tcgkmf0qeh">
        <w:r>
          <w:rPr>
            <w:rStyle w:val="Hyperlink"/>
          </w:rPr>
          <w:t xml:space="preserve">37914086</w:t>
        </w:r>
      </w:hyperlink>
    </w:p>
    <w:p>
      <w:pPr>
        <w:pStyle w:val="ListParagraph"/>
        <w:numPr>
          <w:ilvl w:val="0"/>
          <w:numId w:val="3"/>
        </w:numPr>
      </w:pPr>
      <w:r>
        <w:t xml:space="preserve">Perkovic, V., Barratt, J., Rovin, B., Kashihara, N., Maes, B., Zhang, H., et al. Alternative Complement Pathway Inhibition with Iptacopan in IgA Nephropathy. </w:t>
      </w:r>
      <w:r>
        <w:rPr>
          <w:i/>
          <w:iCs/>
        </w:rPr>
        <w:t xml:space="preserve">New England Journal of Medicine</w:t>
      </w:r>
      <w:r>
        <w:t xml:space="preserve">. 2024. DOI: </w:t>
      </w:r>
      <w:hyperlink w:history="1" r:id="rIdza4tkzbeqolhwcq1kac1a">
        <w:r>
          <w:rPr>
            <w:rStyle w:val="Hyperlink"/>
          </w:rPr>
          <w:t xml:space="preserve">10.1056/NEJMoa2410316</w:t>
        </w:r>
      </w:hyperlink>
      <w:r>
        <w:t xml:space="preserve">; PMID: </w:t>
      </w:r>
      <w:hyperlink w:history="1" r:id="rIda-uv3ehg5_rjtnj8ndcbz">
        <w:r>
          <w:rPr>
            <w:rStyle w:val="Hyperlink"/>
          </w:rPr>
          <w:t xml:space="preserve">39453772</w:t>
        </w:r>
      </w:hyperlink>
    </w:p>
    <w:p>
      <w:pPr>
        <w:pStyle w:val="ListParagraph"/>
        <w:numPr>
          <w:ilvl w:val="0"/>
          <w:numId w:val="3"/>
        </w:numPr>
      </w:pPr>
      <w:r>
        <w:t xml:space="preserve">Barratt, J., Eren, N., Kashihara, N., Maes, B., Rizk, D.V., Rovin, B., et al. Iptacopan in IgA Nephropathy - Final 24-Month Data. </w:t>
      </w:r>
      <w:r>
        <w:rPr>
          <w:i/>
          <w:iCs/>
        </w:rPr>
        <w:t xml:space="preserve">New England Journal of Medicine</w:t>
      </w:r>
      <w:r>
        <w:t xml:space="preserve">. 2026. DOI: </w:t>
      </w:r>
      <w:hyperlink w:history="1" r:id="rIdn94ptx9ffu81efefhzhqn">
        <w:r>
          <w:rPr>
            <w:rStyle w:val="Hyperlink"/>
          </w:rPr>
          <w:t xml:space="preserve">10.1056/NEJMoa2600743</w:t>
        </w:r>
      </w:hyperlink>
      <w:r>
        <w:t xml:space="preserve">; PMID: </w:t>
      </w:r>
      <w:hyperlink w:history="1" r:id="rIdmqw9_ai26vjvzb7rvfqu4">
        <w:r>
          <w:rPr>
            <w:rStyle w:val="Hyperlink"/>
          </w:rPr>
          <w:t xml:space="preserve">41910396</w:t>
        </w:r>
      </w:hyperlink>
    </w:p>
    <w:p>
      <w:pPr>
        <w:pStyle w:val="ListParagraph"/>
        <w:numPr>
          <w:ilvl w:val="0"/>
          <w:numId w:val="3"/>
        </w:numPr>
      </w:pPr>
      <w:r>
        <w:t xml:space="preserve">Rizk, D.V., Rovin, B.H., Zhang, H., Kashihara, N., Maes, B., Trimarchi, H., et al. Targeting the Alternative Complement Pathway With Iptacopan to Treat IgA Nephropathy: Design and Rationale of the APPLAUSE-IgAN Study. </w:t>
      </w:r>
      <w:r>
        <w:rPr>
          <w:i/>
          <w:iCs/>
        </w:rPr>
        <w:t xml:space="preserve">Kidney International Reports</w:t>
      </w:r>
      <w:r>
        <w:t xml:space="preserve">. 2023. DOI: </w:t>
      </w:r>
      <w:hyperlink w:history="1" r:id="rIddo1qsugolh477zroxoe92">
        <w:r>
          <w:rPr>
            <w:rStyle w:val="Hyperlink"/>
          </w:rPr>
          <w:t xml:space="preserve">10.1016/j.ekir.2023.01.041</w:t>
        </w:r>
      </w:hyperlink>
      <w:r>
        <w:t xml:space="preserve">; PMID: </w:t>
      </w:r>
      <w:hyperlink w:history="1" r:id="rIdvjexyi22jlnuke1bxzr5c">
        <w:r>
          <w:rPr>
            <w:rStyle w:val="Hyperlink"/>
          </w:rPr>
          <w:t xml:space="preserve">37180505</w:t>
        </w:r>
      </w:hyperlink>
    </w:p>
    <w:p>
      <w:pPr>
        <w:pStyle w:val="ListParagraph"/>
        <w:numPr>
          <w:ilvl w:val="0"/>
          <w:numId w:val="3"/>
        </w:numPr>
      </w:pPr>
      <w:r>
        <w:t xml:space="preserve">Mathur, M., Barratt, J., Chacko, B., Chan, T.M., Kooienga, L., Oh, K.-H., et al. A Phase 2 Trial of Sibeprenlimab in Patients with IgA Nephropathy. </w:t>
      </w:r>
      <w:r>
        <w:rPr>
          <w:i/>
          <w:iCs/>
        </w:rPr>
        <w:t xml:space="preserve">New England Journal of Medicine</w:t>
      </w:r>
      <w:r>
        <w:t xml:space="preserve">. 2023. DOI: </w:t>
      </w:r>
      <w:hyperlink w:history="1" r:id="rIdjtimspyz6gwm7fjznuftl">
        <w:r>
          <w:rPr>
            <w:rStyle w:val="Hyperlink"/>
          </w:rPr>
          <w:t xml:space="preserve">10.1056/NEJMoa2305635</w:t>
        </w:r>
      </w:hyperlink>
      <w:r>
        <w:t xml:space="preserve">; PMID: </w:t>
      </w:r>
      <w:hyperlink w:history="1" r:id="rIds2g9zauta0fxvmnm4wmng">
        <w:r>
          <w:rPr>
            <w:rStyle w:val="Hyperlink"/>
          </w:rPr>
          <w:t xml:space="preserve">37916620</w:t>
        </w:r>
      </w:hyperlink>
    </w:p>
    <w:p>
      <w:pPr>
        <w:pStyle w:val="ListParagraph"/>
        <w:numPr>
          <w:ilvl w:val="0"/>
          <w:numId w:val="3"/>
        </w:numPr>
      </w:pPr>
      <w:r>
        <w:t xml:space="preserve">Lafayette, R., Barbour, S., Israni, R., Wei, X., Eren, N., Floege, J., et al. A phase 2b, randomized, double-blind, placebo-controlled, clinical trial of atacicept for treatment of IgA nephropathy. </w:t>
      </w:r>
      <w:r>
        <w:rPr>
          <w:i/>
          <w:iCs/>
        </w:rPr>
        <w:t xml:space="preserve">Kidney International</w:t>
      </w:r>
      <w:r>
        <w:t xml:space="preserve">. 2024. DOI: </w:t>
      </w:r>
      <w:hyperlink w:history="1" r:id="rIdilijedq6bn7ei717_wb1c">
        <w:r>
          <w:rPr>
            <w:rStyle w:val="Hyperlink"/>
          </w:rPr>
          <w:t xml:space="preserve">10.1016/j.kint.2024.03.012</w:t>
        </w:r>
      </w:hyperlink>
      <w:r>
        <w:t xml:space="preserve">; PMID: </w:t>
      </w:r>
      <w:hyperlink w:history="1" r:id="rId0cndwbgbaztiz2shhopx9">
        <w:r>
          <w:rPr>
            <w:rStyle w:val="Hyperlink"/>
          </w:rPr>
          <w:t xml:space="preserve">38552841</w:t>
        </w:r>
      </w:hyperlink>
    </w:p>
    <w:p>
      <w:pPr>
        <w:pStyle w:val="ListParagraph"/>
        <w:numPr>
          <w:ilvl w:val="0"/>
          <w:numId w:val="3"/>
        </w:numPr>
      </w:pPr>
      <w:r>
        <w:t xml:space="preserve">Barratt, J., Tumlin, J., Suzuki, Y., Kao, A., Aydemir, A., Pudota, K., Jin, H., Gühring, H., Appel, G. Randomized Phase II JANUS Study of Atacicept in Patients With IgA Nephropathy and Persistent Proteinuria. </w:t>
      </w:r>
      <w:r>
        <w:rPr>
          <w:i/>
          <w:iCs/>
        </w:rPr>
        <w:t xml:space="preserve">Kidney International Reports</w:t>
      </w:r>
      <w:r>
        <w:t xml:space="preserve">. 2022. DOI: </w:t>
      </w:r>
      <w:hyperlink w:history="1" r:id="rIdzp2yv3pct-tcrsiapev7y">
        <w:r>
          <w:rPr>
            <w:rStyle w:val="Hyperlink"/>
          </w:rPr>
          <w:t xml:space="preserve">10.1016/j.ekir.2022.05.017</w:t>
        </w:r>
      </w:hyperlink>
      <w:r>
        <w:t xml:space="preserve">; PMID: </w:t>
      </w:r>
      <w:hyperlink w:history="1" r:id="rIdtqzs8ffpsrtatoo2ss_4y">
        <w:r>
          <w:rPr>
            <w:rStyle w:val="Hyperlink"/>
          </w:rPr>
          <w:t xml:space="preserve">35967104</w:t>
        </w:r>
      </w:hyperlink>
    </w:p>
    <w:p>
      <w:pPr>
        <w:pStyle w:val="ListParagraph"/>
        <w:numPr>
          <w:ilvl w:val="0"/>
          <w:numId w:val="3"/>
        </w:numPr>
      </w:pPr>
      <w:r>
        <w:t xml:space="preserve">Lv, J., Liu, L., Hao, C., Li, G., Fu, P., Xing, G., et al. Randomized Phase 2 Trial of Telitacicept in Patients With IgA Nephropathy With Persistent Proteinuria. </w:t>
      </w:r>
      <w:r>
        <w:rPr>
          <w:i/>
          <w:iCs/>
        </w:rPr>
        <w:t xml:space="preserve">Kidney International Reports</w:t>
      </w:r>
      <w:r>
        <w:t xml:space="preserve">. 2022. DOI: </w:t>
      </w:r>
      <w:hyperlink w:history="1" r:id="rIdq2ufdtkblirhvakhdu32o">
        <w:r>
          <w:rPr>
            <w:rStyle w:val="Hyperlink"/>
          </w:rPr>
          <w:t xml:space="preserve">10.1016/j.ekir.2022.12.014</w:t>
        </w:r>
      </w:hyperlink>
      <w:r>
        <w:t xml:space="preserve">; PMID: </w:t>
      </w:r>
      <w:hyperlink w:history="1" r:id="rIdmqgdi1-x0c1k2hvg7mhoi">
        <w:r>
          <w:rPr>
            <w:rStyle w:val="Hyperlink"/>
          </w:rPr>
          <w:t xml:space="preserve">36938094</w:t>
        </w:r>
      </w:hyperlink>
    </w:p>
    <w:p>
      <w:pPr>
        <w:pStyle w:val="ListParagraph"/>
        <w:numPr>
          <w:ilvl w:val="0"/>
          <w:numId w:val="3"/>
        </w:numPr>
      </w:pPr>
      <w:r>
        <w:t xml:space="preserve">Wu, J., Chen, P., Liu, L., Shi, S., Wang, F., Zhong, X., Lv, J., Zhang, H. Efficacy and safety of telitacicept in IgA nephropathy and IgA vasculitis nephropathy in adolescents: a case series. </w:t>
      </w:r>
      <w:r>
        <w:rPr>
          <w:i/>
          <w:iCs/>
        </w:rPr>
        <w:t xml:space="preserve">Pediatric Nephrology</w:t>
      </w:r>
      <w:r>
        <w:t xml:space="preserve">. 2025. DOI: </w:t>
      </w:r>
      <w:hyperlink w:history="1" r:id="rId_djzmoptm5rjyyce95zg6">
        <w:r>
          <w:rPr>
            <w:rStyle w:val="Hyperlink"/>
          </w:rPr>
          <w:t xml:space="preserve">10.1007/s00467-025-06905-z</w:t>
        </w:r>
      </w:hyperlink>
      <w:r>
        <w:t xml:space="preserve">; PMID: </w:t>
      </w:r>
      <w:hyperlink w:history="1" r:id="rIdqhpgcz9urym84wcak220x">
        <w:r>
          <w:rPr>
            <w:rStyle w:val="Hyperlink"/>
          </w:rPr>
          <w:t xml:space="preserve">40711544</w:t>
        </w:r>
      </w:hyperlink>
    </w:p>
    <w:p>
      <w:pPr>
        <w:pStyle w:val="ListParagraph"/>
        <w:numPr>
          <w:ilvl w:val="0"/>
          <w:numId w:val="3"/>
        </w:numPr>
      </w:pPr>
      <w:r>
        <w:t xml:space="preserve">Guo, S., He, M., Meng, H., Rong, S. Telitacicept combined with glucocorticoids in adult-onset IgA vasculitis nephritis: A case report. </w:t>
      </w:r>
      <w:r>
        <w:rPr>
          <w:i/>
          <w:iCs/>
        </w:rPr>
        <w:t xml:space="preserve">Clinical Nephrology</w:t>
      </w:r>
      <w:r>
        <w:t xml:space="preserve">. 2026. DOI: </w:t>
      </w:r>
      <w:hyperlink w:history="1" r:id="rId15jjgye3d8mhpbt2jxws6">
        <w:r>
          <w:rPr>
            <w:rStyle w:val="Hyperlink"/>
          </w:rPr>
          <w:t xml:space="preserve">10.5414/CN111984</w:t>
        </w:r>
      </w:hyperlink>
      <w:r>
        <w:t xml:space="preserve">; PMID: </w:t>
      </w:r>
      <w:hyperlink w:history="1" r:id="rIdpzunv0l5cjnv8phoewpte">
        <w:r>
          <w:rPr>
            <w:rStyle w:val="Hyperlink"/>
          </w:rPr>
          <w:t xml:space="preserve">42415708</w:t>
        </w:r>
      </w:hyperlink>
    </w:p>
    <w:p>
      <w:pPr>
        <w:pStyle w:val="ListParagraph"/>
        <w:numPr>
          <w:ilvl w:val="0"/>
          <w:numId w:val="3"/>
        </w:numPr>
      </w:pPr>
      <w:r>
        <w:t xml:space="preserve">Lafayette, R., Tumlin, J., Fenoglio, R., Kaufeld, J., Pérez Valdivia, M.Á., Wu, M.-S., et al. Efficacy and Safety of Ravulizumab in IgA Nephropathy: A Phase 2 Randomized Double-Blind Placebo-Controlled Trial. </w:t>
      </w:r>
      <w:r>
        <w:rPr>
          <w:i/>
          <w:iCs/>
        </w:rPr>
        <w:t xml:space="preserve">Journal of the American Society of Nephrology</w:t>
      </w:r>
      <w:r>
        <w:t xml:space="preserve">. 2025. DOI: </w:t>
      </w:r>
      <w:hyperlink w:history="1" r:id="rId8eoslnwvxyoehc9faz8yh">
        <w:r>
          <w:rPr>
            <w:rStyle w:val="Hyperlink"/>
          </w:rPr>
          <w:t xml:space="preserve">10.1681/ASN.0000000534</w:t>
        </w:r>
      </w:hyperlink>
      <w:r>
        <w:t xml:space="preserve">; PMID: </w:t>
      </w:r>
      <w:hyperlink w:history="1" r:id="rIdmjaqxyjks1lo_fvksd3ky">
        <w:r>
          <w:rPr>
            <w:rStyle w:val="Hyperlink"/>
          </w:rPr>
          <w:t xml:space="preserve">39455063</w:t>
        </w:r>
      </w:hyperlink>
    </w:p>
    <w:p>
      <w:pPr>
        <w:pStyle w:val="ListParagraph"/>
        <w:numPr>
          <w:ilvl w:val="0"/>
          <w:numId w:val="3"/>
        </w:numPr>
      </w:pPr>
      <w:r>
        <w:t xml:space="preserve">Barratt, J., Liew, A., Yeo, S.C., Fernström, A., Barbour, S.J., Sperati, C.J., et al. Phase 2 Trial of Cemdisiran in Adult Patients with IgA Nephropathy: A Randomized Controlled Trial. </w:t>
      </w:r>
      <w:r>
        <w:rPr>
          <w:i/>
          <w:iCs/>
        </w:rPr>
        <w:t xml:space="preserve">Clinical Journal of the American Society of Nephrology</w:t>
      </w:r>
      <w:r>
        <w:t xml:space="preserve">. 2024. DOI: </w:t>
      </w:r>
      <w:hyperlink w:history="1" r:id="rIdam-y7umt9o6gsckfgouss">
        <w:r>
          <w:rPr>
            <w:rStyle w:val="Hyperlink"/>
          </w:rPr>
          <w:t xml:space="preserve">10.2215/CJN.0000000000000384</w:t>
        </w:r>
      </w:hyperlink>
      <w:r>
        <w:t xml:space="preserve">; PMID: </w:t>
      </w:r>
      <w:hyperlink w:history="1" r:id="rIdguxom0z6zuzyfo-mifzvo">
        <w:r>
          <w:rPr>
            <w:rStyle w:val="Hyperlink"/>
          </w:rPr>
          <w:t xml:space="preserve">38214599</w:t>
        </w:r>
      </w:hyperlink>
    </w:p>
    <w:p>
      <w:pPr>
        <w:pStyle w:val="ListParagraph"/>
        <w:numPr>
          <w:ilvl w:val="0"/>
          <w:numId w:val="3"/>
        </w:numPr>
      </w:pPr>
      <w:r>
        <w:t xml:space="preserve">Zachova, K., Jemelkova, J., Kosztyu, P., Ohyama, Y., Takahashi, K., Zadrazil, J., et al. Galactose-Deficient IgA1 B cells in the Circulation of IgA Nephropathy Patients Carry Preferentially Lambda Light Chains and Mucosal Homing Receptors. </w:t>
      </w:r>
      <w:r>
        <w:rPr>
          <w:i/>
          <w:iCs/>
        </w:rPr>
        <w:t xml:space="preserve">Journal of the American Society of Nephrology</w:t>
      </w:r>
      <w:r>
        <w:t xml:space="preserve">. 2022. DOI: </w:t>
      </w:r>
      <w:hyperlink w:history="1" r:id="rIdhtoybdwpxbty2hpum4g-9">
        <w:r>
          <w:rPr>
            <w:rStyle w:val="Hyperlink"/>
          </w:rPr>
          <w:t xml:space="preserve">10.1681/ASN.2021081086</w:t>
        </w:r>
      </w:hyperlink>
      <w:r>
        <w:t xml:space="preserve">; PMID: </w:t>
      </w:r>
      <w:hyperlink w:history="1" r:id="rIdedr0ro9khjps_vwdkh1tw">
        <w:r>
          <w:rPr>
            <w:rStyle w:val="Hyperlink"/>
          </w:rPr>
          <w:t xml:space="preserve">35115327</w:t>
        </w:r>
      </w:hyperlink>
    </w:p>
    <w:p>
      <w:pPr>
        <w:pStyle w:val="ListParagraph"/>
        <w:numPr>
          <w:ilvl w:val="0"/>
          <w:numId w:val="3"/>
        </w:numPr>
      </w:pPr>
      <w:r>
        <w:t xml:space="preserve">Zhu, Y., He, H., Sun, W., Wu, J., Xiao, Y., Peng, Y., et al. IgA nephropathy: gut microbiome regulates the production of hypoglycosilated IgA1 via the TLR4 signaling pathway. </w:t>
      </w:r>
      <w:r>
        <w:rPr>
          <w:i/>
          <w:iCs/>
        </w:rPr>
        <w:t xml:space="preserve">Nephrology Dialysis Transplantation</w:t>
      </w:r>
      <w:r>
        <w:t xml:space="preserve">. 2024. DOI: </w:t>
      </w:r>
      <w:hyperlink w:history="1" r:id="rIdlhvfqaymj0hybkznpbkbf">
        <w:r>
          <w:rPr>
            <w:rStyle w:val="Hyperlink"/>
          </w:rPr>
          <w:t xml:space="preserve">10.1093/ndt/gfae052</w:t>
        </w:r>
      </w:hyperlink>
      <w:r>
        <w:t xml:space="preserve">; PMID: </w:t>
      </w:r>
      <w:hyperlink w:history="1" r:id="rIdpnmpbopyrhvfrlbjblbl8">
        <w:r>
          <w:rPr>
            <w:rStyle w:val="Hyperlink"/>
          </w:rPr>
          <w:t xml:space="preserve">38402460</w:t>
        </w:r>
      </w:hyperlink>
    </w:p>
    <w:p>
      <w:pPr>
        <w:pStyle w:val="ListParagraph"/>
        <w:numPr>
          <w:ilvl w:val="0"/>
          <w:numId w:val="3"/>
        </w:numPr>
      </w:pPr>
      <w:r>
        <w:t xml:space="preserve">Li, R., Wang, M., Li, J., Zhu, L., Xie, X., Wang, H., et al. Lactobacillus casei Cell Wall Extract and Production of Galactose-Deficient IgA1 in a Humanized IGHA1 Mouse Model. </w:t>
      </w:r>
      <w:r>
        <w:rPr>
          <w:i/>
          <w:iCs/>
        </w:rPr>
        <w:t xml:space="preserve">Journal of the American Society of Nephrology</w:t>
      </w:r>
      <w:r>
        <w:t xml:space="preserve">. 2024 (electronic)/2025 (print). DOI: </w:t>
      </w:r>
      <w:hyperlink w:history="1" r:id="rIdknijk-2hyg0mixf6p-of2">
        <w:r>
          <w:rPr>
            <w:rStyle w:val="Hyperlink"/>
          </w:rPr>
          <w:t xml:space="preserve">10.1681/ASN.0000000000000465</w:t>
        </w:r>
      </w:hyperlink>
      <w:r>
        <w:t xml:space="preserve">; PMID: </w:t>
      </w:r>
      <w:hyperlink w:history="1" r:id="rIdb1qjg1o1umpc_mq8m-rhz">
        <w:r>
          <w:rPr>
            <w:rStyle w:val="Hyperlink"/>
          </w:rPr>
          <w:t xml:space="preserve">39172518</w:t>
        </w:r>
      </w:hyperlink>
    </w:p>
    <w:p>
      <w:pPr>
        <w:pStyle w:val="ListParagraph"/>
        <w:numPr>
          <w:ilvl w:val="0"/>
          <w:numId w:val="3"/>
        </w:numPr>
      </w:pPr>
      <w:r>
        <w:t xml:space="preserve">Jaugey, A., Maréchal, E., Tarris, G., Paindavoine, M., Martin, L., Chabannes, M., et al. Deep learning automation of MEST-C classification in IgA nephropathy. </w:t>
      </w:r>
      <w:r>
        <w:rPr>
          <w:i/>
          <w:iCs/>
        </w:rPr>
        <w:t xml:space="preserve">Nephrology Dialysis Transplantation</w:t>
      </w:r>
      <w:r>
        <w:t xml:space="preserve">. 2023. DOI: </w:t>
      </w:r>
      <w:hyperlink w:history="1" r:id="rIdukbhr040_b61s-d31299b">
        <w:r>
          <w:rPr>
            <w:rStyle w:val="Hyperlink"/>
          </w:rPr>
          <w:t xml:space="preserve">10.1093/ndt/gfad039</w:t>
        </w:r>
      </w:hyperlink>
      <w:r>
        <w:t xml:space="preserve">; PMID: </w:t>
      </w:r>
      <w:hyperlink w:history="1" r:id="rIdiiahuucvsgdqe3oj5fegv">
        <w:r>
          <w:rPr>
            <w:rStyle w:val="Hyperlink"/>
          </w:rPr>
          <w:t xml:space="preserve">36792061</w:t>
        </w:r>
      </w:hyperlink>
    </w:p>
    <w:p>
      <w:pPr>
        <w:pStyle w:val="ListParagraph"/>
        <w:numPr>
          <w:ilvl w:val="0"/>
          <w:numId w:val="3"/>
        </w:numPr>
      </w:pPr>
      <w:r>
        <w:t xml:space="preserve">Lang, L., Fu, Y., Miao, J., Song, Y., Zhang, X., Zhao, Q., et al. Rehmannia glutinosa extract inhibits Henoch-Schönlein Purpura (IgA Vasculitis) by restoring regulatory T cell and T helper 17 cell balance via the PI3K/Akt/mTOR signaling pathway. </w:t>
      </w:r>
      <w:r>
        <w:rPr>
          <w:i/>
          <w:iCs/>
        </w:rPr>
        <w:t xml:space="preserve">Phytomedicine</w:t>
      </w:r>
      <w:r>
        <w:t xml:space="preserve">. 2026. DOI: </w:t>
      </w:r>
      <w:hyperlink w:history="1" r:id="rId1zcdwc1pgnu7vhonslg0_">
        <w:r>
          <w:rPr>
            <w:rStyle w:val="Hyperlink"/>
          </w:rPr>
          <w:t xml:space="preserve">10.1016/j.phymed.2026.158684</w:t>
        </w:r>
      </w:hyperlink>
      <w:r>
        <w:t xml:space="preserve">; PMID: </w:t>
      </w:r>
      <w:hyperlink w:history="1" r:id="rIdm2lhyeektrn4ucja2yi7r">
        <w:r>
          <w:rPr>
            <w:rStyle w:val="Hyperlink"/>
          </w:rPr>
          <w:t xml:space="preserve">42570616</w:t>
        </w:r>
      </w:hyperlink>
    </w:p>
    <w:p>
      <w:pPr>
        <w:pStyle w:val="ListParagraph"/>
        <w:numPr>
          <w:ilvl w:val="0"/>
          <w:numId w:val="3"/>
        </w:numPr>
      </w:pPr>
      <w:r>
        <w:t xml:space="preserve">Held, M., Kozmar, A., Sestan, M., Turudic, D., Kifer, N., Srsen, S., Gagro, A., Frkovic, M., Jelusic, M. Insight into the Interplay of Gd-IgA1, HMGB1, RAGE and PCDH1 in IgA Vasculitis (IgAV). </w:t>
      </w:r>
      <w:r>
        <w:rPr>
          <w:i/>
          <w:iCs/>
        </w:rPr>
        <w:t xml:space="preserve">International Journal of Molecular Sciences</w:t>
      </w:r>
      <w:r>
        <w:t xml:space="preserve">. 2024. DOI: </w:t>
      </w:r>
      <w:hyperlink w:history="1" r:id="rIdnzefxlvt-e6j_l6u9gu2s">
        <w:r>
          <w:rPr>
            <w:rStyle w:val="Hyperlink"/>
          </w:rPr>
          <w:t xml:space="preserve">10.3390/ijms25084383</w:t>
        </w:r>
      </w:hyperlink>
      <w:r>
        <w:t xml:space="preserve">; PMID: </w:t>
      </w:r>
      <w:hyperlink w:history="1" r:id="rIdvoyasufokt8dh6q4vkebp">
        <w:r>
          <w:rPr>
            <w:rStyle w:val="Hyperlink"/>
          </w:rPr>
          <w:t xml:space="preserve">38673968</w:t>
        </w:r>
      </w:hyperlink>
    </w:p>
    <w:p>
      <w:pPr>
        <w:pStyle w:val="ListParagraph"/>
        <w:numPr>
          <w:ilvl w:val="0"/>
          <w:numId w:val="3"/>
        </w:numPr>
      </w:pPr>
      <w:r>
        <w:t xml:space="preserve">Pei, J., Sun, X., Xu, X., Bai, P., Huang, R., Zhang, J., Chen, X., Yao, L., Shao, L., Li, Y. Efficacy and safety of finerenone in adults with IgA nephropathy: a 12-month real-world study. </w:t>
      </w:r>
      <w:r>
        <w:rPr>
          <w:i/>
          <w:iCs/>
        </w:rPr>
        <w:t xml:space="preserve">Renal Failure</w:t>
      </w:r>
      <w:r>
        <w:t xml:space="preserve">. 2026. DOI: </w:t>
      </w:r>
      <w:hyperlink w:history="1" r:id="rId-sluhlg-9a6mby2v4rfb0">
        <w:r>
          <w:rPr>
            <w:rStyle w:val="Hyperlink"/>
          </w:rPr>
          <w:t xml:space="preserve">10.1080/0886022X.2026.2681246</w:t>
        </w:r>
      </w:hyperlink>
      <w:r>
        <w:t xml:space="preserve">; PMID: </w:t>
      </w:r>
      <w:hyperlink w:history="1" r:id="rIdwn3srkc6aqjzmak7cyks0">
        <w:r>
          <w:rPr>
            <w:rStyle w:val="Hyperlink"/>
          </w:rPr>
          <w:t xml:space="preserve">42634326</w:t>
        </w:r>
      </w:hyperlink>
    </w:p>
    <w:p>
      <w:pPr>
        <w:pStyle w:val="ListParagraph"/>
        <w:numPr>
          <w:ilvl w:val="0"/>
          <w:numId w:val="3"/>
        </w:numPr>
      </w:pPr>
      <w:r>
        <w:t xml:space="preserve">Lin, L., Yu, B., Wu, M., Su, Y., Cui, Y., Li, C., Zhang, Z., Teng, J. Association of elevated homocysteine levels with renal pathology and function in patients with IgA nephropathy: a single-center retrospective study. </w:t>
      </w:r>
      <w:r>
        <w:rPr>
          <w:i/>
          <w:iCs/>
        </w:rPr>
        <w:t xml:space="preserve">Annals of Medicine</w:t>
      </w:r>
      <w:r>
        <w:t xml:space="preserve">. 2026. DOI: </w:t>
      </w:r>
      <w:hyperlink w:history="1" r:id="rIdoeftkqunwtdmqpepewtne">
        <w:r>
          <w:rPr>
            <w:rStyle w:val="Hyperlink"/>
          </w:rPr>
          <w:t xml:space="preserve">10.1080/07853890.2026.2720379</w:t>
        </w:r>
      </w:hyperlink>
      <w:r>
        <w:t xml:space="preserve">; PMID: </w:t>
      </w:r>
      <w:hyperlink w:history="1" r:id="rIdj1zjpldwdfpekwtoejcxa">
        <w:r>
          <w:rPr>
            <w:rStyle w:val="Hyperlink"/>
          </w:rPr>
          <w:t xml:space="preserve">42610309</w:t>
        </w:r>
      </w:hyperlink>
    </w:p>
    <w:p>
      <w:pPr>
        <w:pStyle w:val="ListParagraph"/>
        <w:numPr>
          <w:ilvl w:val="0"/>
          <w:numId w:val="3"/>
        </w:numPr>
      </w:pPr>
      <w:r>
        <w:t xml:space="preserve">Ribereau-Gayon, E., Carbonnelle-Puscian, A., Ottavi, M., Donzel, M., Puéchal, X., Sundekötter, C., et al. (French Vasculitis Study Group). IgA Vasculitis with necrotizing arteritis: a multicenter retrospective study from the French Vasculitis Study Group and systematic review of the literature. </w:t>
      </w:r>
      <w:r>
        <w:rPr>
          <w:i/>
          <w:iCs/>
        </w:rPr>
        <w:t xml:space="preserve">Autoimmunity</w:t>
      </w:r>
      <w:r>
        <w:t xml:space="preserve">. 2026. DOI: </w:t>
      </w:r>
      <w:hyperlink w:history="1" r:id="rId3rliat2hlh-amkfxjgzbs">
        <w:r>
          <w:rPr>
            <w:rStyle w:val="Hyperlink"/>
          </w:rPr>
          <w:t xml:space="preserve">10.1080/08916934.2026.2677546</w:t>
        </w:r>
      </w:hyperlink>
      <w:r>
        <w:t xml:space="preserve">; PMID: </w:t>
      </w:r>
      <w:hyperlink w:history="1" r:id="rIdn7ece1gzp0ulkstxc6266">
        <w:r>
          <w:rPr>
            <w:rStyle w:val="Hyperlink"/>
          </w:rPr>
          <w:t xml:space="preserve">42192510</w:t>
        </w:r>
      </w:hyperlink>
    </w:p>
    <w:p>
      <w:pPr>
        <w:pStyle w:val="ListParagraph"/>
        <w:numPr>
          <w:ilvl w:val="0"/>
          <w:numId w:val="3"/>
        </w:numPr>
      </w:pPr>
      <w:r>
        <w:t xml:space="preserve">Rohner, K., Marlais, M., Ahn, Y.H., Ali, A., Alsharief, A., Blejc Novak, A., et al. Outcome of immunosuppression in children with IgA vasculitis-related nephritis. </w:t>
      </w:r>
      <w:r>
        <w:rPr>
          <w:i/>
          <w:iCs/>
        </w:rPr>
        <w:t xml:space="preserve">Nephrology Dialysis Transplantation</w:t>
      </w:r>
      <w:r>
        <w:t xml:space="preserve">. 2024. DOI: </w:t>
      </w:r>
      <w:hyperlink w:history="1" r:id="rIdficgdimxnk_dt3udmqhmu">
        <w:r>
          <w:rPr>
            <w:rStyle w:val="Hyperlink"/>
          </w:rPr>
          <w:t xml:space="preserve">10.1093/ndt/gfae009</w:t>
        </w:r>
      </w:hyperlink>
      <w:r>
        <w:t xml:space="preserve">; PMID: </w:t>
      </w:r>
      <w:hyperlink w:history="1" r:id="rId_stcohokymncco8k3zmlw">
        <w:r>
          <w:rPr>
            <w:rStyle w:val="Hyperlink"/>
          </w:rPr>
          <w:t xml:space="preserve">38211969</w:t>
        </w:r>
      </w:hyperlink>
    </w:p>
    <w:p>
      <w:pPr>
        <w:pStyle w:val="ListParagraph"/>
        <w:numPr>
          <w:ilvl w:val="0"/>
          <w:numId w:val="3"/>
        </w:numPr>
      </w:pPr>
      <w:r>
        <w:t xml:space="preserve">Barbour, S.J., Coppo, R., Er, L., Pillebout, E., Russo, M.L., Alpers, C.E., et al. Histologic and Clinical Factors Associated with Kidney Outcomes in IgA Vasculitis Nephritis. </w:t>
      </w:r>
      <w:r>
        <w:rPr>
          <w:i/>
          <w:iCs/>
        </w:rPr>
        <w:t xml:space="preserve">Clinical Journal of the American Society of Nephrology</w:t>
      </w:r>
      <w:r>
        <w:t xml:space="preserve">. 2024. DOI: </w:t>
      </w:r>
      <w:hyperlink w:history="1" r:id="rId2jc1rbnmhornqvfxr33vd">
        <w:r>
          <w:rPr>
            <w:rStyle w:val="Hyperlink"/>
          </w:rPr>
          <w:t xml:space="preserve">10.2215/CJN.0000000000000398</w:t>
        </w:r>
      </w:hyperlink>
      <w:r>
        <w:t xml:space="preserve">; PMID: </w:t>
      </w:r>
      <w:hyperlink w:history="1" r:id="rId0wjzu12xho36cn-utz16o">
        <w:r>
          <w:rPr>
            <w:rStyle w:val="Hyperlink"/>
          </w:rPr>
          <w:t xml:space="preserve">38261310</w:t>
        </w:r>
      </w:hyperlink>
    </w:p>
    <w:p>
      <w:pPr>
        <w:pStyle w:val="ListParagraph"/>
        <w:numPr>
          <w:ilvl w:val="0"/>
          <w:numId w:val="3"/>
        </w:numPr>
      </w:pPr>
      <w:r>
        <w:t xml:space="preserve">Maisons, V., Hankard, A., Hočevar, A., Pillebout, E., Halimi, J.-M., Sautenet, B., et al. Identifying distinct clinical phenotypes and outcomes in adult-onset IgA vasculitis using unsupervised clustering analysis. </w:t>
      </w:r>
      <w:r>
        <w:rPr>
          <w:i/>
          <w:iCs/>
        </w:rPr>
        <w:t xml:space="preserve">European Journal of Internal Medicine</w:t>
      </w:r>
      <w:r>
        <w:t xml:space="preserve">. 2026. DOI: </w:t>
      </w:r>
      <w:hyperlink w:history="1" r:id="rIdsryibvjiawunpftmfmolo">
        <w:r>
          <w:rPr>
            <w:rStyle w:val="Hyperlink"/>
          </w:rPr>
          <w:t xml:space="preserve">10.1016/j.ejim.2026.106742</w:t>
        </w:r>
      </w:hyperlink>
      <w:r>
        <w:t xml:space="preserve">; PMID: </w:t>
      </w:r>
      <w:hyperlink w:history="1" r:id="rIdfy5asmcyvmj2jjrrglf8o">
        <w:r>
          <w:rPr>
            <w:rStyle w:val="Hyperlink"/>
          </w:rPr>
          <w:t xml:space="preserve">41644397</w:t>
        </w:r>
      </w:hyperlink>
      <w:r>
        <w:t xml:space="preserve"> — </w:t>
      </w:r>
      <w:r>
        <w:rPr>
          <w:i/>
          <w:iCs/>
        </w:rPr>
        <w:t xml:space="preserve">unverified corrigendum caveat applies (DOI 10.1016/j.ejim.2026.107059, PMID 42457434); see Quality of the Evidence and Conflicting Evidence sections</w:t>
      </w:r>
    </w:p>
    <w:p>
      <w:pPr>
        <w:pStyle w:val="ListParagraph"/>
        <w:numPr>
          <w:ilvl w:val="0"/>
          <w:numId w:val="3"/>
        </w:numPr>
      </w:pPr>
      <w:r>
        <w:t xml:space="preserve">Levanon, S., Gotloib, V., Kraus, Y., Novofastovski, I., Brikman, S., Fawaz, A., Egbaria, M., Butbul Aviel, Y., Balbir-Gurman, A., Mader, R., Bieber, A. IgA vasculitis in adults, pediatrics and non-vasculitic IgA nephropathy, retrospective analysis from 2 centers. </w:t>
      </w:r>
      <w:r>
        <w:rPr>
          <w:i/>
          <w:iCs/>
        </w:rPr>
        <w:t xml:space="preserve">Medicine (Baltimore)</w:t>
      </w:r>
      <w:r>
        <w:t xml:space="preserve">. 2023. DOI: </w:t>
      </w:r>
      <w:hyperlink w:history="1" r:id="rIdyncc4wqgxqrfenyi6cs4l">
        <w:r>
          <w:rPr>
            <w:rStyle w:val="Hyperlink"/>
          </w:rPr>
          <w:t xml:space="preserve">10.1097/MD.0000000000036521</w:t>
        </w:r>
      </w:hyperlink>
      <w:r>
        <w:t xml:space="preserve">; PMID: </w:t>
      </w:r>
      <w:hyperlink w:history="1" r:id="rIdcvepndefevyzhf89uhlzd">
        <w:r>
          <w:rPr>
            <w:rStyle w:val="Hyperlink"/>
          </w:rPr>
          <w:t xml:space="preserve">38115301</w:t>
        </w:r>
      </w:hyperlink>
    </w:p>
    <w:p>
      <w:r>
        <w:rPr>
          <w:b/>
          <w:bCs/>
        </w:rPr>
        <w:t xml:space="preserve">Background/Context sources cited for framing only:</w:t>
      </w:r>
    </w:p>
    <w:p>
      <w:pPr>
        <w:pStyle w:val="ListParagraph"/>
        <w:numPr>
          <w:ilvl w:val="0"/>
          <w:numId w:val="3"/>
        </w:numPr>
      </w:pPr>
      <w:r>
        <w:t xml:space="preserve">Cheung, C.K., Alexander, S., Reich, H.N., Selvaskandan, H., Zhang, H., Barratt, J. The pathogenesis of IgA nephropathy and implications for treatment. </w:t>
      </w:r>
      <w:r>
        <w:rPr>
          <w:i/>
          <w:iCs/>
        </w:rPr>
        <w:t xml:space="preserve">Nature Reviews Nephrology</w:t>
      </w:r>
      <w:r>
        <w:t xml:space="preserve">. 2024. DOI: </w:t>
      </w:r>
      <w:hyperlink w:history="1" r:id="rIdqdvac3evw6zfrsqelknnw">
        <w:r>
          <w:rPr>
            <w:rStyle w:val="Hyperlink"/>
          </w:rPr>
          <w:t xml:space="preserve">10.1038/s41581-024-00885-3</w:t>
        </w:r>
      </w:hyperlink>
      <w:r>
        <w:t xml:space="preserve">; PMID: </w:t>
      </w:r>
      <w:hyperlink w:history="1" r:id="rIddvg2iue0msgftnxgth00e">
        <w:r>
          <w:rPr>
            <w:rStyle w:val="Hyperlink"/>
          </w:rPr>
          <w:t xml:space="preserve">39232245</w:t>
        </w:r>
      </w:hyperlink>
    </w:p>
    <w:p>
      <w:pPr>
        <w:pStyle w:val="ListParagraph"/>
        <w:numPr>
          <w:ilvl w:val="0"/>
          <w:numId w:val="3"/>
        </w:numPr>
      </w:pPr>
      <w:r>
        <w:t xml:space="preserve">Stamellou, E., Seikrit, C., Tang, S.C.W., Boor, P., Tesař, V., Floege, J., Barratt, J., Kramann, R. IgA nephropathy. </w:t>
      </w:r>
      <w:r>
        <w:rPr>
          <w:i/>
          <w:iCs/>
        </w:rPr>
        <w:t xml:space="preserve">Nature Reviews Disease Primers</w:t>
      </w:r>
      <w:r>
        <w:t xml:space="preserve">. 2023. DOI: </w:t>
      </w:r>
      <w:hyperlink w:history="1" r:id="rIdhu81nq5loutnzktjftotq">
        <w:r>
          <w:rPr>
            <w:rStyle w:val="Hyperlink"/>
          </w:rPr>
          <w:t xml:space="preserve">10.1038/s41572-023-00476-9</w:t>
        </w:r>
      </w:hyperlink>
      <w:r>
        <w:t xml:space="preserve">; PMID: </w:t>
      </w:r>
      <w:hyperlink w:history="1" r:id="rIdx5itjmfoee-pkj7sckhue">
        <w:r>
          <w:rPr>
            <w:rStyle w:val="Hyperlink"/>
          </w:rPr>
          <w:t xml:space="preserve">38036542</w:t>
        </w:r>
      </w:hyperlink>
    </w:p>
    <w:p>
      <w:pPr>
        <w:pStyle w:val="ListParagraph"/>
        <w:numPr>
          <w:ilvl w:val="0"/>
          <w:numId w:val="3"/>
        </w:numPr>
      </w:pPr>
      <w:r>
        <w:t xml:space="preserve">Barratt, J., Lafayette, R.A., Zhang, H., Tesar, V., Rovin, B.H., Tumlin, J.A., Reich, H.N., Floege, J. IgA Nephropathy: the Lectin Pathway and Implications for Targeted Therapy. </w:t>
      </w:r>
      <w:r>
        <w:rPr>
          <w:i/>
          <w:iCs/>
        </w:rPr>
        <w:t xml:space="preserve">Kidney International</w:t>
      </w:r>
      <w:r>
        <w:t xml:space="preserve">. 2023. DOI: </w:t>
      </w:r>
      <w:hyperlink w:history="1" r:id="rIdryzt3m5srtjanaa048kvt">
        <w:r>
          <w:rPr>
            <w:rStyle w:val="Hyperlink"/>
          </w:rPr>
          <w:t xml:space="preserve">10.1016/j.kint.2023.04.029</w:t>
        </w:r>
      </w:hyperlink>
      <w:r>
        <w:t xml:space="preserve">; PMID: </w:t>
      </w:r>
      <w:hyperlink w:history="1" r:id="rIdt99cfg5uxn_c_ewty7s2_">
        <w:r>
          <w:rPr>
            <w:rStyle w:val="Hyperlink"/>
          </w:rPr>
          <w:t xml:space="preserve">37263354</w:t>
        </w:r>
      </w:hyperlink>
    </w:p>
    <w:p>
      <w:pPr>
        <w:pStyle w:val="ListParagraph"/>
        <w:numPr>
          <w:ilvl w:val="0"/>
          <w:numId w:val="3"/>
        </w:numPr>
      </w:pPr>
      <w:r>
        <w:t xml:space="preserve">Castañeda, S., Quiroga-Colina, P., Floranes, P., Uriarte-Ecenarro, M., Valero-Martínez, C., Vicente-Rabaneda, E.F., González-Gay, M.A. IgA Vasculitis (Henoch-Schönlein Purpura): An Update on Treatment. </w:t>
      </w:r>
      <w:r>
        <w:rPr>
          <w:i/>
          <w:iCs/>
        </w:rPr>
        <w:t xml:space="preserve">Journal of Clinical Medicine</w:t>
      </w:r>
      <w:r>
        <w:t xml:space="preserve">. 2024. DOI: </w:t>
      </w:r>
      <w:hyperlink w:history="1" r:id="rIdln2whyfm7urus-rtgrzkw">
        <w:r>
          <w:rPr>
            <w:rStyle w:val="Hyperlink"/>
          </w:rPr>
          <w:t xml:space="preserve">10.3390/jcm13216621</w:t>
        </w:r>
      </w:hyperlink>
      <w:r>
        <w:t xml:space="preserve">; PMID: </w:t>
      </w:r>
      <w:hyperlink w:history="1" r:id="rIdbgsmplzoi562kbsf1rrkw">
        <w:r>
          <w:rPr>
            <w:rStyle w:val="Hyperlink"/>
          </w:rPr>
          <w:t xml:space="preserve">39518760</w:t>
        </w:r>
      </w:hyperlink>
    </w:p>
    <w:p>
      <w:pPr>
        <w:pStyle w:val="ListParagraph"/>
        <w:numPr>
          <w:ilvl w:val="0"/>
          <w:numId w:val="3"/>
        </w:numPr>
      </w:pPr>
      <w:r>
        <w:t xml:space="preserve">Williams, C.E.C., Lamond, M., Marro, J., Chetwynd, A.J., Oni, L. A narrative review of potential drug treatments for nephritis in children with IgA vasculitis (HSP). </w:t>
      </w:r>
      <w:r>
        <w:rPr>
          <w:i/>
          <w:iCs/>
        </w:rPr>
        <w:t xml:space="preserve">Clinical Rheumatology</w:t>
      </w:r>
      <w:r>
        <w:t xml:space="preserve">. 2023. DOI: </w:t>
      </w:r>
      <w:hyperlink w:history="1" r:id="rId5i3fiku2pfbfhl6htkzto">
        <w:r>
          <w:rPr>
            <w:rStyle w:val="Hyperlink"/>
          </w:rPr>
          <w:t xml:space="preserve">10.1007/s10067-023-06781-8</w:t>
        </w:r>
      </w:hyperlink>
      <w:r>
        <w:t xml:space="preserve">; PMID: </w:t>
      </w:r>
      <w:hyperlink w:history="1" r:id="rIdd7wfhezueb7mwbhy3jxxr">
        <w:r>
          <w:rPr>
            <w:rStyle w:val="Hyperlink"/>
          </w:rPr>
          <w:t xml:space="preserve">37755547</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aut1878ofkygvza0_4dm" Type="http://schemas.openxmlformats.org/officeDocument/2006/relationships/hyperlink" Target="https://doi.org/10.1002/14651858.CD005128.pub4" TargetMode="External"/><Relationship Id="rIdocfey9r7xefqmoardbcv6" Type="http://schemas.openxmlformats.org/officeDocument/2006/relationships/hyperlink" Target="https://pubmed.ncbi.nlm.nih.gov/36853224/" TargetMode="External"/><Relationship Id="rIdpxm3qhojvgekjg6vl-bbg" Type="http://schemas.openxmlformats.org/officeDocument/2006/relationships/hyperlink" Target="https://doi.org/10.1371/journal.pone.0323530" TargetMode="External"/><Relationship Id="rIdh3hzuqm34ecqgf6hsylrn" Type="http://schemas.openxmlformats.org/officeDocument/2006/relationships/hyperlink" Target="https://pubmed.ncbi.nlm.nih.gov/40493692/" TargetMode="External"/><Relationship Id="rIdvu34-elxs24ysi802um-x" Type="http://schemas.openxmlformats.org/officeDocument/2006/relationships/hyperlink" Target="https://doi.org/10.1016/j.ekir.2023.11.005" TargetMode="External"/><Relationship Id="rIdjrtrlgtyfjheusvl3hbaa" Type="http://schemas.openxmlformats.org/officeDocument/2006/relationships/hyperlink" Target="https://pubmed.ncbi.nlm.nih.gov/38344730/" TargetMode="External"/><Relationship Id="rIdmorbez4pvpe5iazvewte4" Type="http://schemas.openxmlformats.org/officeDocument/2006/relationships/hyperlink" Target="https://doi.org/10.1007/s00467-024-06502-6" TargetMode="External"/><Relationship Id="rIddulubqqh529f_3qcxcsop" Type="http://schemas.openxmlformats.org/officeDocument/2006/relationships/hyperlink" Target="https://pubmed.ncbi.nlm.nih.gov/39331079/" TargetMode="External"/><Relationship Id="rIdrkl5oa9lkyhpl9xfv1yyl" Type="http://schemas.openxmlformats.org/officeDocument/2006/relationships/hyperlink" Target="https://doi.org/10.1016/S0140-6736(23" TargetMode="External"/><Relationship Id="rIdavlpu5xswph1a2xud6acn" Type="http://schemas.openxmlformats.org/officeDocument/2006/relationships/hyperlink" Target="https://pubmed.ncbi.nlm.nih.gov/37015244/" TargetMode="External"/><Relationship Id="rIdibkhdlmki9mg6zn4dedmm" Type="http://schemas.openxmlformats.org/officeDocument/2006/relationships/hyperlink" Target="https://doi.org/10.1016/S0140-6736(23" TargetMode="External"/><Relationship Id="rIdn83ukogodfq1iehxwgqhw" Type="http://schemas.openxmlformats.org/officeDocument/2006/relationships/hyperlink" Target="https://pubmed.ncbi.nlm.nih.gov/37931634/" TargetMode="External"/><Relationship Id="rIdfapxonvucfa9bf9pcgbkk" Type="http://schemas.openxmlformats.org/officeDocument/2006/relationships/hyperlink" Target="https://doi.org/10.2215/CJN.0000000961" TargetMode="External"/><Relationship Id="rIdvet7x0izz8tml7dse0vbr" Type="http://schemas.openxmlformats.org/officeDocument/2006/relationships/hyperlink" Target="https://pubmed.ncbi.nlm.nih.gov/41428405/" TargetMode="External"/><Relationship Id="rIdxpgbidm43o-1v1lbgmuku" Type="http://schemas.openxmlformats.org/officeDocument/2006/relationships/hyperlink" Target="https://doi.org/10.1093/ndt/gfae021" TargetMode="External"/><Relationship Id="rIdeq5i2wm8lt-_wkykw76o8" Type="http://schemas.openxmlformats.org/officeDocument/2006/relationships/hyperlink" Target="https://pubmed.ncbi.nlm.nih.gov/38271614/" TargetMode="External"/><Relationship Id="rIdjpsxrh-aibm4zfz7q55p2" Type="http://schemas.openxmlformats.org/officeDocument/2006/relationships/hyperlink" Target="https://doi.org/10.1016/S0140-6736(26" TargetMode="External"/><Relationship Id="rIdhxodurny7ueeq0wj1lt2m" Type="http://schemas.openxmlformats.org/officeDocument/2006/relationships/hyperlink" Target="https://pubmed.ncbi.nlm.nih.gov/42242268/" TargetMode="External"/><Relationship Id="rIduwp-n_xfszkxmhm6zix73" Type="http://schemas.openxmlformats.org/officeDocument/2006/relationships/hyperlink" Target="https://doi.org/10.1681/ASN.0000001076" TargetMode="External"/><Relationship Id="rIdzrqqdyprft8filga120jb" Type="http://schemas.openxmlformats.org/officeDocument/2006/relationships/hyperlink" Target="https://pubmed.ncbi.nlm.nih.gov/41904616/" TargetMode="External"/><Relationship Id="rIdzvedspqdlh6zf3ispvefs" Type="http://schemas.openxmlformats.org/officeDocument/2006/relationships/hyperlink" Target="https://doi.org/10.1681/ASN.0000001097" TargetMode="External"/><Relationship Id="rIdlc4spuhz9fc3i1q-foo0q" Type="http://schemas.openxmlformats.org/officeDocument/2006/relationships/hyperlink" Target="https://pubmed.ncbi.nlm.nih.gov/41949916/" TargetMode="External"/><Relationship Id="rId_yh93tggc6mto2mdhabbj" Type="http://schemas.openxmlformats.org/officeDocument/2006/relationships/hyperlink" Target="https://doi.org/10.1016/j.kint.2022.09.017" TargetMode="External"/><Relationship Id="rIdxmrepudk7arzrfqi8tvu5" Type="http://schemas.openxmlformats.org/officeDocument/2006/relationships/hyperlink" Target="https://pubmed.ncbi.nlm.nih.gov/36270561/" TargetMode="External"/><Relationship Id="rId3kwhaatvhoxu4bidet5gs" Type="http://schemas.openxmlformats.org/officeDocument/2006/relationships/hyperlink" Target="https://doi.org/10.1016/S0140-6736(23" TargetMode="External"/><Relationship Id="rIdcdjsbhd_c0vo5dtu08i-3" Type="http://schemas.openxmlformats.org/officeDocument/2006/relationships/hyperlink" Target="https://pubmed.ncbi.nlm.nih.gov/37591292/" TargetMode="External"/><Relationship Id="rIdngy3djybumvtqsoibb8pb" Type="http://schemas.openxmlformats.org/officeDocument/2006/relationships/hyperlink" Target="https://doi.org/10.1016/j.kint.2023.02.012" TargetMode="External"/><Relationship Id="rIdahgazgnvffhea1ey-jdl4" Type="http://schemas.openxmlformats.org/officeDocument/2006/relationships/hyperlink" Target="https://pubmed.ncbi.nlm.nih.gov/37085262/" TargetMode="External"/><Relationship Id="rIdxsvlxzh8h72alkspvlvgh" Type="http://schemas.openxmlformats.org/officeDocument/2006/relationships/hyperlink" Target="https://doi.org/10.1016/j.kint.2023.09.027" TargetMode="External"/><Relationship Id="rIdzrge3pzcot8tcgkmf0qeh" Type="http://schemas.openxmlformats.org/officeDocument/2006/relationships/hyperlink" Target="https://pubmed.ncbi.nlm.nih.gov/37914086/" TargetMode="External"/><Relationship Id="rIdza4tkzbeqolhwcq1kac1a" Type="http://schemas.openxmlformats.org/officeDocument/2006/relationships/hyperlink" Target="https://doi.org/10.1056/NEJMoa2410316" TargetMode="External"/><Relationship Id="rIda-uv3ehg5_rjtnj8ndcbz" Type="http://schemas.openxmlformats.org/officeDocument/2006/relationships/hyperlink" Target="https://pubmed.ncbi.nlm.nih.gov/39453772/" TargetMode="External"/><Relationship Id="rIdn94ptx9ffu81efefhzhqn" Type="http://schemas.openxmlformats.org/officeDocument/2006/relationships/hyperlink" Target="https://doi.org/10.1056/NEJMoa2600743" TargetMode="External"/><Relationship Id="rIdmqw9_ai26vjvzb7rvfqu4" Type="http://schemas.openxmlformats.org/officeDocument/2006/relationships/hyperlink" Target="https://pubmed.ncbi.nlm.nih.gov/41910396/" TargetMode="External"/><Relationship Id="rIddo1qsugolh477zroxoe92" Type="http://schemas.openxmlformats.org/officeDocument/2006/relationships/hyperlink" Target="https://doi.org/10.1016/j.ekir.2023.01.041" TargetMode="External"/><Relationship Id="rIdvjexyi22jlnuke1bxzr5c" Type="http://schemas.openxmlformats.org/officeDocument/2006/relationships/hyperlink" Target="https://pubmed.ncbi.nlm.nih.gov/37180505/" TargetMode="External"/><Relationship Id="rIdjtimspyz6gwm7fjznuftl" Type="http://schemas.openxmlformats.org/officeDocument/2006/relationships/hyperlink" Target="https://doi.org/10.1056/NEJMoa2305635" TargetMode="External"/><Relationship Id="rIds2g9zauta0fxvmnm4wmng" Type="http://schemas.openxmlformats.org/officeDocument/2006/relationships/hyperlink" Target="https://pubmed.ncbi.nlm.nih.gov/37916620/" TargetMode="External"/><Relationship Id="rIdilijedq6bn7ei717_wb1c" Type="http://schemas.openxmlformats.org/officeDocument/2006/relationships/hyperlink" Target="https://doi.org/10.1016/j.kint.2024.03.012" TargetMode="External"/><Relationship Id="rId0cndwbgbaztiz2shhopx9" Type="http://schemas.openxmlformats.org/officeDocument/2006/relationships/hyperlink" Target="https://pubmed.ncbi.nlm.nih.gov/38552841/" TargetMode="External"/><Relationship Id="rIdzp2yv3pct-tcrsiapev7y" Type="http://schemas.openxmlformats.org/officeDocument/2006/relationships/hyperlink" Target="https://doi.org/10.1016/j.ekir.2022.05.017" TargetMode="External"/><Relationship Id="rIdtqzs8ffpsrtatoo2ss_4y" Type="http://schemas.openxmlformats.org/officeDocument/2006/relationships/hyperlink" Target="https://pubmed.ncbi.nlm.nih.gov/35967104/" TargetMode="External"/><Relationship Id="rIdq2ufdtkblirhvakhdu32o" Type="http://schemas.openxmlformats.org/officeDocument/2006/relationships/hyperlink" Target="https://doi.org/10.1016/j.ekir.2022.12.014" TargetMode="External"/><Relationship Id="rIdmqgdi1-x0c1k2hvg7mhoi" Type="http://schemas.openxmlformats.org/officeDocument/2006/relationships/hyperlink" Target="https://pubmed.ncbi.nlm.nih.gov/36938094/" TargetMode="External"/><Relationship Id="rId_djzmoptm5rjyyce95zg6" Type="http://schemas.openxmlformats.org/officeDocument/2006/relationships/hyperlink" Target="https://doi.org/10.1007/s00467-025-06905-z" TargetMode="External"/><Relationship Id="rIdqhpgcz9urym84wcak220x" Type="http://schemas.openxmlformats.org/officeDocument/2006/relationships/hyperlink" Target="https://pubmed.ncbi.nlm.nih.gov/40711544/" TargetMode="External"/><Relationship Id="rId15jjgye3d8mhpbt2jxws6" Type="http://schemas.openxmlformats.org/officeDocument/2006/relationships/hyperlink" Target="https://doi.org/10.5414/CN111984" TargetMode="External"/><Relationship Id="rIdpzunv0l5cjnv8phoewpte" Type="http://schemas.openxmlformats.org/officeDocument/2006/relationships/hyperlink" Target="https://pubmed.ncbi.nlm.nih.gov/42415708/" TargetMode="External"/><Relationship Id="rId8eoslnwvxyoehc9faz8yh" Type="http://schemas.openxmlformats.org/officeDocument/2006/relationships/hyperlink" Target="https://doi.org/10.1681/ASN.0000000534" TargetMode="External"/><Relationship Id="rIdmjaqxyjks1lo_fvksd3ky" Type="http://schemas.openxmlformats.org/officeDocument/2006/relationships/hyperlink" Target="https://pubmed.ncbi.nlm.nih.gov/39455063/" TargetMode="External"/><Relationship Id="rIdam-y7umt9o6gsckfgouss" Type="http://schemas.openxmlformats.org/officeDocument/2006/relationships/hyperlink" Target="https://doi.org/10.2215/CJN.0000000000000384" TargetMode="External"/><Relationship Id="rIdguxom0z6zuzyfo-mifzvo" Type="http://schemas.openxmlformats.org/officeDocument/2006/relationships/hyperlink" Target="https://pubmed.ncbi.nlm.nih.gov/38214599/" TargetMode="External"/><Relationship Id="rIdhtoybdwpxbty2hpum4g-9" Type="http://schemas.openxmlformats.org/officeDocument/2006/relationships/hyperlink" Target="https://doi.org/10.1681/ASN.2021081086" TargetMode="External"/><Relationship Id="rIdedr0ro9khjps_vwdkh1tw" Type="http://schemas.openxmlformats.org/officeDocument/2006/relationships/hyperlink" Target="https://pubmed.ncbi.nlm.nih.gov/35115327/" TargetMode="External"/><Relationship Id="rIdlhvfqaymj0hybkznpbkbf" Type="http://schemas.openxmlformats.org/officeDocument/2006/relationships/hyperlink" Target="https://doi.org/10.1093/ndt/gfae052" TargetMode="External"/><Relationship Id="rIdpnmpbopyrhvfrlbjblbl8" Type="http://schemas.openxmlformats.org/officeDocument/2006/relationships/hyperlink" Target="https://pubmed.ncbi.nlm.nih.gov/38402460/" TargetMode="External"/><Relationship Id="rIdknijk-2hyg0mixf6p-of2" Type="http://schemas.openxmlformats.org/officeDocument/2006/relationships/hyperlink" Target="https://doi.org/10.1681/ASN.0000000000000465" TargetMode="External"/><Relationship Id="rIdb1qjg1o1umpc_mq8m-rhz" Type="http://schemas.openxmlformats.org/officeDocument/2006/relationships/hyperlink" Target="https://pubmed.ncbi.nlm.nih.gov/39172518/" TargetMode="External"/><Relationship Id="rIdukbhr040_b61s-d31299b" Type="http://schemas.openxmlformats.org/officeDocument/2006/relationships/hyperlink" Target="https://doi.org/10.1093/ndt/gfad039" TargetMode="External"/><Relationship Id="rIdiiahuucvsgdqe3oj5fegv" Type="http://schemas.openxmlformats.org/officeDocument/2006/relationships/hyperlink" Target="https://pubmed.ncbi.nlm.nih.gov/36792061/" TargetMode="External"/><Relationship Id="rId1zcdwc1pgnu7vhonslg0_" Type="http://schemas.openxmlformats.org/officeDocument/2006/relationships/hyperlink" Target="https://doi.org/10.1016/j.phymed.2026.158684" TargetMode="External"/><Relationship Id="rIdm2lhyeektrn4ucja2yi7r" Type="http://schemas.openxmlformats.org/officeDocument/2006/relationships/hyperlink" Target="https://pubmed.ncbi.nlm.nih.gov/42570616/" TargetMode="External"/><Relationship Id="rIdnzefxlvt-e6j_l6u9gu2s" Type="http://schemas.openxmlformats.org/officeDocument/2006/relationships/hyperlink" Target="https://doi.org/10.3390/ijms25084383" TargetMode="External"/><Relationship Id="rIdvoyasufokt8dh6q4vkebp" Type="http://schemas.openxmlformats.org/officeDocument/2006/relationships/hyperlink" Target="https://pubmed.ncbi.nlm.nih.gov/38673968/" TargetMode="External"/><Relationship Id="rId-sluhlg-9a6mby2v4rfb0" Type="http://schemas.openxmlformats.org/officeDocument/2006/relationships/hyperlink" Target="https://doi.org/10.1080/0886022X.2026.2681246" TargetMode="External"/><Relationship Id="rIdwn3srkc6aqjzmak7cyks0" Type="http://schemas.openxmlformats.org/officeDocument/2006/relationships/hyperlink" Target="https://pubmed.ncbi.nlm.nih.gov/42634326/" TargetMode="External"/><Relationship Id="rIdoeftkqunwtdmqpepewtne" Type="http://schemas.openxmlformats.org/officeDocument/2006/relationships/hyperlink" Target="https://doi.org/10.1080/07853890.2026.2720379" TargetMode="External"/><Relationship Id="rIdj1zjpldwdfpekwtoejcxa" Type="http://schemas.openxmlformats.org/officeDocument/2006/relationships/hyperlink" Target="https://pubmed.ncbi.nlm.nih.gov/42610309/" TargetMode="External"/><Relationship Id="rId3rliat2hlh-amkfxjgzbs" Type="http://schemas.openxmlformats.org/officeDocument/2006/relationships/hyperlink" Target="https://doi.org/10.1080/08916934.2026.2677546" TargetMode="External"/><Relationship Id="rIdn7ece1gzp0ulkstxc6266" Type="http://schemas.openxmlformats.org/officeDocument/2006/relationships/hyperlink" Target="https://pubmed.ncbi.nlm.nih.gov/42192510/" TargetMode="External"/><Relationship Id="rIdficgdimxnk_dt3udmqhmu" Type="http://schemas.openxmlformats.org/officeDocument/2006/relationships/hyperlink" Target="https://doi.org/10.1093/ndt/gfae009" TargetMode="External"/><Relationship Id="rId_stcohokymncco8k3zmlw" Type="http://schemas.openxmlformats.org/officeDocument/2006/relationships/hyperlink" Target="https://pubmed.ncbi.nlm.nih.gov/38211969/" TargetMode="External"/><Relationship Id="rId2jc1rbnmhornqvfxr33vd" Type="http://schemas.openxmlformats.org/officeDocument/2006/relationships/hyperlink" Target="https://doi.org/10.2215/CJN.0000000000000398" TargetMode="External"/><Relationship Id="rId0wjzu12xho36cn-utz16o" Type="http://schemas.openxmlformats.org/officeDocument/2006/relationships/hyperlink" Target="https://pubmed.ncbi.nlm.nih.gov/38261310/" TargetMode="External"/><Relationship Id="rIdsryibvjiawunpftmfmolo" Type="http://schemas.openxmlformats.org/officeDocument/2006/relationships/hyperlink" Target="https://doi.org/10.1016/j.ejim.2026.106742" TargetMode="External"/><Relationship Id="rIdfy5asmcyvmj2jjrrglf8o" Type="http://schemas.openxmlformats.org/officeDocument/2006/relationships/hyperlink" Target="https://pubmed.ncbi.nlm.nih.gov/41644397/" TargetMode="External"/><Relationship Id="rIdyncc4wqgxqrfenyi6cs4l" Type="http://schemas.openxmlformats.org/officeDocument/2006/relationships/hyperlink" Target="https://doi.org/10.1097/MD.0000000000036521" TargetMode="External"/><Relationship Id="rIdcvepndefevyzhf89uhlzd" Type="http://schemas.openxmlformats.org/officeDocument/2006/relationships/hyperlink" Target="https://pubmed.ncbi.nlm.nih.gov/38115301/" TargetMode="External"/><Relationship Id="rIdqdvac3evw6zfrsqelknnw" Type="http://schemas.openxmlformats.org/officeDocument/2006/relationships/hyperlink" Target="https://doi.org/10.1038/s41581-024-00885-3" TargetMode="External"/><Relationship Id="rIddvg2iue0msgftnxgth00e" Type="http://schemas.openxmlformats.org/officeDocument/2006/relationships/hyperlink" Target="https://pubmed.ncbi.nlm.nih.gov/39232245/" TargetMode="External"/><Relationship Id="rIdhu81nq5loutnzktjftotq" Type="http://schemas.openxmlformats.org/officeDocument/2006/relationships/hyperlink" Target="https://doi.org/10.1038/s41572-023-00476-9" TargetMode="External"/><Relationship Id="rIdx5itjmfoee-pkj7sckhue" Type="http://schemas.openxmlformats.org/officeDocument/2006/relationships/hyperlink" Target="https://pubmed.ncbi.nlm.nih.gov/38036542/" TargetMode="External"/><Relationship Id="rIdryzt3m5srtjanaa048kvt" Type="http://schemas.openxmlformats.org/officeDocument/2006/relationships/hyperlink" Target="https://doi.org/10.1016/j.kint.2023.04.029" TargetMode="External"/><Relationship Id="rIdt99cfg5uxn_c_ewty7s2_" Type="http://schemas.openxmlformats.org/officeDocument/2006/relationships/hyperlink" Target="https://pubmed.ncbi.nlm.nih.gov/37263354/" TargetMode="External"/><Relationship Id="rIdln2whyfm7urus-rtgrzkw" Type="http://schemas.openxmlformats.org/officeDocument/2006/relationships/hyperlink" Target="https://doi.org/10.3390/jcm13216621" TargetMode="External"/><Relationship Id="rIdbgsmplzoi562kbsf1rrkw" Type="http://schemas.openxmlformats.org/officeDocument/2006/relationships/hyperlink" Target="https://pubmed.ncbi.nlm.nih.gov/39518760/" TargetMode="External"/><Relationship Id="rId5i3fiku2pfbfhl6htkzto" Type="http://schemas.openxmlformats.org/officeDocument/2006/relationships/hyperlink" Target="https://doi.org/10.1007/s10067-023-06781-8" TargetMode="External"/><Relationship Id="rIdd7wfhezueb7mwbhy3jxxr" Type="http://schemas.openxmlformats.org/officeDocument/2006/relationships/hyperlink" Target="https://pubmed.ncbi.nlm.nih.gov/37755547/" TargetMode="External"/><Relationship Id="rId9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2026-09-13T06:53:20.370Z</dcterms:created>
  <dcterms:modified xsi:type="dcterms:W3CDTF">2026-09-13T06:53:20.378Z</dcterms:modified>
</cp:coreProperties>
</file>

<file path=docProps/custom.xml><?xml version="1.0" encoding="utf-8"?>
<Properties xmlns="http://schemas.openxmlformats.org/officeDocument/2006/custom-properties" xmlns:vt="http://schemas.openxmlformats.org/officeDocument/2006/docPropsVTypes"/>
</file>