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Advances in the Diagnosis, Pathogenesis, and Treatment of IgA Nephropathy and IgA Vasculitis (2022–Present)</w:t>
      </w:r>
    </w:p>
    <w:p>
      <w:pPr>
        <w:pStyle w:val="Heading2"/>
      </w:pPr>
      <w:r>
        <w:t xml:space="preserve">Scope</w:t>
      </w:r>
    </w:p>
    <w:p>
      <w:r>
        <w:t xml:space="preserve">This report addresses recent (January 2022–present) advances in the diagnosis, pathogenesis, and treatment of IgA nephropathy (IgAN) and IgA vasculitis (IgAV, including IgA vasculitis nephritis, IgAVN), across both clinical and basic/mechanistic research, per </w:t>
      </w:r>
      <w:r>
        <w:rPr>
          <w:rFonts w:ascii="Consolas" w:cs="Consolas" w:eastAsia="Consolas" w:hAnsi="Consolas"/>
        </w:rPr>
        <w:t xml:space="preserve">research-question.md</w:t>
      </w:r>
      <w:r>
        <w:t xml:space="preserve">. IgAN and IgAV findings are reported under separate headings throughout, per that file's topic-specific constraint, even where a single study or a shared therapeutic mechanism spans both. Where a claim extrapolates an IgAN-derived therapy to IgAV, it is explicitly labeled as indirect evidence.</w:t>
      </w:r>
    </w:p>
    <w:p>
      <w:pPr>
        <w:pStyle w:val="Heading2"/>
      </w:pPr>
      <w:r>
        <w:t xml:space="preserve">Methodology</w:t>
      </w:r>
    </w:p>
    <w:p>
      <w:r>
        <w:t xml:space="preserve">Candidate literature was identified via Consensus (primary discovery tool) and PubMed (secondary discovery and cross-verification), as logged in </w:t>
      </w:r>
      <w:r>
        <w:rPr>
          <w:rFonts w:ascii="Consolas" w:cs="Consolas" w:eastAsia="Consolas" w:hAnsi="Consolas"/>
        </w:rPr>
        <w:t xml:space="preserve">sources/search-log.md</w:t>
      </w:r>
      <w:r>
        <w:t xml:space="preserve">. This was a bounded test batch, not an exhaustive search: 5 search/verification runs were performed, yielding 11 bibliographically verified source records (0 unverified/flagged). All 11 records were screened by </w:t>
      </w:r>
      <w:r>
        <w:rPr>
          <w:rFonts w:ascii="Consolas" w:cs="Consolas" w:eastAsia="Consolas" w:hAnsi="Consolas"/>
        </w:rPr>
        <w:t xml:space="preserve">evidence-reviewer</w:t>
      </w:r>
      <w:r>
        <w:t xml:space="preserve"> against </w:t>
      </w:r>
      <w:r>
        <w:rPr>
          <w:rFonts w:ascii="Consolas" w:cs="Consolas" w:eastAsia="Consolas" w:hAnsi="Consolas"/>
        </w:rPr>
        <w:t xml:space="preserve">research-question.md</w:t>
      </w:r>
      <w:r>
        <w:t xml:space="preserve">'s inclusion/exclusion criteria and study-type ladder:</w:t>
      </w:r>
    </w:p>
    <w:p>
      <w:pPr>
        <w:pStyle w:val="ListParagraph"/>
        <w:numPr>
          <w:ilvl w:val="0"/>
          <w:numId w:val="2"/>
        </w:numPr>
      </w:pPr>
      <w:r>
        <w:rPr>
          <w:b/>
          <w:bCs/>
        </w:rPr>
        <w:t xml:space="preserve">0</w:t>
      </w:r>
      <w:r>
        <w:t xml:space="preserve"> records were excluded outright (none triggered an exclusion criterion)</w:t>
      </w:r>
    </w:p>
    <w:p>
      <w:pPr>
        <w:pStyle w:val="ListParagraph"/>
        <w:numPr>
          <w:ilvl w:val="0"/>
          <w:numId w:val="2"/>
        </w:numPr>
      </w:pPr>
      <w:r>
        <w:rPr>
          <w:b/>
          <w:bCs/>
        </w:rPr>
        <w:t xml:space="preserve">4</w:t>
      </w:r>
      <w:r>
        <w:t xml:space="preserve"> records (all narrative reviews) were classified as background/context-only per the study-type ladder, and excluded from the primary evidence base</w:t>
      </w:r>
    </w:p>
    <w:p>
      <w:pPr>
        <w:pStyle w:val="ListParagraph"/>
        <w:numPr>
          <w:ilvl w:val="0"/>
          <w:numId w:val="2"/>
        </w:numPr>
      </w:pPr>
      <w:r>
        <w:rPr>
          <w:b/>
          <w:bCs/>
        </w:rPr>
        <w:t xml:space="preserve">6</w:t>
      </w:r>
      <w:r>
        <w:t xml:space="preserve"> records were included as primary evidence, yielding </w:t>
      </w:r>
      <w:r>
        <w:rPr>
          <w:b/>
          <w:bCs/>
        </w:rPr>
        <w:t xml:space="preserve">8 evidence-table rows</w:t>
      </w:r>
      <w:r>
        <w:t xml:space="preserve"> (one study, reporting on both IgAN and IgAV subgroups, was split into two disease-specific rows per the separate-reporting rule)</w:t>
      </w:r>
    </w:p>
    <w:p>
      <w:r>
        <w:t xml:space="preserve">Full details, including per-record verification notes and screening reasons, are in </w:t>
      </w:r>
      <w:r>
        <w:rPr>
          <w:rFonts w:ascii="Consolas" w:cs="Consolas" w:eastAsia="Consolas" w:hAnsi="Consolas"/>
        </w:rPr>
        <w:t xml:space="preserve">sources/search-log.md</w:t>
      </w:r>
      <w:r>
        <w:t xml:space="preserve"> and </w:t>
      </w:r>
      <w:r>
        <w:rPr>
          <w:rFonts w:ascii="Consolas" w:cs="Consolas" w:eastAsia="Consolas" w:hAnsi="Consolas"/>
        </w:rPr>
        <w:t xml:space="preserve">outputs/evidence-table.md</w:t>
      </w:r>
      <w:r>
        <w:t xml:space="preserve">.</w:t>
      </w:r>
    </w:p>
    <w:p>
      <w:pPr>
        <w:pStyle w:val="Heading2"/>
      </w:pPr>
      <w:r>
        <w:t xml:space="preserve">Findings</w:t>
      </w:r>
    </w:p>
    <w:p>
      <w:pPr>
        <w:pStyle w:val="Heading3"/>
      </w:pPr>
      <w:r>
        <w:t xml:space="preserve">IgA Nephropathy (IgAN)</w:t>
      </w:r>
    </w:p>
    <w:p>
      <w:r>
        <w:rPr>
          <w:b/>
          <w:bCs/>
        </w:rPr>
        <w:t xml:space="preserve">Diagnostics and biomarkers.</w:t>
      </w:r>
      <w:r>
        <w:t xml:space="preserve"> In a single-center retrospective cross-sectional study of 256 IgAN patients, hyperhomocysteinemia (HHcy, present in 32% of patients) was associated with higher serum creatinine, greater proteinuria, lower eGFR, and more severe tubular atrophy/interstitial fibrosis than normal-homocysteine patients; an exploratory homocysteine cutoff of 12.50 μmol/L discriminated fibrosis severity with an AUC of 0.756 (95% CI 0.686–0.824) [Lin et al., 2026]. The authors themselves report that this association was largely attenuated after adjusting for renal function, and that the modest AUC means homocysteine should be used alongside other markers rather than as a standalone prognostic tool — this is an association from a single retrospective study, not a validated diagnostic or prognostic test, and whether lowering homocysteine affects disease progression remains untested.</w:t>
      </w:r>
    </w:p>
    <w:p>
      <w:r>
        <w:rPr>
          <w:b/>
          <w:bCs/>
        </w:rPr>
        <w:t xml:space="preserve">Treatment.</w:t>
      </w:r>
      <w:r>
        <w:t xml:space="preserve"> In a single-center, single-arm, retrospective real-world study of 52 adults with biopsy-proven IgAN started on finerenone (a mineralocorticoid receptor antagonist), median 24-hour urinary protein fell 29.7% by month 12 (750.0→496.0 mg/24h, P=0.003), with eGFR stable and a favorable short-term safety profile (3.8% transient hyperkalemia, no discontinuations) [Pei et al., 2026]. This finding is preliminary: there was no comparator or untreated control period, the cohort was drawn from a single center, and follow-up was limited to 12 months, so it cannot establish that finerenone caused the observed proteinuria reduction rather than reflecting other concurrent care or natural variation.</w:t>
      </w:r>
    </w:p>
    <w:p>
      <w:r>
        <w:t xml:space="preserve">A retrospective case series of 15 adolescents treated with telitacicept (a dual BAFF/APRIL inhibitor) included 11 with IgAN, but the published results are reported only at the pooled cohort level (11 IgAN + 4 IgAVN combined): median proteinuria fell 59.0% by month 12 (P=0.015) with stable eGFR and no serious adverse events [Wu et al., 2025]. No IgAN-specific stratified result is available in the published abstract, so this pooled figure cannot be attributed to the IgAN subgroup alone — it is reported here as suggestive, uncontrolled, single-arm evidence in a small adolescent cohort, not a confirmed IgAN-specific effect size.</w:t>
      </w:r>
    </w:p>
    <w:p>
      <w:r>
        <w:t xml:space="preserve">As background, IgAN pathogenesis is understood through a multi-hit model involving overproduction of galactose-deficient IgA1, autoantibody binding, immune complex formation, and glomerular deposition, with emerging targeted therapies (SGLT2 inhibitors, endothelin receptor antagonists, targeted-release budesonide, complement and BAFF/APRIL inhibitors) reshaping the treatment landscape [Cheung et al., 2024; Stamellou et al., 2023]. The lectin complement pathway has specifically been proposed as a driver of glomerular injury and a possible therapeutic target [Barratt et al., 2023]. These three sources are narrative reviews used here for orientation only; none of the specific mechanistic or therapeutic claims above are supported by an included primary study in this evidence base and should not be read as findings of this review.</w:t>
      </w:r>
    </w:p>
    <w:p>
      <w:pPr>
        <w:pStyle w:val="Heading3"/>
      </w:pPr>
      <w:r>
        <w:t xml:space="preserve">IgA Vasculitis (IgAV)</w:t>
      </w:r>
    </w:p>
    <w:p>
      <w:r>
        <w:rPr>
          <w:b/>
          <w:bCs/>
        </w:rPr>
        <w:t xml:space="preserve">Treatment.</w:t>
      </w:r>
      <w:r>
        <w:t xml:space="preserve"> The strongest evidence in this batch for IgAV is a Cochrane systematic review of 20 randomized controlled trials (1,963 participants, GRADE-assessed) [Hahn, Hodson &amp; Craig, 2023]. It found generally low-to-moderate certainty evidence of little or no benefit from a short course of corticosteroids or from antiplatelet agents in preventing persistent kidney disease in children with no or minimal kidney involvement at IgAV presentation (5 studies, 746 children; RR 0.74, 95% CI 0.42–1.32). Heparin may reduce proteinuria risk at 3 months (2 studies, 317 children; RR 0.47, 95% CI 0.31–0.73), but the review's authors judge this therapy's risk profile unjustified given how few children with IgAV progress to severe kidney disease. For established severe kidney disease, the review found no significant differences between cyclophosphamide and placebo/supportive care, or between mycophenolate mofetil/tacrolimus and intravenous cyclophosphamide; smaller comparisons (cyclosporin vs. methylprednisolone; MMF vs. azathioprine or leflunomide) were inconclusive due to small participant numbers. No trials were identified evaluating prevention of recurrent IgAV-associated kidney disease episodes.</w:t>
      </w:r>
    </w:p>
    <w:p>
      <w:r>
        <w:t xml:space="preserve">Newer, more targeted therapies appear only as small, uncontrolled evidence in this batch. The same 15-patient telitacicept case series described above included 4 patients with IgAV nephritis, again with results reported only at the pooled level, not stratified for the IgAVN subgroup specifically [Wu et al., 2025]. A single case report describes a 45-year-old man with adult-onset IgAV nephritis treated with telitacicept plus glucocorticoids, achieving a 78.7% proteinuria reduction and steroid discontinuation without relapse over 6 months [Guo et al., 2026]. As a single, uncontrolled, unblinded case, this is illustrative of an emerging therapeutic approach only — it is not evidence that telitacicept is effective for IgAVN and should not be weighted alongside the Cochrane review above.</w:t>
      </w:r>
    </w:p>
    <w:p>
      <w:r>
        <w:rPr>
          <w:b/>
          <w:bCs/>
        </w:rPr>
        <w:t xml:space="preserve">Clinical phenotypes.</w:t>
      </w:r>
      <w:r>
        <w:t xml:space="preserve"> A multicenter retrospective study combined with a systematic literature review (1990–2025) characterized 30 adults with IgA vasculitis complicated by necrotizing arteritis (IgAV-NA), a rare and severe phenotype, comparing them against 257 classical IgAV and 196 polyarteritis nodosa (PAN) patients drawn from registries and the literature [Ribereau-Gayon et al., 2026]. IgAV-NA showed significantly higher rates of multi-organ involvement and mortality than classical IgAV, shared some vascular features with PAN but with less fever and neuropathy, and did not meet formal PAN classification criteria despite arterial involvement — the authors interpret this as a distinct severe IgAV phenotype rather than an IgAV–PAN overlap syndrome. Because the comparator cohorts were historical/literature-derived rather than concurrently enrolled and 23 of the 30 index cases came from previously published reports rather than the authors' own registry, this comparison carries meaningful risk of selection and ascertainment bias.</w:t>
      </w:r>
    </w:p>
    <w:p>
      <w:r>
        <w:rPr>
          <w:b/>
          <w:bCs/>
        </w:rPr>
        <w:t xml:space="preserve">Mechanism (preclinical).</w:t>
      </w:r>
      <w:r>
        <w:t xml:space="preserve"> A preclinical study in a mouse model of Henoch-Schönlein purpura (IgA vasculitis) found that Rehmannia glutinosa extract, and its active component catalpol, reduced skin and kidney injury and abnormal IgA deposition, corrected a regulatory T cell/Th17 imbalance, and altered gut microbiota composition, acting via suppression of PI3K-AKT-mTOR/NF-κB signaling [Lang et al., 2026]. This is animal and in vitro evidence only; it demonstrates mechanistic plausibility for a candidate compound but provides no human efficacy or safety data and should not be interpreted as clinical evidence.</w:t>
      </w:r>
    </w:p>
    <w:p>
      <w:r>
        <w:t xml:space="preserve">As background, a narrative review notes that therapies developed for IgAN — targeted-release budesonide, B-cell-directed agents, and complement pathway inhibitors — are increasingly being considered for IgAV given the two diseases' overlapping pathogenesis [Castañeda et al., 2024]. This is an explicit extrapolation from IgAN trial data, not IgAV-specific evidence, and is included here for context only; none of the included IgAV studies above test these IgAN-derived therapies directly except telitacicept, which is separately evidenced (at low tier) as described above.</w:t>
      </w:r>
    </w:p>
    <w:p>
      <w:pPr>
        <w:pStyle w:val="Heading2"/>
      </w:pPr>
      <w:r>
        <w:t xml:space="preserve">Quality of the Evidence</w:t>
      </w:r>
    </w:p>
    <w:p>
      <w:r>
        <w:t xml:space="preserve">Of the 8 evidence-table rows, 1 (the Cochrane systematic review) represents tier-1 evidence; the remainder are tier-4 through tier-7 (a multicenter retrospective study with historical comparators, two single-arm retrospective series, a retrospective cross-sectional study, a preclinical mechanistic study, and a single case report). No randomized controlled trial evidence exists in this batch for any of the newer targeted therapies discussed (finerenone, telitacicept) in either IgAN or IgAV — the only RCT-based evidence covers older interventions (corticosteroids, antiplatelet agents, heparin, immunosuppressants) in IgAV. IgAN specifically has no tier-1 or tier-2 (systematic review/RCT) entry at all in the Included Studies table in this batch — the only IgAN-relevant reviews available were classified as background-only per the study-type ladder. Most of the newer-therapy evidence (finerenone, telitacicept) comes from small, single-center, single-arm, retrospective series or a single case report, with no concurrent comparator group in any of them.</w:t>
      </w:r>
    </w:p>
    <w:p>
      <w:pPr>
        <w:pStyle w:val="Heading2"/>
      </w:pPr>
      <w:r>
        <w:t xml:space="preserve">Conflicting Evidence and Uncertainty</w:t>
      </w:r>
    </w:p>
    <w:p>
      <w:r>
        <w:t xml:space="preserve">No directly conflicting findings between included studies were identified in this batch (the included studies largely address distinct sub-topics rather than the same question). The principal uncertainty is structural rather than a study-vs-study conflict: the telitacicept case series reports its efficacy results only for the pooled IgAN+IgAVN cohort, so the magnitude of benefit specific to either disease individually cannot be determined from the published abstract. Similarly, the homocysteine–fibrosis association in IgAN was reported by its own authors as substantially weakened once renal function was accounted for, so its independent prognostic value remains unresolved.</w:t>
      </w:r>
    </w:p>
    <w:p>
      <w:pPr>
        <w:pStyle w:val="Heading2"/>
      </w:pPr>
      <w:r>
        <w:t xml:space="preserve">Evidence Gaps</w:t>
      </w:r>
    </w:p>
    <w:p>
      <w:pPr>
        <w:pStyle w:val="ListParagraph"/>
        <w:numPr>
          <w:ilvl w:val="0"/>
          <w:numId w:val="2"/>
        </w:numPr>
      </w:pPr>
      <w:r>
        <w:t xml:space="preserve">No systematic review or RCT evidence for IgAN specifically in this batch — the only IgAN-relevant reviews found were narrative and classified as background-only.</w:t>
      </w:r>
    </w:p>
    <w:p>
      <w:pPr>
        <w:pStyle w:val="ListParagraph"/>
        <w:numPr>
          <w:ilvl w:val="0"/>
          <w:numId w:val="2"/>
        </w:numPr>
      </w:pPr>
      <w:r>
        <w:t xml:space="preserve">No head-to-head or controlled trial evidence for the newer targeted therapies discussed (finerenone, telitacicept) in either disease; all such evidence here is single-arm, retrospective, and short-term (≤12 months).</w:t>
      </w:r>
    </w:p>
    <w:p>
      <w:pPr>
        <w:pStyle w:val="ListParagraph"/>
        <w:numPr>
          <w:ilvl w:val="0"/>
          <w:numId w:val="2"/>
        </w:numPr>
      </w:pPr>
      <w:r>
        <w:t xml:space="preserve">No study in this batch reports outcomes beyond 12 months for any interventional therapy, so durability of the proteinuria reductions described above is unknown.</w:t>
      </w:r>
    </w:p>
    <w:p>
      <w:pPr>
        <w:pStyle w:val="ListParagraph"/>
        <w:numPr>
          <w:ilvl w:val="0"/>
          <w:numId w:val="2"/>
        </w:numPr>
      </w:pPr>
      <w:r>
        <w:t xml:space="preserve">No pediatric-specific interventional evidence for the newer IgAN therapies (finerenone was studied in adults only); the telitacicept series is adolescent-only and does not disaggregate by disease.</w:t>
      </w:r>
    </w:p>
    <w:p>
      <w:pPr>
        <w:pStyle w:val="ListParagraph"/>
        <w:numPr>
          <w:ilvl w:val="0"/>
          <w:numId w:val="2"/>
        </w:numPr>
      </w:pPr>
      <w:r>
        <w:t xml:space="preserve">No trials were identified (per the Cochrane review) addressing prevention of recurrent IgAV-associated kidney disease episodes.</w:t>
      </w:r>
    </w:p>
    <w:p>
      <w:pPr>
        <w:pStyle w:val="Heading2"/>
      </w:pPr>
      <w:r>
        <w:t xml:space="preserve">Limitations of This Review</w:t>
      </w:r>
    </w:p>
    <w:p>
      <w:r>
        <w:t xml:space="preserve">This was a bounded test batch of 11 source records, not an exhaustive systematic search — PubMed alone returned several thousand IgAN- and IgAV-related results in the same date range, of which only a small representative sample was retrieved and verified (see </w:t>
      </w:r>
      <w:r>
        <w:rPr>
          <w:rFonts w:ascii="Consolas" w:cs="Consolas" w:eastAsia="Consolas" w:hAnsi="Consolas"/>
        </w:rPr>
        <w:t xml:space="preserve">sources/search-log.md</w:t>
      </w:r>
      <w:r>
        <w:t xml:space="preserve">). The search was limited to English-language, peer-reviewed publications from January 2022 onward, using Consensus and PubMed only, with no manual reference-list hand-searching or grey-literature search. Screening and extraction in this batch were performed by a single reviewer pass rather than the dual independent screening typical of formal systematic reviews. These limitations mean this report should be read as illustrative of the kinds of evidence currently available, not as a comprehensive or final evidence synthesis on IgAN or IgAV.</w:t>
      </w:r>
    </w:p>
    <w:p>
      <w:pPr>
        <w:pStyle w:val="Heading2"/>
      </w:pPr>
      <w:r>
        <w:t xml:space="preserve">References</w:t>
      </w:r>
    </w:p>
    <w:p>
      <w:pPr>
        <w:pStyle w:val="ListParagraph"/>
        <w:numPr>
          <w:ilvl w:val="0"/>
          <w:numId w:val="3"/>
        </w:numPr>
      </w:pP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hvdndn8jcwusxgo_bgjni">
        <w:r>
          <w:rPr>
            <w:rStyle w:val="Hyperlink"/>
          </w:rPr>
          <w:t xml:space="preserve">10.1002/14651858.CD005128.pub4</w:t>
        </w:r>
      </w:hyperlink>
      <w:r>
        <w:t xml:space="preserve"> · PMID: 36853224</w:t>
      </w:r>
    </w:p>
    <w:p>
      <w:pPr>
        <w:pStyle w:val="ListParagraph"/>
        <w:numPr>
          <w:ilvl w:val="0"/>
          <w:numId w:val="3"/>
        </w:numPr>
      </w:pP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_hrcw1qxcx0grqp7jzrbm">
        <w:r>
          <w:rPr>
            <w:rStyle w:val="Hyperlink"/>
          </w:rPr>
          <w:t xml:space="preserve">10.1007/s00467-025-06905-z</w:t>
        </w:r>
      </w:hyperlink>
      <w:r>
        <w:t xml:space="preserve"> · PMID: 40711544</w:t>
      </w:r>
    </w:p>
    <w:p>
      <w:pPr>
        <w:pStyle w:val="ListParagraph"/>
        <w:numPr>
          <w:ilvl w:val="0"/>
          <w:numId w:val="3"/>
        </w:numPr>
      </w:pPr>
      <w:r>
        <w:t xml:space="preserve">Ribereau-Gayon E, Carbonnelle-Puscian A, Ottavi M, Donzel M, Puéchal X, Sundekötter C, Audemard-Verger A, Rohmer J, Balme B, Fauquier A, Grienay-Poletto N, Novel-Catin E, Liegeon AL, Chollat-Namy A, Terrier B, Durel CA, et al.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jvmswdiuqufbqiricehva">
        <w:r>
          <w:rPr>
            <w:rStyle w:val="Hyperlink"/>
          </w:rPr>
          <w:t xml:space="preserve">10.1080/08916934.2026.2677546</w:t>
        </w:r>
      </w:hyperlink>
      <w:r>
        <w:t xml:space="preserve"> · PMID: 42192510</w:t>
      </w:r>
    </w:p>
    <w:p>
      <w:pPr>
        <w:pStyle w:val="ListParagraph"/>
        <w:numPr>
          <w:ilvl w:val="0"/>
          <w:numId w:val="3"/>
        </w:numPr>
      </w:pP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wd_2daatpq8eywzsvfssb">
        <w:r>
          <w:rPr>
            <w:rStyle w:val="Hyperlink"/>
          </w:rPr>
          <w:t xml:space="preserve">10.1080/0886022X.2026.2681246</w:t>
        </w:r>
      </w:hyperlink>
      <w:r>
        <w:t xml:space="preserve"> · PMID: 42634326</w:t>
      </w:r>
    </w:p>
    <w:p>
      <w:pPr>
        <w:pStyle w:val="ListParagraph"/>
        <w:numPr>
          <w:ilvl w:val="0"/>
          <w:numId w:val="3"/>
        </w:numPr>
      </w:pP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eexuhrbe-xgvu5jxmg7e5">
        <w:r>
          <w:rPr>
            <w:rStyle w:val="Hyperlink"/>
          </w:rPr>
          <w:t xml:space="preserve">10.1080/07853890.2026.2720379</w:t>
        </w:r>
      </w:hyperlink>
      <w:r>
        <w:t xml:space="preserve"> · PMID: 42610309</w:t>
      </w:r>
    </w:p>
    <w:p>
      <w:pPr>
        <w:pStyle w:val="ListParagraph"/>
        <w:numPr>
          <w:ilvl w:val="0"/>
          <w:numId w:val="3"/>
        </w:numPr>
      </w:pPr>
      <w:r>
        <w:t xml:space="preserve">Lang L, Fu Y, Miao J, Song Y, Zhang X, Zhao Q, Liu Y, Zhang Y, Miao M, Liu X, Zhang Y, Wang X, Li Z.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ccbxduatphufgtxk9okwh">
        <w:r>
          <w:rPr>
            <w:rStyle w:val="Hyperlink"/>
          </w:rPr>
          <w:t xml:space="preserve">10.1016/j.phymed.2026.158684</w:t>
        </w:r>
      </w:hyperlink>
      <w:r>
        <w:t xml:space="preserve"> · PMID: 42570616</w:t>
      </w:r>
    </w:p>
    <w:p>
      <w:pPr>
        <w:pStyle w:val="ListParagraph"/>
        <w:numPr>
          <w:ilvl w:val="0"/>
          <w:numId w:val="3"/>
        </w:numPr>
      </w:pP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ljgdgibydsyncrl-uqxtl">
        <w:r>
          <w:rPr>
            <w:rStyle w:val="Hyperlink"/>
          </w:rPr>
          <w:t xml:space="preserve">10.5414/CN111984</w:t>
        </w:r>
      </w:hyperlink>
      <w:r>
        <w:t xml:space="preserve"> · PMID: 42415708</w:t>
      </w:r>
    </w:p>
    <w:p>
      <w:pPr>
        <w:pStyle w:val="ListParagraph"/>
        <w:numPr>
          <w:ilvl w:val="0"/>
          <w:numId w:val="3"/>
        </w:numPr>
      </w:pP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vuruzphz99zekuitnxlhi">
        <w:r>
          <w:rPr>
            <w:rStyle w:val="Hyperlink"/>
          </w:rPr>
          <w:t xml:space="preserve">10.1038/s41581-024-00885-3</w:t>
        </w:r>
      </w:hyperlink>
      <w:r>
        <w:t xml:space="preserve"> · PMID: 39232245 </w:t>
      </w:r>
      <w:r>
        <w:rPr>
          <w:i/>
          <w:iCs/>
        </w:rPr>
        <w:t xml:space="preserve">(background/context only)</w:t>
      </w:r>
    </w:p>
    <w:p>
      <w:pPr>
        <w:pStyle w:val="ListParagraph"/>
        <w:numPr>
          <w:ilvl w:val="0"/>
          <w:numId w:val="3"/>
        </w:numPr>
      </w:pPr>
      <w:r>
        <w:t xml:space="preserve">Stamellou E, Seikrit C, Tang SCW, Boor P, Tesař V, Floege J, Barratt J, Kramann R. IgA nephropathy. </w:t>
      </w:r>
      <w:r>
        <w:rPr>
          <w:i/>
          <w:iCs/>
        </w:rPr>
        <w:t xml:space="preserve">Nature Reviews Disease Primers</w:t>
      </w:r>
      <w:r>
        <w:t xml:space="preserve">. 2023. DOI: </w:t>
      </w:r>
      <w:hyperlink w:history="1" r:id="rIdqoewya0-bg3kxcpydn434">
        <w:r>
          <w:rPr>
            <w:rStyle w:val="Hyperlink"/>
          </w:rPr>
          <w:t xml:space="preserve">10.1038/s41572-023-00476-9</w:t>
        </w:r>
      </w:hyperlink>
      <w:r>
        <w:t xml:space="preserve"> · PMID: 38036542 </w:t>
      </w:r>
      <w:r>
        <w:rPr>
          <w:i/>
          <w:iCs/>
        </w:rPr>
        <w:t xml:space="preserve">(background/context only)</w:t>
      </w:r>
    </w:p>
    <w:p>
      <w:pPr>
        <w:pStyle w:val="ListParagraph"/>
        <w:numPr>
          <w:ilvl w:val="0"/>
          <w:numId w:val="3"/>
        </w:numPr>
      </w:pP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6cpyewvpxmkfchajrkorf">
        <w:r>
          <w:rPr>
            <w:rStyle w:val="Hyperlink"/>
          </w:rPr>
          <w:t xml:space="preserve">10.1016/j.kint.2023.04.029</w:t>
        </w:r>
      </w:hyperlink>
      <w:r>
        <w:t xml:space="preserve"> · PMID: 37263354 </w:t>
      </w:r>
      <w:r>
        <w:rPr>
          <w:i/>
          <w:iCs/>
        </w:rPr>
        <w:t xml:space="preserve">(background/context only)</w:t>
      </w:r>
    </w:p>
    <w:p>
      <w:pPr>
        <w:pStyle w:val="ListParagraph"/>
        <w:numPr>
          <w:ilvl w:val="0"/>
          <w:numId w:val="3"/>
        </w:numPr>
      </w:pP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vcvkajnvqcsc6ymu2qkfx">
        <w:r>
          <w:rPr>
            <w:rStyle w:val="Hyperlink"/>
          </w:rPr>
          <w:t xml:space="preserve">10.3390/jcm13216621</w:t>
        </w:r>
      </w:hyperlink>
      <w:r>
        <w:t xml:space="preserve"> · PMID: 39518760 </w:t>
      </w:r>
      <w:r>
        <w:rPr>
          <w:i/>
          <w:iCs/>
        </w:rPr>
        <w:t xml:space="preserve">(background/context only)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vdndn8jcwusxgo_bgjni" Type="http://schemas.openxmlformats.org/officeDocument/2006/relationships/hyperlink" Target="https://doi.org/10.1002/14651858.CD005128.pub4" TargetMode="External"/><Relationship Id="rId_hrcw1qxcx0grqp7jzrbm" Type="http://schemas.openxmlformats.org/officeDocument/2006/relationships/hyperlink" Target="https://doi.org/10.1007/s00467-025-06905-z" TargetMode="External"/><Relationship Id="rIdjvmswdiuqufbqiricehva" Type="http://schemas.openxmlformats.org/officeDocument/2006/relationships/hyperlink" Target="https://doi.org/10.1080/08916934.2026.2677546" TargetMode="External"/><Relationship Id="rIdwd_2daatpq8eywzsvfssb" Type="http://schemas.openxmlformats.org/officeDocument/2006/relationships/hyperlink" Target="https://doi.org/10.1080/0886022X.2026.2681246" TargetMode="External"/><Relationship Id="rIdeexuhrbe-xgvu5jxmg7e5" Type="http://schemas.openxmlformats.org/officeDocument/2006/relationships/hyperlink" Target="https://doi.org/10.1080/07853890.2026.2720379" TargetMode="External"/><Relationship Id="rIdccbxduatphufgtxk9okwh" Type="http://schemas.openxmlformats.org/officeDocument/2006/relationships/hyperlink" Target="https://doi.org/10.1016/j.phymed.2026.158684" TargetMode="External"/><Relationship Id="rIdljgdgibydsyncrl-uqxtl" Type="http://schemas.openxmlformats.org/officeDocument/2006/relationships/hyperlink" Target="https://doi.org/10.5414/CN111984" TargetMode="External"/><Relationship Id="rIdvuruzphz99zekuitnxlhi" Type="http://schemas.openxmlformats.org/officeDocument/2006/relationships/hyperlink" Target="https://doi.org/10.1038/s41581-024-00885-3" TargetMode="External"/><Relationship Id="rIdqoewya0-bg3kxcpydn434" Type="http://schemas.openxmlformats.org/officeDocument/2006/relationships/hyperlink" Target="https://doi.org/10.1038/s41572-023-00476-9" TargetMode="External"/><Relationship Id="rId6cpyewvpxmkfchajrkorf" Type="http://schemas.openxmlformats.org/officeDocument/2006/relationships/hyperlink" Target="https://doi.org/10.1016/j.kint.2023.04.029" TargetMode="External"/><Relationship Id="rIdvcvkajnvqcsc6ymu2qkfx" Type="http://schemas.openxmlformats.org/officeDocument/2006/relationships/hyperlink" Target="https://doi.org/10.3390/jcm13216621"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2026-09-13T06:08:43.109Z</dcterms:created>
  <dcterms:modified xsi:type="dcterms:W3CDTF">2026-09-13T06:08:43.109Z</dcterms:modified>
</cp:coreProperties>
</file>

<file path=docProps/custom.xml><?xml version="1.0" encoding="utf-8"?>
<Properties xmlns="http://schemas.openxmlformats.org/officeDocument/2006/custom-properties" xmlns:vt="http://schemas.openxmlformats.org/officeDocument/2006/docPropsVTypes"/>
</file>