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968D3" w14:textId="77777777" w:rsidR="00822934" w:rsidRPr="00822934" w:rsidRDefault="00822934" w:rsidP="00822934">
      <w:pPr>
        <w:widowControl/>
        <w:ind w:right="65"/>
        <w:jc w:val="center"/>
        <w:rPr>
          <w:rFonts w:ascii="Times New Roman" w:hAnsi="Times New Roman" w:cs="Times New Roman"/>
          <w:b/>
          <w:bCs/>
          <w:kern w:val="0"/>
        </w:rPr>
      </w:pPr>
      <w:r w:rsidRPr="00822934">
        <w:rPr>
          <w:rFonts w:ascii="Times New Roman" w:hAnsi="Times New Roman" w:cs="Times New Roman"/>
          <w:b/>
          <w:bCs/>
          <w:kern w:val="0"/>
        </w:rPr>
        <w:t>Reconciling Conflict between Knowledge Creation and Knowledge Utilization in the Entrepreneurial University: A Pasteurian Orientation Perspective</w:t>
      </w:r>
    </w:p>
    <w:p w14:paraId="1DED7EE3" w14:textId="4058E48E" w:rsidR="00BC2632" w:rsidRPr="008A0E33" w:rsidRDefault="00BC2632" w:rsidP="0057484E">
      <w:pPr>
        <w:widowControl/>
        <w:ind w:right="65"/>
        <w:jc w:val="center"/>
        <w:rPr>
          <w:rFonts w:ascii="Times" w:hAnsi="Times" w:cs="Times New Roman"/>
          <w:kern w:val="0"/>
          <w:sz w:val="20"/>
          <w:szCs w:val="20"/>
        </w:rPr>
      </w:pPr>
      <w:r w:rsidRPr="008A0E33">
        <w:rPr>
          <w:rFonts w:ascii="Times New Roman" w:hAnsi="Times New Roman" w:cs="Times New Roman"/>
          <w:b/>
          <w:bCs/>
          <w:kern w:val="0"/>
        </w:rPr>
        <w:t>Abstract</w:t>
      </w:r>
    </w:p>
    <w:p w14:paraId="75162DAB" w14:textId="77777777" w:rsidR="00822934" w:rsidRPr="00822934" w:rsidRDefault="00822934" w:rsidP="00822934">
      <w:pPr>
        <w:widowControl/>
        <w:ind w:right="324"/>
        <w:jc w:val="both"/>
        <w:rPr>
          <w:rFonts w:ascii="Times New Roman" w:hAnsi="Times New Roman" w:cs="Times New Roman"/>
          <w:kern w:val="0"/>
        </w:rPr>
      </w:pPr>
      <w:r w:rsidRPr="00822934">
        <w:rPr>
          <w:rFonts w:ascii="Times New Roman" w:hAnsi="Times New Roman" w:cs="Times New Roman"/>
          <w:kern w:val="0"/>
        </w:rPr>
        <w:t>This paper develops the concept of the Pasteurian orientation (PO) as an approach to understanding reforms by university departments of their organizational strategies and structures to foster both knowledge creation and knowledge utilization in the new era of the entrepreneurial university. We put forward a model and four major hypotheses that posit PO as a mediator between a department’s organizational antecedents and collective departmental efficacy. The paper reports a dataset of responses from 634 department administrators and non-administrative faculty members from 99 departments at six Taiwanese universities collected via a postal questionnaire survey. Regression results indicate that organizational munificence and organizational flexibility, as contextual antecedents, are positively associated with a department’s PO development, at the same time as knowledge creation is a significant contributor to development of knowledge utilization. PO development is also positively associated with departmental collective efficacy, and balancing knowledge creation and knowledge utilization by means of PO development has a positive mediating effect on the relationship between contextual antecedents and this collective efficacy. The paper concludes that developing the PO of university departments acts as a crucial factor in facilitating their role in the transformation from traditional university into entrepreneurial university. Policy and managerial implications are also suggested.</w:t>
      </w:r>
    </w:p>
    <w:p w14:paraId="46A280BE" w14:textId="550122D0" w:rsidR="00BC2632" w:rsidRPr="008A0E33" w:rsidRDefault="00BC2632" w:rsidP="0057484E">
      <w:pPr>
        <w:widowControl/>
        <w:ind w:right="324"/>
        <w:jc w:val="both"/>
        <w:rPr>
          <w:rFonts w:ascii="Times" w:hAnsi="Times" w:cs="Times New Roman"/>
          <w:kern w:val="0"/>
          <w:sz w:val="20"/>
          <w:szCs w:val="20"/>
        </w:rPr>
      </w:pPr>
      <w:r w:rsidRPr="008A0E33">
        <w:rPr>
          <w:rFonts w:ascii="Times New Roman" w:hAnsi="Times New Roman" w:cs="Times New Roman"/>
          <w:b/>
          <w:bCs/>
          <w:kern w:val="0"/>
        </w:rPr>
        <w:t>Keywords</w:t>
      </w:r>
      <w:r w:rsidRPr="008A0E33">
        <w:rPr>
          <w:rFonts w:ascii="Times New Roman" w:hAnsi="Times New Roman" w:cs="Times New Roman"/>
          <w:kern w:val="0"/>
        </w:rPr>
        <w:t>: Entrepreneurial universities, Pasteurian orientation, knowledge creation, knowledge utilization</w:t>
      </w:r>
      <w:r w:rsidR="005B7BFB" w:rsidRPr="008A0E33">
        <w:rPr>
          <w:rFonts w:ascii="Times New Roman" w:hAnsi="Times New Roman" w:cs="Times New Roman"/>
          <w:kern w:val="0"/>
        </w:rPr>
        <w:t xml:space="preserve">, </w:t>
      </w:r>
      <w:r w:rsidR="00F06D7F" w:rsidRPr="008A0E33">
        <w:rPr>
          <w:rFonts w:ascii="Times New Roman" w:hAnsi="Times New Roman" w:cs="Times New Roman"/>
          <w:kern w:val="0"/>
        </w:rPr>
        <w:t>C</w:t>
      </w:r>
      <w:r w:rsidR="005B7BFB" w:rsidRPr="008A0E33">
        <w:rPr>
          <w:rFonts w:ascii="Times New Roman" w:hAnsi="Times New Roman" w:cs="Times New Roman"/>
          <w:kern w:val="0"/>
        </w:rPr>
        <w:t>ollective efficacy</w:t>
      </w:r>
    </w:p>
    <w:p w14:paraId="6331CF30" w14:textId="77777777" w:rsidR="00BC2632" w:rsidRPr="008A0E33" w:rsidRDefault="00BC2632" w:rsidP="0057484E">
      <w:pPr>
        <w:widowControl/>
        <w:spacing w:before="120" w:after="120"/>
        <w:ind w:right="65"/>
        <w:jc w:val="both"/>
        <w:rPr>
          <w:rFonts w:ascii="Times" w:hAnsi="Times" w:cs="Times New Roman"/>
          <w:kern w:val="0"/>
          <w:sz w:val="20"/>
          <w:szCs w:val="20"/>
        </w:rPr>
      </w:pPr>
      <w:r w:rsidRPr="008A0E33">
        <w:rPr>
          <w:rFonts w:ascii="Times New Roman" w:hAnsi="Times New Roman" w:cs="Times New Roman"/>
          <w:b/>
          <w:bCs/>
          <w:kern w:val="0"/>
        </w:rPr>
        <w:t>1. Introduction</w:t>
      </w:r>
    </w:p>
    <w:p w14:paraId="2A0DAF53" w14:textId="77777777" w:rsidR="00EC721D" w:rsidRPr="00EC721D" w:rsidRDefault="00EC721D" w:rsidP="00EC721D">
      <w:pPr>
        <w:widowControl/>
        <w:ind w:right="65" w:firstLine="240"/>
        <w:jc w:val="both"/>
        <w:rPr>
          <w:rFonts w:ascii="Times New Roman" w:hAnsi="Times New Roman" w:cs="Times New Roman"/>
          <w:noProof/>
          <w:kern w:val="0"/>
        </w:rPr>
      </w:pPr>
      <w:r w:rsidRPr="00EC721D">
        <w:rPr>
          <w:rFonts w:ascii="Times New Roman" w:hAnsi="Times New Roman" w:cs="Times New Roman"/>
          <w:noProof/>
          <w:kern w:val="0"/>
        </w:rPr>
        <w:t>The rise of entrepreneurial universities in the past few decades has stimulated investigation by researchers studying the new economics of science (Merton, 1968; Partha &amp; David, 1994; Stokes, 1997), university-industry linkages (D’Este &amp; Patel, 2007; Stankiewicz, 1986), the triple helix model (Etzkowitz &amp; Leydesdorff, 2000), and academic entrepreneurship (Etzkowitz, 2003; Shane, 2004). They have elaborated how, with reforms in science and technology policy, universities have gradually developed multiple infrastructures with closer and more productive relationships with industry in order to provide a more fundamental economic and social contribution to society (Etzkowitz, 1998).</w:t>
      </w:r>
    </w:p>
    <w:p w14:paraId="6A0BBA13" w14:textId="77777777" w:rsidR="00EC721D" w:rsidRPr="00EC721D" w:rsidRDefault="00EC721D" w:rsidP="00EC721D">
      <w:pPr>
        <w:widowControl/>
        <w:ind w:right="65" w:firstLine="240"/>
        <w:jc w:val="both"/>
        <w:rPr>
          <w:rFonts w:ascii="Times New Roman" w:hAnsi="Times New Roman" w:cs="Times New Roman"/>
          <w:noProof/>
          <w:kern w:val="0"/>
        </w:rPr>
      </w:pPr>
      <w:r w:rsidRPr="00EC721D">
        <w:rPr>
          <w:rFonts w:ascii="Times New Roman" w:hAnsi="Times New Roman" w:cs="Times New Roman"/>
          <w:noProof/>
          <w:kern w:val="0"/>
        </w:rPr>
        <w:lastRenderedPageBreak/>
        <w:t>When universities are encouraged to develop entrepreneurial habits, they still face severe problems balancing old and new missions, choosing between knowledge creation and knowledge utilization, and finding traditional and new sources of support (Clark, 2004; Van Looy et al., 2011). Although the tensions impede the transformation of traditional universities into more entrepreneurial ones, many universities have attempted to create favorable contexts for these dual tracks by providing new organizational changes, including in university leadership, climate, formal incentives, technology transfer office support, and faculty engagement promotion (Klofsten et al., 2019; Perkmann et al., 2013).</w:t>
      </w:r>
    </w:p>
    <w:p w14:paraId="5EEE4A36" w14:textId="77777777" w:rsidR="00EC721D" w:rsidRPr="00EC721D" w:rsidRDefault="00EC721D" w:rsidP="00EC721D">
      <w:pPr>
        <w:widowControl/>
        <w:ind w:right="65" w:firstLine="240"/>
        <w:jc w:val="both"/>
        <w:rPr>
          <w:rFonts w:ascii="Times New Roman" w:hAnsi="Times New Roman" w:cs="Times New Roman"/>
          <w:noProof/>
          <w:kern w:val="0"/>
        </w:rPr>
      </w:pPr>
      <w:r w:rsidRPr="00EC721D">
        <w:rPr>
          <w:rFonts w:ascii="Times New Roman" w:hAnsi="Times New Roman" w:cs="Times New Roman"/>
          <w:noProof/>
          <w:kern w:val="0"/>
        </w:rPr>
        <w:t xml:space="preserve">Stokes (1997) advocated use-inspired basic research, calling it Pasteur’s quadrant research, and encouraged academia to develop a balance between work on knowledge creation, for the purpose of exploring understanding of natural phenomena, and work on knowledge utilization, to the end of exploiting scientific knowledge for its practical use. However, Pasteur’s quadrant provides little insight into how organizational structures, strategies, and processes can be created so both knowledge creation and knowledge utilization can be pursued in universities simultaneously. Tackling organizational development, other researchers have argued that ambidextrous structures could be established by an organization to coordinate a mix of activities that foster both exploration and exploitation (He &amp; Wong, 2004; Lavie, Stettner, &amp; Tushman, 2010), research publication and research commercialization (Chang, Yang, Martin, Chi, &amp; Tsai-Lin, 2016) , or alignment and adaptability (Gibson &amp; Birkinshaw, 2004; Raisch &amp; Birkinshaw, 2008; Tushman &amp; O'Reilly, 1996). In any case, universities need to develop a </w:t>
      </w:r>
      <w:r w:rsidRPr="00EC721D">
        <w:rPr>
          <w:rFonts w:ascii="Times New Roman" w:hAnsi="Times New Roman" w:cs="Times New Roman"/>
          <w:i/>
          <w:noProof/>
          <w:kern w:val="0"/>
        </w:rPr>
        <w:t>Pasteurian orientation (PO)</w:t>
      </w:r>
      <w:r w:rsidRPr="00EC721D">
        <w:rPr>
          <w:rFonts w:ascii="Times New Roman" w:hAnsi="Times New Roman" w:cs="Times New Roman"/>
          <w:noProof/>
          <w:kern w:val="0"/>
        </w:rPr>
        <w:t xml:space="preserve"> to establish a balance between knowledge creation and knowledge utilization and respond to the call for an entrepreneurial professoriate, inspired by the concept of Pasteur’s quadrant and organizational ambidexterity. This will allow universities following the new organizational practices of the entrepreneurial university to facilitate collective action by faculty members, as it builds their efficacy beliefs and convinces them of the value of engaging in academic-industry cooperation (Aschhoff &amp; Grimpe, 2014; Jain, George, &amp; Maltarich, 2009).</w:t>
      </w:r>
    </w:p>
    <w:p w14:paraId="4EB790E2" w14:textId="77777777" w:rsidR="00CA3355" w:rsidRPr="00CA3355" w:rsidRDefault="00CA3355" w:rsidP="00CA3355">
      <w:pPr>
        <w:widowControl/>
        <w:ind w:right="65" w:firstLine="240"/>
        <w:jc w:val="both"/>
        <w:rPr>
          <w:rFonts w:ascii="Times New Roman" w:hAnsi="Times New Roman" w:cs="Times New Roman"/>
          <w:kern w:val="0"/>
        </w:rPr>
      </w:pPr>
      <w:r w:rsidRPr="00CA3355">
        <w:rPr>
          <w:rFonts w:ascii="Times New Roman" w:hAnsi="Times New Roman" w:cs="Times New Roman"/>
          <w:kern w:val="0"/>
        </w:rPr>
        <w:t>As a focal unit in the work of a university, a university department plays an influential role not only with its achievements in knowledge creation and knowledge utilization but also in its identity as an illustrated organizational cognitive complex reshaping the behaviors of the group and the individual (</w:t>
      </w:r>
      <w:proofErr w:type="spellStart"/>
      <w:r w:rsidRPr="00CA3355">
        <w:rPr>
          <w:rFonts w:ascii="Times New Roman" w:hAnsi="Times New Roman" w:cs="Times New Roman"/>
          <w:kern w:val="0"/>
        </w:rPr>
        <w:t>Gustafsson</w:t>
      </w:r>
      <w:proofErr w:type="spellEnd"/>
      <w:r w:rsidRPr="00CA3355">
        <w:rPr>
          <w:rFonts w:ascii="Times New Roman" w:hAnsi="Times New Roman" w:cs="Times New Roman"/>
          <w:kern w:val="0"/>
        </w:rPr>
        <w:t xml:space="preserve"> &amp; </w:t>
      </w:r>
      <w:proofErr w:type="spellStart"/>
      <w:r w:rsidRPr="00CA3355">
        <w:rPr>
          <w:rFonts w:ascii="Times New Roman" w:hAnsi="Times New Roman" w:cs="Times New Roman"/>
          <w:kern w:val="0"/>
        </w:rPr>
        <w:t>Autio</w:t>
      </w:r>
      <w:proofErr w:type="spellEnd"/>
      <w:r w:rsidRPr="00CA3355">
        <w:rPr>
          <w:rFonts w:ascii="Times New Roman" w:hAnsi="Times New Roman" w:cs="Times New Roman"/>
          <w:kern w:val="0"/>
        </w:rPr>
        <w:t xml:space="preserve">, 2011). Therefore, the aim of this study is to explore the relations among a university’s context, </w:t>
      </w:r>
      <w:r w:rsidRPr="00CA3355">
        <w:rPr>
          <w:rFonts w:ascii="Times New Roman" w:hAnsi="Times New Roman" w:cs="Times New Roman"/>
          <w:kern w:val="0"/>
        </w:rPr>
        <w:lastRenderedPageBreak/>
        <w:t>PO development, and collective efficacy at the university department level, linking those achievements with its identity. The paper is organized as follows. After an introduction, a theoretical framework connecting organizational antecedents, PO construct, and collective efficacy is proposed. Thirdly, data, variables, and data analysis are presented. Descriptive statistics, correlations, and regression models are included. Finally, our empirical research results are discussed and compared to those of previous studies. Conclusions and implications are presented.</w:t>
      </w:r>
    </w:p>
    <w:p w14:paraId="5CF9A92F" w14:textId="70E650D3" w:rsidR="00BC2632" w:rsidRPr="008A0E33" w:rsidRDefault="00BC2632" w:rsidP="003D357B">
      <w:pPr>
        <w:widowControl/>
        <w:ind w:right="65" w:firstLine="240"/>
        <w:jc w:val="both"/>
        <w:rPr>
          <w:rFonts w:ascii="Times" w:hAnsi="Times" w:cs="Times New Roman"/>
          <w:kern w:val="0"/>
          <w:sz w:val="20"/>
          <w:szCs w:val="20"/>
        </w:rPr>
      </w:pPr>
    </w:p>
    <w:p w14:paraId="70DC6842" w14:textId="77777777" w:rsidR="00BC2632" w:rsidRPr="008A0E33" w:rsidRDefault="00BC2632" w:rsidP="0057484E">
      <w:pPr>
        <w:widowControl/>
        <w:rPr>
          <w:rFonts w:ascii="Times" w:eastAsia="Times New Roman" w:hAnsi="Times" w:cs="Times New Roman"/>
          <w:kern w:val="0"/>
          <w:sz w:val="20"/>
          <w:szCs w:val="20"/>
        </w:rPr>
      </w:pPr>
    </w:p>
    <w:p w14:paraId="5298934D" w14:textId="77777777" w:rsidR="00BC2632" w:rsidRPr="008A0E33" w:rsidRDefault="00BC2632" w:rsidP="0057484E">
      <w:pPr>
        <w:widowControl/>
        <w:ind w:right="65"/>
        <w:jc w:val="both"/>
        <w:rPr>
          <w:rFonts w:ascii="Times" w:hAnsi="Times" w:cs="Times New Roman"/>
          <w:kern w:val="0"/>
          <w:sz w:val="20"/>
          <w:szCs w:val="20"/>
        </w:rPr>
      </w:pPr>
      <w:r w:rsidRPr="008A0E33">
        <w:rPr>
          <w:rFonts w:ascii="Times New Roman" w:hAnsi="Times New Roman" w:cs="Times New Roman"/>
          <w:b/>
          <w:bCs/>
          <w:kern w:val="0"/>
        </w:rPr>
        <w:t>2. Theoretical Model</w:t>
      </w:r>
    </w:p>
    <w:p w14:paraId="4257DD65" w14:textId="18874876"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 xml:space="preserve">2.1 </w:t>
      </w:r>
      <w:r w:rsidR="00CA3355" w:rsidRPr="00CA3355">
        <w:rPr>
          <w:rFonts w:ascii="Times New Roman" w:eastAsia="Times New Roman" w:hAnsi="Times New Roman" w:cs="Times New Roman"/>
          <w:b/>
          <w:bCs/>
          <w:kern w:val="0"/>
        </w:rPr>
        <w:t>The rise of and conflicts in the entrepreneurial university</w:t>
      </w:r>
      <w:r w:rsidRPr="008A0E33">
        <w:rPr>
          <w:rFonts w:ascii="Times New Roman" w:eastAsia="Times New Roman" w:hAnsi="Times New Roman" w:cs="Times New Roman"/>
          <w:b/>
          <w:bCs/>
          <w:kern w:val="0"/>
        </w:rPr>
        <w:t xml:space="preserve"> </w:t>
      </w:r>
    </w:p>
    <w:p w14:paraId="32633294" w14:textId="77777777" w:rsidR="00CA3355" w:rsidRPr="00CA3355" w:rsidRDefault="00CA3355" w:rsidP="00CA3355">
      <w:pPr>
        <w:widowControl/>
        <w:ind w:firstLine="240"/>
        <w:jc w:val="both"/>
        <w:rPr>
          <w:rFonts w:ascii="Times New Roman" w:hAnsi="Times New Roman" w:cs="Times New Roman"/>
          <w:kern w:val="0"/>
        </w:rPr>
      </w:pPr>
      <w:r w:rsidRPr="00CA3355">
        <w:rPr>
          <w:rFonts w:ascii="Times New Roman" w:hAnsi="Times New Roman" w:cs="Times New Roman"/>
          <w:kern w:val="0"/>
        </w:rPr>
        <w:t xml:space="preserve">Contributing to the initiative to develop entrepreneurial universities, proponents of </w:t>
      </w:r>
      <w:r w:rsidRPr="00CA3355">
        <w:rPr>
          <w:rFonts w:ascii="Times New Roman" w:hAnsi="Times New Roman" w:cs="Times New Roman"/>
          <w:i/>
          <w:kern w:val="0"/>
        </w:rPr>
        <w:t>the new economics of science approach</w:t>
      </w:r>
      <w:r w:rsidRPr="00CA3355">
        <w:rPr>
          <w:rFonts w:ascii="Times New Roman" w:hAnsi="Times New Roman" w:cs="Times New Roman"/>
          <w:kern w:val="0"/>
        </w:rPr>
        <w:t xml:space="preserve"> argued that university researchers could not only be involved in knowledge creation but could also support the development of knowledge applications with an economic benefit (Nelson, 2004; </w:t>
      </w:r>
      <w:proofErr w:type="spellStart"/>
      <w:r w:rsidRPr="00CA3355">
        <w:rPr>
          <w:rFonts w:ascii="Times New Roman" w:hAnsi="Times New Roman" w:cs="Times New Roman"/>
          <w:kern w:val="0"/>
        </w:rPr>
        <w:t>Partha</w:t>
      </w:r>
      <w:proofErr w:type="spellEnd"/>
      <w:r w:rsidRPr="00CA3355">
        <w:rPr>
          <w:rFonts w:ascii="Times New Roman" w:hAnsi="Times New Roman" w:cs="Times New Roman"/>
          <w:kern w:val="0"/>
        </w:rPr>
        <w:t xml:space="preserve"> &amp; David, 1994; Stokes, 1997). For their part, advocates of </w:t>
      </w:r>
      <w:r w:rsidRPr="00CA3355">
        <w:rPr>
          <w:rFonts w:ascii="Times New Roman" w:hAnsi="Times New Roman" w:cs="Times New Roman"/>
          <w:i/>
          <w:kern w:val="0"/>
        </w:rPr>
        <w:t>the triple-helix approach</w:t>
      </w:r>
      <w:r w:rsidRPr="00CA3355">
        <w:rPr>
          <w:rFonts w:ascii="Times New Roman" w:hAnsi="Times New Roman" w:cs="Times New Roman"/>
          <w:kern w:val="0"/>
        </w:rPr>
        <w:t xml:space="preserve"> emphasized that developing an entrepreneurial university could promote effective interaction between academia, industry, and government and result in better regional and national innovation systems supporting industrial innovation (</w:t>
      </w:r>
      <w:proofErr w:type="spellStart"/>
      <w:r w:rsidRPr="00CA3355">
        <w:rPr>
          <w:rFonts w:ascii="Times New Roman" w:hAnsi="Times New Roman" w:cs="Times New Roman"/>
          <w:kern w:val="0"/>
        </w:rPr>
        <w:t>Etzkowitz</w:t>
      </w:r>
      <w:proofErr w:type="spellEnd"/>
      <w:r w:rsidRPr="00CA3355">
        <w:rPr>
          <w:rFonts w:ascii="Times New Roman" w:hAnsi="Times New Roman" w:cs="Times New Roman"/>
          <w:kern w:val="0"/>
        </w:rPr>
        <w:t xml:space="preserve">, 2003; Shane, 2004). In other words, the call for entrepreneurial universities implied that the professoriate should transit to new organizational trajectories and embrace a third mission, coordinated alongside the traditional ones of teaching and research, of commercializing work that would have a social and economic impact meeting the expectations of society (Chang et al., 2016; Clark, 1998; </w:t>
      </w:r>
      <w:proofErr w:type="spellStart"/>
      <w:r w:rsidRPr="00CA3355">
        <w:rPr>
          <w:rFonts w:ascii="Times New Roman" w:hAnsi="Times New Roman" w:cs="Times New Roman"/>
          <w:kern w:val="0"/>
        </w:rPr>
        <w:t>Etzkowitz</w:t>
      </w:r>
      <w:proofErr w:type="spellEnd"/>
      <w:r w:rsidRPr="00CA3355">
        <w:rPr>
          <w:rFonts w:ascii="Times New Roman" w:hAnsi="Times New Roman" w:cs="Times New Roman"/>
          <w:kern w:val="0"/>
        </w:rPr>
        <w:t>, 2017).</w:t>
      </w:r>
    </w:p>
    <w:p w14:paraId="72E4EF11" w14:textId="2298240B" w:rsidR="00BC2632" w:rsidRPr="008A0E33" w:rsidRDefault="00CA3355" w:rsidP="00CA3355">
      <w:pPr>
        <w:widowControl/>
        <w:ind w:firstLine="240"/>
        <w:jc w:val="both"/>
        <w:rPr>
          <w:rFonts w:ascii="Times" w:hAnsi="Times" w:cs="Times New Roman"/>
          <w:kern w:val="0"/>
          <w:sz w:val="20"/>
          <w:szCs w:val="20"/>
        </w:rPr>
      </w:pPr>
      <w:r w:rsidRPr="00CA3355">
        <w:rPr>
          <w:rFonts w:ascii="Times New Roman" w:hAnsi="Times New Roman" w:cs="Times New Roman"/>
          <w:kern w:val="0"/>
        </w:rPr>
        <w:t xml:space="preserve">However, development of the entrepreneurial university leads in directions that are in tension with the traditional goals and norms of science (Ambos, </w:t>
      </w:r>
      <w:proofErr w:type="spellStart"/>
      <w:r w:rsidRPr="00CA3355">
        <w:rPr>
          <w:rFonts w:ascii="Times New Roman" w:hAnsi="Times New Roman" w:cs="Times New Roman"/>
          <w:kern w:val="0"/>
        </w:rPr>
        <w:t>Mäkelä</w:t>
      </w:r>
      <w:proofErr w:type="spellEnd"/>
      <w:r w:rsidRPr="00CA3355">
        <w:rPr>
          <w:rFonts w:ascii="Times New Roman" w:hAnsi="Times New Roman" w:cs="Times New Roman"/>
          <w:kern w:val="0"/>
        </w:rPr>
        <w:t xml:space="preserve">, </w:t>
      </w:r>
      <w:proofErr w:type="spellStart"/>
      <w:r w:rsidRPr="00CA3355">
        <w:rPr>
          <w:rFonts w:ascii="Times New Roman" w:hAnsi="Times New Roman" w:cs="Times New Roman"/>
          <w:kern w:val="0"/>
        </w:rPr>
        <w:t>Birkinshaw</w:t>
      </w:r>
      <w:proofErr w:type="spellEnd"/>
      <w:r w:rsidRPr="00CA3355">
        <w:rPr>
          <w:rFonts w:ascii="Times New Roman" w:hAnsi="Times New Roman" w:cs="Times New Roman"/>
          <w:kern w:val="0"/>
        </w:rPr>
        <w:t xml:space="preserve">, &amp; </w:t>
      </w:r>
      <w:proofErr w:type="spellStart"/>
      <w:r w:rsidRPr="00CA3355">
        <w:rPr>
          <w:rFonts w:ascii="Times New Roman" w:hAnsi="Times New Roman" w:cs="Times New Roman"/>
          <w:kern w:val="0"/>
        </w:rPr>
        <w:t>D'Este</w:t>
      </w:r>
      <w:proofErr w:type="spellEnd"/>
      <w:r w:rsidRPr="00CA3355">
        <w:rPr>
          <w:rFonts w:ascii="Times New Roman" w:hAnsi="Times New Roman" w:cs="Times New Roman"/>
          <w:kern w:val="0"/>
        </w:rPr>
        <w:t xml:space="preserve">, 2008; Haas &amp; Park, 2010; Jain et al., 2009; Philpott, Dooley, O'Reilly, &amp; Lupton, 2011). The critical problem is the inherent conflict between traditional academic paradigms (e.g., talent training, publishing academic results, and pursuing academic reputation) and industrial or entrepreneurial ones (e.g., consulting, contract research, patenting and licensing research results, spin-off formation, and pursuing economic and societal returns). From the organizational development perspective, the two paradigms have different organizational settings at the two ends of a spectrum of scientific work (Philpott et al., 2011; </w:t>
      </w:r>
      <w:proofErr w:type="spellStart"/>
      <w:r w:rsidRPr="00CA3355">
        <w:rPr>
          <w:rFonts w:ascii="Times New Roman" w:hAnsi="Times New Roman" w:cs="Times New Roman"/>
          <w:kern w:val="0"/>
        </w:rPr>
        <w:t>Sauermann</w:t>
      </w:r>
      <w:proofErr w:type="spellEnd"/>
      <w:r w:rsidRPr="00CA3355">
        <w:rPr>
          <w:rFonts w:ascii="Times New Roman" w:hAnsi="Times New Roman" w:cs="Times New Roman"/>
          <w:kern w:val="0"/>
        </w:rPr>
        <w:t xml:space="preserve"> &amp; Stephan, 2013). Academic logic implies a focus on basic and curiosity-oriented research (Ambos et al., 2008). Industrial </w:t>
      </w:r>
      <w:r w:rsidRPr="00CA3355">
        <w:rPr>
          <w:rFonts w:ascii="Times New Roman" w:hAnsi="Times New Roman" w:cs="Times New Roman"/>
          <w:kern w:val="0"/>
        </w:rPr>
        <w:lastRenderedPageBreak/>
        <w:t>logic, relatively speaking, leads to undertakings involving less risk and more direct commercial research. Second, the two follow different norms of knowledge dissemination (</w:t>
      </w:r>
      <w:proofErr w:type="spellStart"/>
      <w:r w:rsidRPr="00CA3355">
        <w:rPr>
          <w:rFonts w:ascii="Times New Roman" w:hAnsi="Times New Roman" w:cs="Times New Roman"/>
          <w:kern w:val="0"/>
        </w:rPr>
        <w:t>Kalar</w:t>
      </w:r>
      <w:proofErr w:type="spellEnd"/>
      <w:r w:rsidRPr="00CA3355">
        <w:rPr>
          <w:rFonts w:ascii="Times New Roman" w:hAnsi="Times New Roman" w:cs="Times New Roman"/>
          <w:kern w:val="0"/>
        </w:rPr>
        <w:t xml:space="preserve"> &amp; </w:t>
      </w:r>
      <w:proofErr w:type="spellStart"/>
      <w:r w:rsidRPr="00CA3355">
        <w:rPr>
          <w:rFonts w:ascii="Times New Roman" w:hAnsi="Times New Roman" w:cs="Times New Roman"/>
          <w:kern w:val="0"/>
        </w:rPr>
        <w:t>Antoncic</w:t>
      </w:r>
      <w:proofErr w:type="spellEnd"/>
      <w:r w:rsidRPr="00CA3355">
        <w:rPr>
          <w:rFonts w:ascii="Times New Roman" w:hAnsi="Times New Roman" w:cs="Times New Roman"/>
          <w:kern w:val="0"/>
        </w:rPr>
        <w:t>, 2015). Academic logic tends to encourage open disclosure and contribution to the scientific commons. On the other hand, industrial logic seeks beneficial ownership and privatization of intellectual property. These organizational conflicts may impede universities’ moves towards a more entrepreneurial orientation, and much effort may be needed to encourage universities to engage in research commercialization (</w:t>
      </w:r>
      <w:proofErr w:type="spellStart"/>
      <w:r w:rsidRPr="00CA3355">
        <w:rPr>
          <w:rFonts w:ascii="Times New Roman" w:hAnsi="Times New Roman" w:cs="Times New Roman"/>
          <w:kern w:val="0"/>
        </w:rPr>
        <w:t>Bercovitz</w:t>
      </w:r>
      <w:proofErr w:type="spellEnd"/>
      <w:r w:rsidRPr="00CA3355">
        <w:rPr>
          <w:rFonts w:ascii="Times New Roman" w:hAnsi="Times New Roman" w:cs="Times New Roman"/>
          <w:kern w:val="0"/>
        </w:rPr>
        <w:t xml:space="preserve"> &amp; Feldman, 2008; Haas &amp; Park, 2010; Jain et al., 2009).</w:t>
      </w:r>
      <w:r w:rsidR="00BC2632" w:rsidRPr="008A0E33">
        <w:rPr>
          <w:rFonts w:ascii="Times New Roman" w:hAnsi="Times New Roman" w:cs="Times New Roman"/>
          <w:kern w:val="0"/>
        </w:rPr>
        <w:t xml:space="preserve"> </w:t>
      </w:r>
    </w:p>
    <w:p w14:paraId="53B463F3" w14:textId="77777777"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2.2 Pasteurian orientation: Combining Pasteur’s quadrant and organizational ambidexterity</w:t>
      </w:r>
    </w:p>
    <w:p w14:paraId="4A6B3605" w14:textId="5C3035F2" w:rsidR="00BC2632" w:rsidRPr="008A0E33" w:rsidRDefault="00CA3355" w:rsidP="0057484E">
      <w:pPr>
        <w:widowControl/>
        <w:ind w:firstLine="240"/>
        <w:jc w:val="both"/>
        <w:rPr>
          <w:rFonts w:ascii="Times" w:hAnsi="Times" w:cs="Times New Roman"/>
          <w:kern w:val="0"/>
          <w:sz w:val="20"/>
          <w:szCs w:val="20"/>
        </w:rPr>
      </w:pPr>
      <w:r w:rsidRPr="00CA3355">
        <w:rPr>
          <w:rFonts w:ascii="Times New Roman" w:hAnsi="Times New Roman" w:cs="Times New Roman"/>
          <w:kern w:val="0"/>
        </w:rPr>
        <w:t>In creating entrepreneurial universities, coordinating the conflict in an organizational setting between the academic and industrial logics is critical work. Stokes (1997) proposed a framework that helps here, transforming the straight-line spectrum along which the strategic direction of scientific research ranges into a two-dimensional quadrant model. Stokes (1997) folded the two ends of the line model into the two orthogonal axes of a quadrant model. One axis is knowledge creation, which means enhancing our understanding of the world and pushing back the frontiers of knowledge. The other one is knowledge utilization, which means resolving specific technical or social problems and realizing the market potential of innovation (Figure 1)</w:t>
      </w:r>
      <w:proofErr w:type="gramStart"/>
      <w:r w:rsidRPr="00CA3355">
        <w:rPr>
          <w:rFonts w:ascii="Times New Roman" w:hAnsi="Times New Roman" w:cs="Times New Roman"/>
          <w:kern w:val="0"/>
        </w:rPr>
        <w:t>.</w:t>
      </w:r>
      <w:r w:rsidR="00BC2632" w:rsidRPr="008A0E33">
        <w:rPr>
          <w:rFonts w:ascii="Times New Roman" w:hAnsi="Times New Roman" w:cs="Times New Roman"/>
          <w:kern w:val="0"/>
        </w:rPr>
        <w:t>.</w:t>
      </w:r>
      <w:proofErr w:type="gramEnd"/>
    </w:p>
    <w:p w14:paraId="0E04485E"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558FCDD"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Figure 1 Here</w:t>
      </w:r>
    </w:p>
    <w:p w14:paraId="51E98566"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7E43C3E4" w14:textId="77777777" w:rsidR="00CA3355" w:rsidRPr="00CA3355" w:rsidRDefault="00CA3355" w:rsidP="00CA3355">
      <w:pPr>
        <w:widowControl/>
        <w:ind w:firstLine="240"/>
        <w:jc w:val="both"/>
        <w:rPr>
          <w:rFonts w:ascii="Times New Roman" w:hAnsi="Times New Roman" w:cs="Times New Roman"/>
          <w:kern w:val="0"/>
        </w:rPr>
      </w:pPr>
      <w:r w:rsidRPr="00CA3355">
        <w:rPr>
          <w:rFonts w:ascii="Times New Roman" w:hAnsi="Times New Roman" w:cs="Times New Roman"/>
          <w:kern w:val="0"/>
        </w:rPr>
        <w:t xml:space="preserve">Research in the upper-left cell, referred to as </w:t>
      </w:r>
      <w:r w:rsidRPr="00CA3355">
        <w:rPr>
          <w:rFonts w:ascii="Times New Roman" w:hAnsi="Times New Roman" w:cs="Times New Roman"/>
          <w:i/>
          <w:kern w:val="0"/>
        </w:rPr>
        <w:t>Bohr’s quadrant</w:t>
      </w:r>
      <w:r w:rsidRPr="00CA3355">
        <w:rPr>
          <w:rFonts w:ascii="Times New Roman" w:hAnsi="Times New Roman" w:cs="Times New Roman"/>
          <w:kern w:val="0"/>
        </w:rPr>
        <w:t xml:space="preserve">, is basic research pursued with little consideration of its practical application. The lower-right cell, called </w:t>
      </w:r>
      <w:r w:rsidRPr="00CA3355">
        <w:rPr>
          <w:rFonts w:ascii="Times New Roman" w:hAnsi="Times New Roman" w:cs="Times New Roman"/>
          <w:i/>
          <w:kern w:val="0"/>
        </w:rPr>
        <w:t>Edison’s quadrant</w:t>
      </w:r>
      <w:r w:rsidRPr="00CA3355">
        <w:rPr>
          <w:rFonts w:ascii="Times New Roman" w:hAnsi="Times New Roman" w:cs="Times New Roman"/>
          <w:kern w:val="0"/>
        </w:rPr>
        <w:t xml:space="preserve">, characterizes research directed towards technological development which seeks more efficient knowledge utilization. The lower-left quadrant Stokes (1997) called Peterson’s quadrant and indicates research that neither creates new knowledge nor extends the use of existing knowledge. Finally, in </w:t>
      </w:r>
      <w:r w:rsidRPr="00CA3355">
        <w:rPr>
          <w:rFonts w:ascii="Times New Roman" w:hAnsi="Times New Roman" w:cs="Times New Roman"/>
          <w:i/>
          <w:kern w:val="0"/>
        </w:rPr>
        <w:t>Pasteur’s quadrant</w:t>
      </w:r>
      <w:r w:rsidRPr="00CA3355">
        <w:rPr>
          <w:rFonts w:ascii="Times New Roman" w:hAnsi="Times New Roman" w:cs="Times New Roman"/>
          <w:kern w:val="0"/>
        </w:rPr>
        <w:t xml:space="preserve"> is use-inspired basic research, which Stokes (1997) proposed academic scientists should be encouraged to pursue, both exploring scientific understanding and exploiting it as technology to meet practical needs.</w:t>
      </w:r>
    </w:p>
    <w:p w14:paraId="08BEF73F" w14:textId="77777777" w:rsidR="00CA3355" w:rsidRPr="00CA3355" w:rsidRDefault="00CA3355" w:rsidP="00CA3355">
      <w:pPr>
        <w:widowControl/>
        <w:ind w:firstLine="240"/>
        <w:jc w:val="both"/>
        <w:rPr>
          <w:rFonts w:ascii="Times New Roman" w:hAnsi="Times New Roman" w:cs="Times New Roman"/>
          <w:kern w:val="0"/>
        </w:rPr>
      </w:pPr>
      <w:r w:rsidRPr="00CA3355">
        <w:rPr>
          <w:rFonts w:ascii="Times New Roman" w:hAnsi="Times New Roman" w:cs="Times New Roman"/>
          <w:kern w:val="0"/>
        </w:rPr>
        <w:t>Universities moving in the direction of Pasteur’s quadrant need to create ambidextrous structures and contexts that can underpin the pursuit of research excellence and research commercialization simultaneously (</w:t>
      </w:r>
      <w:proofErr w:type="spellStart"/>
      <w:r w:rsidRPr="00CA3355">
        <w:rPr>
          <w:rFonts w:ascii="Times New Roman" w:hAnsi="Times New Roman" w:cs="Times New Roman"/>
          <w:kern w:val="0"/>
        </w:rPr>
        <w:t>Tushman</w:t>
      </w:r>
      <w:proofErr w:type="spellEnd"/>
      <w:r w:rsidRPr="00CA3355">
        <w:rPr>
          <w:rFonts w:ascii="Times New Roman" w:hAnsi="Times New Roman" w:cs="Times New Roman"/>
          <w:kern w:val="0"/>
        </w:rPr>
        <w:t xml:space="preserve"> and O’Reilly, </w:t>
      </w:r>
      <w:r w:rsidRPr="00CA3355">
        <w:rPr>
          <w:rFonts w:ascii="Times New Roman" w:hAnsi="Times New Roman" w:cs="Times New Roman"/>
          <w:kern w:val="0"/>
        </w:rPr>
        <w:lastRenderedPageBreak/>
        <w:t xml:space="preserve">1996; </w:t>
      </w:r>
      <w:proofErr w:type="spellStart"/>
      <w:r w:rsidRPr="00CA3355">
        <w:rPr>
          <w:rFonts w:ascii="Times New Roman" w:hAnsi="Times New Roman" w:cs="Times New Roman"/>
          <w:kern w:val="0"/>
        </w:rPr>
        <w:t>Raisch</w:t>
      </w:r>
      <w:proofErr w:type="spellEnd"/>
      <w:r w:rsidRPr="00CA3355">
        <w:rPr>
          <w:rFonts w:ascii="Times New Roman" w:hAnsi="Times New Roman" w:cs="Times New Roman"/>
          <w:kern w:val="0"/>
        </w:rPr>
        <w:t xml:space="preserve"> and </w:t>
      </w:r>
      <w:proofErr w:type="spellStart"/>
      <w:r w:rsidRPr="00CA3355">
        <w:rPr>
          <w:rFonts w:ascii="Times New Roman" w:hAnsi="Times New Roman" w:cs="Times New Roman"/>
          <w:kern w:val="0"/>
        </w:rPr>
        <w:t>Birkinshaw</w:t>
      </w:r>
      <w:proofErr w:type="spellEnd"/>
      <w:r w:rsidRPr="00CA3355">
        <w:rPr>
          <w:rFonts w:ascii="Times New Roman" w:hAnsi="Times New Roman" w:cs="Times New Roman"/>
          <w:kern w:val="0"/>
        </w:rPr>
        <w:t xml:space="preserve">, 2008). In a re-conceptualization of Pasteur’s quadrant and organizational ambidexterity that extends analysis of these ambidextrous structures and contexts, this paper argues Pasteurian Orientation (PO) includes two sub-orientations: a knowledge creation orientation (KCO) and a knowledge utilization orientation (KUO), creating a two-dimensional surface on which the major activities which distinguish an entrepreneurial university can be mapped. Moreover, we posit the effect of the two orientations is multiplicative and that PO is equivalent to the knowledge creation orientation multiplied by the knowledge utilization orientation, as shown in Equation 1 (Gibson &amp; </w:t>
      </w:r>
      <w:proofErr w:type="spellStart"/>
      <w:r w:rsidRPr="00CA3355">
        <w:rPr>
          <w:rFonts w:ascii="Times New Roman" w:hAnsi="Times New Roman" w:cs="Times New Roman"/>
          <w:kern w:val="0"/>
        </w:rPr>
        <w:t>Birkinshaw</w:t>
      </w:r>
      <w:proofErr w:type="spellEnd"/>
      <w:r w:rsidRPr="00CA3355">
        <w:rPr>
          <w:rFonts w:ascii="Times New Roman" w:hAnsi="Times New Roman" w:cs="Times New Roman"/>
          <w:kern w:val="0"/>
        </w:rPr>
        <w:t xml:space="preserve">, 2004). Conceptually, the PO could be regarded as </w:t>
      </w:r>
      <w:r w:rsidRPr="00CA3355">
        <w:rPr>
          <w:rFonts w:ascii="Times New Roman" w:hAnsi="Times New Roman" w:cs="Times New Roman"/>
          <w:i/>
          <w:kern w:val="0"/>
        </w:rPr>
        <w:t>the organizational propensity to develop organizational strategies, processes, and structures to achieve, simultaneously, knowledge creation and knowledge utilization</w:t>
      </w:r>
      <w:r w:rsidRPr="00CA3355">
        <w:rPr>
          <w:rFonts w:ascii="Times New Roman" w:hAnsi="Times New Roman" w:cs="Times New Roman"/>
          <w:kern w:val="0"/>
        </w:rPr>
        <w:t>.</w:t>
      </w:r>
    </w:p>
    <w:p w14:paraId="1345F225" w14:textId="4D2E24BA" w:rsidR="00BC2632" w:rsidRPr="00CA3355" w:rsidRDefault="00BC2632" w:rsidP="0057484E">
      <w:pPr>
        <w:widowControl/>
        <w:ind w:firstLine="240"/>
        <w:jc w:val="both"/>
        <w:rPr>
          <w:rFonts w:ascii="Times New Roman" w:hAnsi="Times New Roman" w:cs="Times New Roman"/>
          <w:kern w:val="0"/>
        </w:rPr>
      </w:pPr>
    </w:p>
    <w:p w14:paraId="78D05A18" w14:textId="59BE4230"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PO= KCO*KUO…………………………Equation 1</w:t>
      </w:r>
    </w:p>
    <w:p w14:paraId="6C1D3809" w14:textId="7E81B440" w:rsidR="00BC2632" w:rsidRPr="008A0E33" w:rsidRDefault="00CA3355" w:rsidP="0057484E">
      <w:pPr>
        <w:widowControl/>
        <w:ind w:firstLine="240"/>
        <w:jc w:val="both"/>
        <w:rPr>
          <w:rFonts w:ascii="Times New Roman" w:hAnsi="Times New Roman" w:cs="Times New Roman"/>
          <w:kern w:val="0"/>
        </w:rPr>
      </w:pPr>
      <w:r w:rsidRPr="00F57A35">
        <w:rPr>
          <w:rFonts w:ascii="Times New Roman" w:hAnsi="Times New Roman" w:cs="Times New Roman"/>
        </w:rPr>
        <w:t xml:space="preserve">Furthermore, each sub-orientation consists of </w:t>
      </w:r>
      <w:r w:rsidRPr="00F57A35">
        <w:rPr>
          <w:rFonts w:ascii="Times New Roman" w:hAnsi="Times New Roman" w:cs="Times New Roman"/>
          <w:i/>
        </w:rPr>
        <w:t>organizational support</w:t>
      </w:r>
      <w:r w:rsidRPr="00F57A35">
        <w:rPr>
          <w:rFonts w:ascii="Times New Roman" w:hAnsi="Times New Roman" w:cs="Times New Roman"/>
        </w:rPr>
        <w:t xml:space="preserve"> and </w:t>
      </w:r>
      <w:r w:rsidRPr="00F57A35">
        <w:rPr>
          <w:rFonts w:ascii="Times New Roman" w:hAnsi="Times New Roman" w:cs="Times New Roman"/>
          <w:i/>
        </w:rPr>
        <w:t>faculty engagement</w:t>
      </w:r>
      <w:r w:rsidRPr="00F57A35">
        <w:rPr>
          <w:rFonts w:ascii="Times New Roman" w:hAnsi="Times New Roman" w:cs="Times New Roman"/>
        </w:rPr>
        <w:t xml:space="preserve">. </w:t>
      </w:r>
      <w:r w:rsidRPr="00F57A35">
        <w:rPr>
          <w:rFonts w:ascii="Times New Roman" w:hAnsi="Times New Roman" w:cs="Times New Roman"/>
          <w:i/>
        </w:rPr>
        <w:t>Organizational support</w:t>
      </w:r>
      <w:r w:rsidRPr="00F57A35">
        <w:rPr>
          <w:rFonts w:ascii="Times New Roman" w:hAnsi="Times New Roman" w:cs="Times New Roman"/>
        </w:rPr>
        <w:t xml:space="preserve"> is associated with organizational resources, incentives, and supervisor and colleague consensus (</w:t>
      </w:r>
      <w:proofErr w:type="spellStart"/>
      <w:r w:rsidRPr="00F57A35">
        <w:rPr>
          <w:rFonts w:ascii="Times New Roman" w:hAnsi="Times New Roman" w:cs="Times New Roman"/>
        </w:rPr>
        <w:t>Bercovitz</w:t>
      </w:r>
      <w:proofErr w:type="spellEnd"/>
      <w:r w:rsidRPr="00F57A35">
        <w:rPr>
          <w:rFonts w:ascii="Times New Roman" w:hAnsi="Times New Roman" w:cs="Times New Roman"/>
        </w:rPr>
        <w:t xml:space="preserve"> &amp; Feldman, 2008; </w:t>
      </w:r>
      <w:proofErr w:type="spellStart"/>
      <w:r w:rsidRPr="00F57A35">
        <w:rPr>
          <w:rFonts w:ascii="Times New Roman" w:hAnsi="Times New Roman" w:cs="Times New Roman"/>
        </w:rPr>
        <w:t>Datta</w:t>
      </w:r>
      <w:proofErr w:type="spellEnd"/>
      <w:r w:rsidRPr="00F57A35">
        <w:rPr>
          <w:rFonts w:ascii="Times New Roman" w:hAnsi="Times New Roman" w:cs="Times New Roman"/>
        </w:rPr>
        <w:t xml:space="preserve">, Mukherjee, &amp; Jessup, 2015) to support knowledge creation and knowledge utilization. </w:t>
      </w:r>
      <w:r w:rsidRPr="00F57A35">
        <w:rPr>
          <w:rFonts w:ascii="Times New Roman" w:hAnsi="Times New Roman" w:cs="Times New Roman"/>
          <w:i/>
        </w:rPr>
        <w:t>Faculty engagement</w:t>
      </w:r>
      <w:r w:rsidRPr="00F57A35">
        <w:rPr>
          <w:rFonts w:ascii="Times New Roman" w:hAnsi="Times New Roman" w:cs="Times New Roman"/>
        </w:rPr>
        <w:t xml:space="preserve"> represents faculty members’ intentions and capabilities regarding time, awareness, experience, and research portfolios in their knowledge creation and knowledge utilization activities (Chang, Yang, &amp; Chen, 2009; Jain et al., 2009). We can draw a figure to illustrate the composition of PO (Figure 2)</w:t>
      </w:r>
      <w:r w:rsidR="00B71C96" w:rsidRPr="008A0E33">
        <w:rPr>
          <w:rFonts w:ascii="Times New Roman" w:hAnsi="Times New Roman" w:cs="Times New Roman"/>
          <w:kern w:val="0"/>
        </w:rPr>
        <w:t>.</w:t>
      </w:r>
    </w:p>
    <w:p w14:paraId="40DA0FB7" w14:textId="77777777" w:rsidR="00B71C96" w:rsidRPr="008A0E33" w:rsidRDefault="00B71C96"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0899BF51" w14:textId="78C19824" w:rsidR="00B71C96" w:rsidRPr="008A0E33" w:rsidRDefault="00B71C96"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Figure 2 Here</w:t>
      </w:r>
    </w:p>
    <w:p w14:paraId="536E04CB" w14:textId="57F475FA" w:rsidR="001E78F5" w:rsidRPr="008A0E33" w:rsidRDefault="00B71C96"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60827B31" w14:textId="52A746C9" w:rsidR="007367B4" w:rsidRPr="008A0E33" w:rsidRDefault="00BC2632" w:rsidP="0057484E">
      <w:pPr>
        <w:widowControl/>
        <w:outlineLvl w:val="1"/>
        <w:rPr>
          <w:rFonts w:ascii="Times" w:hAnsi="Times" w:cs="Times New Roman"/>
          <w:b/>
          <w:bCs/>
          <w:kern w:val="0"/>
          <w:sz w:val="36"/>
          <w:szCs w:val="36"/>
        </w:rPr>
      </w:pPr>
      <w:r w:rsidRPr="008A0E33">
        <w:rPr>
          <w:rFonts w:ascii="Times New Roman" w:eastAsia="Times New Roman" w:hAnsi="Times New Roman" w:cs="Times New Roman"/>
          <w:b/>
          <w:bCs/>
          <w:kern w:val="0"/>
        </w:rPr>
        <w:t>2.3 Contextual antecedent</w:t>
      </w:r>
      <w:r w:rsidR="00CD074B" w:rsidRPr="008A0E33">
        <w:rPr>
          <w:rFonts w:ascii="Times New Roman" w:eastAsia="Times New Roman" w:hAnsi="Times New Roman" w:cs="Times New Roman"/>
          <w:b/>
          <w:bCs/>
          <w:kern w:val="0"/>
        </w:rPr>
        <w:t>s</w:t>
      </w:r>
    </w:p>
    <w:p w14:paraId="79B25D58" w14:textId="77777777" w:rsidR="00CA3355" w:rsidRPr="00CA3355" w:rsidRDefault="00CA3355" w:rsidP="00CA3355">
      <w:pPr>
        <w:widowControl/>
        <w:ind w:left="403" w:rightChars="200" w:right="480"/>
        <w:jc w:val="both"/>
        <w:rPr>
          <w:rFonts w:ascii="Times New Roman" w:hAnsi="Times New Roman" w:cs="Times New Roman"/>
          <w:kern w:val="0"/>
        </w:rPr>
      </w:pPr>
      <w:r w:rsidRPr="00CA3355">
        <w:rPr>
          <w:rFonts w:ascii="Times New Roman" w:hAnsi="Times New Roman" w:cs="Times New Roman"/>
          <w:kern w:val="0"/>
        </w:rPr>
        <w:t xml:space="preserve">In the creation of the entrepreneurial university, university departments are the </w:t>
      </w:r>
      <w:proofErr w:type="spellStart"/>
      <w:r w:rsidRPr="00CA3355">
        <w:rPr>
          <w:rFonts w:ascii="Times New Roman" w:hAnsi="Times New Roman" w:cs="Times New Roman"/>
          <w:kern w:val="0"/>
        </w:rPr>
        <w:t>meso</w:t>
      </w:r>
      <w:proofErr w:type="spellEnd"/>
      <w:r w:rsidRPr="00CA3355">
        <w:rPr>
          <w:rFonts w:ascii="Times New Roman" w:hAnsi="Times New Roman" w:cs="Times New Roman"/>
          <w:kern w:val="0"/>
        </w:rPr>
        <w:t>-level unit standing between the institutional contexts of the university and its faculty members, performing a crucial role in integration and engagement in the changing university paradigm (Ambos et al., 2008; Chang et al., 2016; Gibb, Haskins, &amp; Robertson, 2013; Jain et al., 2009). Jain et al. (2009) argue that universities with appropriate environmental contexts will encourage internal actors to respond to the transformation of the university paradigm (</w:t>
      </w:r>
      <w:proofErr w:type="spellStart"/>
      <w:r w:rsidRPr="00CA3355">
        <w:rPr>
          <w:rFonts w:ascii="Times New Roman" w:hAnsi="Times New Roman" w:cs="Times New Roman"/>
          <w:kern w:val="0"/>
        </w:rPr>
        <w:t>Perkmann</w:t>
      </w:r>
      <w:proofErr w:type="spellEnd"/>
      <w:r w:rsidRPr="00CA3355">
        <w:rPr>
          <w:rFonts w:ascii="Times New Roman" w:hAnsi="Times New Roman" w:cs="Times New Roman"/>
          <w:kern w:val="0"/>
        </w:rPr>
        <w:t xml:space="preserve"> et al., 2013). And organizational studies have found organizations characterized by greater environmental munificence are </w:t>
      </w:r>
      <w:r w:rsidRPr="00CA3355">
        <w:rPr>
          <w:rFonts w:ascii="Times New Roman" w:hAnsi="Times New Roman" w:cs="Times New Roman"/>
          <w:kern w:val="0"/>
        </w:rPr>
        <w:lastRenderedPageBreak/>
        <w:t xml:space="preserve">more open to adopting new strategies and structures, even stabilizing new practices in turbulent environments (Boyne &amp; Meier, 2009; Keats &amp; </w:t>
      </w:r>
      <w:proofErr w:type="spellStart"/>
      <w:r w:rsidRPr="00CA3355">
        <w:rPr>
          <w:rFonts w:ascii="Times New Roman" w:hAnsi="Times New Roman" w:cs="Times New Roman"/>
          <w:kern w:val="0"/>
        </w:rPr>
        <w:t>Hitt</w:t>
      </w:r>
      <w:proofErr w:type="spellEnd"/>
      <w:r w:rsidRPr="00CA3355">
        <w:rPr>
          <w:rFonts w:ascii="Times New Roman" w:hAnsi="Times New Roman" w:cs="Times New Roman"/>
          <w:kern w:val="0"/>
        </w:rPr>
        <w:t>, 1988). The level of munificence here refers to the availability of resources and support in the environmental context which could help an organization adopt new practices to sustain organizational growth and changes (</w:t>
      </w:r>
      <w:proofErr w:type="spellStart"/>
      <w:r w:rsidRPr="00CA3355">
        <w:rPr>
          <w:rFonts w:ascii="Times New Roman" w:hAnsi="Times New Roman" w:cs="Times New Roman"/>
          <w:kern w:val="0"/>
        </w:rPr>
        <w:t>Dess</w:t>
      </w:r>
      <w:proofErr w:type="spellEnd"/>
      <w:r w:rsidRPr="00CA3355">
        <w:rPr>
          <w:rFonts w:ascii="Times New Roman" w:hAnsi="Times New Roman" w:cs="Times New Roman"/>
          <w:kern w:val="0"/>
        </w:rPr>
        <w:t xml:space="preserve"> &amp; Beard, 1984; </w:t>
      </w:r>
      <w:proofErr w:type="spellStart"/>
      <w:r w:rsidRPr="00CA3355">
        <w:rPr>
          <w:rFonts w:ascii="Times New Roman" w:hAnsi="Times New Roman" w:cs="Times New Roman"/>
          <w:kern w:val="0"/>
        </w:rPr>
        <w:t>Goll</w:t>
      </w:r>
      <w:proofErr w:type="spellEnd"/>
      <w:r w:rsidRPr="00CA3355">
        <w:rPr>
          <w:rFonts w:ascii="Times New Roman" w:hAnsi="Times New Roman" w:cs="Times New Roman"/>
          <w:kern w:val="0"/>
        </w:rPr>
        <w:t xml:space="preserve"> &amp; Rasheed, 2005; </w:t>
      </w:r>
      <w:proofErr w:type="spellStart"/>
      <w:r w:rsidRPr="00CA3355">
        <w:rPr>
          <w:rFonts w:ascii="Times New Roman" w:hAnsi="Times New Roman" w:cs="Times New Roman"/>
          <w:kern w:val="0"/>
        </w:rPr>
        <w:t>Haveman</w:t>
      </w:r>
      <w:proofErr w:type="spellEnd"/>
      <w:r w:rsidRPr="00CA3355">
        <w:rPr>
          <w:rFonts w:ascii="Times New Roman" w:hAnsi="Times New Roman" w:cs="Times New Roman"/>
          <w:kern w:val="0"/>
        </w:rPr>
        <w:t xml:space="preserve">, 1993). To create the entrepreneurial university, Clark (2004) suggests that a managerial group can provide a sustainable commitment to the new university paradigm to encourage internal actors to build an integrated context that will respond to the changes. O’Reilly and </w:t>
      </w:r>
      <w:proofErr w:type="spellStart"/>
      <w:r w:rsidRPr="00CA3355">
        <w:rPr>
          <w:rFonts w:ascii="Times New Roman" w:hAnsi="Times New Roman" w:cs="Times New Roman"/>
          <w:kern w:val="0"/>
        </w:rPr>
        <w:t>Tushman</w:t>
      </w:r>
      <w:proofErr w:type="spellEnd"/>
      <w:r w:rsidRPr="00CA3355">
        <w:rPr>
          <w:rFonts w:ascii="Times New Roman" w:hAnsi="Times New Roman" w:cs="Times New Roman"/>
          <w:kern w:val="0"/>
        </w:rPr>
        <w:t xml:space="preserve"> (2008) point out that senior managers can adapt, integrate, and reconfigure organizational skills and resources to orchestrate both new and existing routines suitable for the changing environment. Glenna, Welsh, Ervin, Lacy, and Biscotti (2011) recommend that university administrators provide sufficient commitment to a variety of incentive structures, funding sources, policies, and practices to allow it to invest in a diverse set of scientific research values. Gibb et al. (2013) consider that it is possible for university administrators to remove barriers and provide abundant resources and support associated with the entrepreneurial paradigm as well as carry on its existing culture, mission, and strategy. Above all, a university administration should continuously create organizational munificence to encourage internal actors to realign with the mission of the university (Andrews &amp; Johansen, 2012; Smith, Mitchell, &amp; Summer, 1984; </w:t>
      </w:r>
      <w:proofErr w:type="spellStart"/>
      <w:r w:rsidRPr="00CA3355">
        <w:rPr>
          <w:rFonts w:ascii="Times New Roman" w:hAnsi="Times New Roman" w:cs="Times New Roman"/>
          <w:kern w:val="0"/>
        </w:rPr>
        <w:t>Tilcsik</w:t>
      </w:r>
      <w:proofErr w:type="spellEnd"/>
      <w:r w:rsidRPr="00CA3355">
        <w:rPr>
          <w:rFonts w:ascii="Times New Roman" w:hAnsi="Times New Roman" w:cs="Times New Roman"/>
          <w:kern w:val="0"/>
        </w:rPr>
        <w:t>, 2014; Wu, 2008). Therefore, this paper argues that the senior team (i.e., university administrators) has to provide sufficient organizational munificence to pursue research excellence and commercialization, and the degree to which it does this will influence departments’ enhancement and simultaneous integration of KCO and KUO. Thus:</w:t>
      </w:r>
    </w:p>
    <w:p w14:paraId="4D1554B9" w14:textId="1767A018" w:rsidR="00B44776" w:rsidRPr="008A0E33" w:rsidRDefault="00B44776"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Hypothesis 1</w:t>
      </w:r>
      <w:r w:rsidRPr="008A0E33">
        <w:rPr>
          <w:rFonts w:ascii="Times New Roman" w:hAnsi="Times New Roman" w:cs="Times New Roman"/>
          <w:i/>
          <w:iCs/>
          <w:kern w:val="0"/>
        </w:rPr>
        <w:t>：</w:t>
      </w:r>
      <w:r w:rsidR="00483782" w:rsidRPr="008A0E33">
        <w:rPr>
          <w:rFonts w:ascii="Times New Roman" w:hAnsi="Times New Roman" w:cs="Times New Roman"/>
          <w:i/>
          <w:iCs/>
          <w:kern w:val="0"/>
        </w:rPr>
        <w:t xml:space="preserve">The degree of organizational munificence </w:t>
      </w:r>
      <w:r w:rsidR="00483782" w:rsidRPr="008A0E33">
        <w:rPr>
          <w:rFonts w:ascii="Times New Roman" w:hAnsi="Times New Roman" w:cs="Times New Roman"/>
          <w:i/>
          <w:iCs/>
          <w:noProof/>
          <w:kern w:val="0"/>
        </w:rPr>
        <w:t>is positively associated</w:t>
      </w:r>
      <w:r w:rsidR="00483782" w:rsidRPr="008A0E33">
        <w:rPr>
          <w:rFonts w:ascii="Times New Roman" w:hAnsi="Times New Roman" w:cs="Times New Roman"/>
          <w:i/>
          <w:iCs/>
          <w:kern w:val="0"/>
        </w:rPr>
        <w:t xml:space="preserve"> </w:t>
      </w:r>
      <w:r w:rsidR="00346841" w:rsidRPr="008A0E33">
        <w:rPr>
          <w:rFonts w:ascii="Times New Roman" w:hAnsi="Times New Roman" w:cs="Times New Roman"/>
          <w:i/>
          <w:iCs/>
          <w:kern w:val="0"/>
        </w:rPr>
        <w:t>with</w:t>
      </w:r>
      <w:r w:rsidR="00483782" w:rsidRPr="008A0E33">
        <w:rPr>
          <w:rFonts w:ascii="Times New Roman" w:hAnsi="Times New Roman" w:cs="Times New Roman"/>
          <w:i/>
          <w:iCs/>
          <w:kern w:val="0"/>
        </w:rPr>
        <w:t xml:space="preserve"> the development of</w:t>
      </w:r>
      <w:r w:rsidR="002860C9" w:rsidRPr="008A0E33">
        <w:rPr>
          <w:rFonts w:ascii="Times New Roman" w:hAnsi="Times New Roman" w:cs="Times New Roman"/>
          <w:i/>
          <w:iCs/>
          <w:kern w:val="0"/>
        </w:rPr>
        <w:t xml:space="preserve"> Pasteu</w:t>
      </w:r>
      <w:r w:rsidR="00483782" w:rsidRPr="008A0E33">
        <w:rPr>
          <w:rFonts w:ascii="Times New Roman" w:hAnsi="Times New Roman" w:cs="Times New Roman"/>
          <w:i/>
          <w:iCs/>
          <w:kern w:val="0"/>
        </w:rPr>
        <w:t xml:space="preserve">rian orientation at university </w:t>
      </w:r>
      <w:r w:rsidR="0039338C" w:rsidRPr="008A0E33">
        <w:rPr>
          <w:rFonts w:ascii="Times New Roman" w:hAnsi="Times New Roman" w:cs="Times New Roman"/>
          <w:i/>
          <w:iCs/>
          <w:kern w:val="0"/>
        </w:rPr>
        <w:t>departments</w:t>
      </w:r>
      <w:r w:rsidR="002860C9" w:rsidRPr="008A0E33">
        <w:rPr>
          <w:rFonts w:ascii="Times New Roman" w:hAnsi="Times New Roman" w:cs="Times New Roman"/>
          <w:i/>
          <w:iCs/>
          <w:kern w:val="0"/>
        </w:rPr>
        <w:t>.</w:t>
      </w:r>
    </w:p>
    <w:p w14:paraId="46601C97" w14:textId="7AE408A1" w:rsidR="00B44776" w:rsidRPr="008A0E33" w:rsidRDefault="00B44776"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 xml:space="preserve">Hypothesis </w:t>
      </w:r>
      <w:r w:rsidR="002860C9" w:rsidRPr="008A0E33">
        <w:rPr>
          <w:rFonts w:ascii="Times New Roman" w:hAnsi="Times New Roman" w:cs="Times New Roman"/>
          <w:i/>
          <w:iCs/>
          <w:kern w:val="0"/>
        </w:rPr>
        <w:t>1</w:t>
      </w:r>
      <w:r w:rsidRPr="008A0E33">
        <w:rPr>
          <w:rFonts w:ascii="Times New Roman" w:hAnsi="Times New Roman" w:cs="Times New Roman"/>
          <w:i/>
          <w:iCs/>
          <w:kern w:val="0"/>
        </w:rPr>
        <w:t>a</w:t>
      </w:r>
      <w:r w:rsidRPr="008A0E33">
        <w:rPr>
          <w:rFonts w:ascii="Times New Roman" w:hAnsi="Times New Roman" w:cs="Times New Roman"/>
          <w:i/>
          <w:iCs/>
          <w:kern w:val="0"/>
        </w:rPr>
        <w:t>：</w:t>
      </w:r>
      <w:r w:rsidR="00BE6988" w:rsidRPr="008A0E33">
        <w:rPr>
          <w:rFonts w:ascii="Times New Roman" w:hAnsi="Times New Roman" w:cs="Times New Roman"/>
          <w:i/>
          <w:iCs/>
          <w:kern w:val="0"/>
        </w:rPr>
        <w:t xml:space="preserve">The degree of organizational munificence </w:t>
      </w:r>
      <w:r w:rsidR="00BE6988" w:rsidRPr="008A0E33">
        <w:rPr>
          <w:rFonts w:ascii="Times New Roman" w:hAnsi="Times New Roman" w:cs="Times New Roman"/>
          <w:i/>
          <w:iCs/>
          <w:noProof/>
          <w:kern w:val="0"/>
        </w:rPr>
        <w:t>is positively associated</w:t>
      </w:r>
      <w:r w:rsidR="00BE6988" w:rsidRPr="008A0E33">
        <w:rPr>
          <w:rFonts w:ascii="Times New Roman" w:hAnsi="Times New Roman" w:cs="Times New Roman"/>
          <w:i/>
          <w:iCs/>
          <w:kern w:val="0"/>
        </w:rPr>
        <w:t xml:space="preserve"> </w:t>
      </w:r>
      <w:r w:rsidR="00346841" w:rsidRPr="008A0E33">
        <w:rPr>
          <w:rFonts w:ascii="Times New Roman" w:hAnsi="Times New Roman" w:cs="Times New Roman"/>
          <w:i/>
          <w:iCs/>
          <w:kern w:val="0"/>
        </w:rPr>
        <w:t>with</w:t>
      </w:r>
      <w:r w:rsidR="00BE6988" w:rsidRPr="008A0E33">
        <w:rPr>
          <w:rFonts w:ascii="Times New Roman" w:hAnsi="Times New Roman" w:cs="Times New Roman"/>
          <w:i/>
          <w:iCs/>
          <w:kern w:val="0"/>
        </w:rPr>
        <w:t xml:space="preserve"> the sustainment </w:t>
      </w:r>
      <w:r w:rsidRPr="008A0E33">
        <w:rPr>
          <w:rFonts w:ascii="Times New Roman" w:hAnsi="Times New Roman" w:cs="Times New Roman"/>
          <w:i/>
          <w:iCs/>
          <w:kern w:val="0"/>
        </w:rPr>
        <w:t>of knowledge creation</w:t>
      </w:r>
      <w:r w:rsidR="00441556" w:rsidRPr="008A0E33">
        <w:rPr>
          <w:rFonts w:ascii="Times New Roman" w:hAnsi="Times New Roman" w:cs="Times New Roman"/>
          <w:i/>
          <w:iCs/>
          <w:kern w:val="0"/>
        </w:rPr>
        <w:t xml:space="preserve"> orientation</w:t>
      </w:r>
      <w:r w:rsidRPr="008A0E33">
        <w:rPr>
          <w:rFonts w:ascii="Times New Roman" w:hAnsi="Times New Roman" w:cs="Times New Roman"/>
          <w:i/>
          <w:iCs/>
          <w:kern w:val="0"/>
        </w:rPr>
        <w:t xml:space="preserve"> </w:t>
      </w:r>
      <w:r w:rsidR="003074ED" w:rsidRPr="008A0E33">
        <w:rPr>
          <w:rFonts w:ascii="Times New Roman" w:hAnsi="Times New Roman" w:cs="Times New Roman"/>
          <w:i/>
          <w:iCs/>
          <w:kern w:val="0"/>
        </w:rPr>
        <w:t>at university departments</w:t>
      </w:r>
      <w:r w:rsidRPr="008A0E33">
        <w:rPr>
          <w:rFonts w:ascii="Times New Roman" w:hAnsi="Times New Roman" w:cs="Times New Roman"/>
          <w:i/>
          <w:iCs/>
          <w:kern w:val="0"/>
        </w:rPr>
        <w:t>.</w:t>
      </w:r>
    </w:p>
    <w:p w14:paraId="2075F9FF" w14:textId="6B829E5C" w:rsidR="00D442FA" w:rsidRPr="008A0E33" w:rsidRDefault="00B44776"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lastRenderedPageBreak/>
        <w:t xml:space="preserve">Hypothesis </w:t>
      </w:r>
      <w:r w:rsidR="00441556" w:rsidRPr="008A0E33">
        <w:rPr>
          <w:rFonts w:ascii="Times New Roman" w:hAnsi="Times New Roman" w:cs="Times New Roman"/>
          <w:i/>
          <w:iCs/>
          <w:kern w:val="0"/>
        </w:rPr>
        <w:t>1</w:t>
      </w:r>
      <w:r w:rsidRPr="008A0E33">
        <w:rPr>
          <w:rFonts w:ascii="Times New Roman" w:hAnsi="Times New Roman" w:cs="Times New Roman"/>
          <w:i/>
          <w:iCs/>
          <w:kern w:val="0"/>
        </w:rPr>
        <w:t>b</w:t>
      </w:r>
      <w:r w:rsidRPr="008A0E33">
        <w:rPr>
          <w:rFonts w:ascii="Times New Roman" w:hAnsi="Times New Roman" w:cs="Times New Roman"/>
          <w:i/>
          <w:iCs/>
          <w:kern w:val="0"/>
        </w:rPr>
        <w:t>：</w:t>
      </w:r>
      <w:r w:rsidR="00591131" w:rsidRPr="008A0E33">
        <w:rPr>
          <w:rFonts w:ascii="Times New Roman" w:hAnsi="Times New Roman" w:cs="Times New Roman"/>
          <w:i/>
          <w:iCs/>
          <w:kern w:val="0"/>
        </w:rPr>
        <w:t xml:space="preserve">The degree of organizational munificence </w:t>
      </w:r>
      <w:r w:rsidR="00591131" w:rsidRPr="008A0E33">
        <w:rPr>
          <w:rFonts w:ascii="Times New Roman" w:hAnsi="Times New Roman" w:cs="Times New Roman"/>
          <w:i/>
          <w:iCs/>
          <w:noProof/>
          <w:kern w:val="0"/>
        </w:rPr>
        <w:t>is positively associated</w:t>
      </w:r>
      <w:r w:rsidR="00591131" w:rsidRPr="008A0E33">
        <w:rPr>
          <w:rFonts w:ascii="Times New Roman" w:hAnsi="Times New Roman" w:cs="Times New Roman"/>
          <w:i/>
          <w:iCs/>
          <w:kern w:val="0"/>
        </w:rPr>
        <w:t xml:space="preserve"> </w:t>
      </w:r>
      <w:r w:rsidR="00346841" w:rsidRPr="008A0E33">
        <w:rPr>
          <w:rFonts w:ascii="Times New Roman" w:hAnsi="Times New Roman" w:cs="Times New Roman"/>
          <w:i/>
          <w:iCs/>
          <w:kern w:val="0"/>
        </w:rPr>
        <w:t>with</w:t>
      </w:r>
      <w:r w:rsidR="00591131" w:rsidRPr="008A0E33">
        <w:rPr>
          <w:rFonts w:ascii="Times New Roman" w:hAnsi="Times New Roman" w:cs="Times New Roman"/>
          <w:i/>
          <w:iCs/>
          <w:kern w:val="0"/>
        </w:rPr>
        <w:t xml:space="preserve"> the development</w:t>
      </w:r>
      <w:r w:rsidRPr="008A0E33">
        <w:rPr>
          <w:rFonts w:ascii="Times New Roman" w:hAnsi="Times New Roman" w:cs="Times New Roman"/>
          <w:i/>
          <w:iCs/>
          <w:kern w:val="0"/>
        </w:rPr>
        <w:t xml:space="preserve"> of knowledge </w:t>
      </w:r>
      <w:r w:rsidR="00334CC5" w:rsidRPr="008A0E33">
        <w:rPr>
          <w:rFonts w:ascii="Times New Roman" w:hAnsi="Times New Roman" w:cs="Times New Roman"/>
          <w:i/>
          <w:iCs/>
          <w:kern w:val="0"/>
        </w:rPr>
        <w:t>utilization</w:t>
      </w:r>
      <w:r w:rsidR="00591131" w:rsidRPr="008A0E33">
        <w:rPr>
          <w:rFonts w:ascii="Times New Roman" w:hAnsi="Times New Roman" w:cs="Times New Roman"/>
          <w:i/>
          <w:iCs/>
          <w:kern w:val="0"/>
        </w:rPr>
        <w:t xml:space="preserve"> orientation at university departments.</w:t>
      </w:r>
    </w:p>
    <w:p w14:paraId="4DEB3FAB" w14:textId="051F1EDD" w:rsidR="00BC2632" w:rsidRPr="008A0E33" w:rsidRDefault="00CA3355" w:rsidP="009D43EA">
      <w:pPr>
        <w:widowControl/>
        <w:ind w:firstLine="240"/>
        <w:jc w:val="both"/>
        <w:rPr>
          <w:rFonts w:ascii="Times New Roman" w:hAnsi="Times New Roman" w:cs="Times New Roman"/>
          <w:kern w:val="0"/>
        </w:rPr>
      </w:pPr>
      <w:r w:rsidRPr="00CA3355">
        <w:rPr>
          <w:rFonts w:ascii="Times New Roman" w:hAnsi="Times New Roman" w:cs="Times New Roman"/>
          <w:kern w:val="0"/>
        </w:rPr>
        <w:t xml:space="preserve">Furthermore, Clark (1998) suggests that “universities need to become </w:t>
      </w:r>
      <w:r w:rsidRPr="00CA3355">
        <w:rPr>
          <w:rFonts w:ascii="Times New Roman" w:hAnsi="Times New Roman" w:cs="Times New Roman"/>
          <w:i/>
          <w:kern w:val="0"/>
        </w:rPr>
        <w:t>quicker</w:t>
      </w:r>
      <w:r w:rsidRPr="00CA3355">
        <w:rPr>
          <w:rFonts w:ascii="Times New Roman" w:hAnsi="Times New Roman" w:cs="Times New Roman"/>
          <w:kern w:val="0"/>
        </w:rPr>
        <w:t>, more adaptive and especially more focused in reactions to expanding and changing demands.” In addition, Clark (2004) argues that “universities need to develop flexible and adaptive capabilities that permit them to weave together new and old, change and continuity, in a sustainable form.” In line with this call, a variety of policies, such as the enhancement of university-industry collaboration and the establishment of academic spin-offs, has been widely instituted in universities (</w:t>
      </w:r>
      <w:proofErr w:type="spellStart"/>
      <w:r w:rsidRPr="00CA3355">
        <w:rPr>
          <w:rFonts w:ascii="Times New Roman" w:hAnsi="Times New Roman" w:cs="Times New Roman"/>
          <w:kern w:val="0"/>
        </w:rPr>
        <w:t>Perkmann</w:t>
      </w:r>
      <w:proofErr w:type="spellEnd"/>
      <w:r w:rsidRPr="00CA3355">
        <w:rPr>
          <w:rFonts w:ascii="Times New Roman" w:hAnsi="Times New Roman" w:cs="Times New Roman"/>
          <w:kern w:val="0"/>
        </w:rPr>
        <w:t xml:space="preserve"> et al., 2013; Shane, 2004). Also, universities are adjusting their infrastructure, establishing new units such as technology transfer offices, technology liaison offices, and university-affiliated incubators to support research commercialization (</w:t>
      </w:r>
      <w:proofErr w:type="spellStart"/>
      <w:r w:rsidRPr="00CA3355">
        <w:rPr>
          <w:rFonts w:ascii="Times New Roman" w:hAnsi="Times New Roman" w:cs="Times New Roman"/>
          <w:kern w:val="0"/>
        </w:rPr>
        <w:t>Etzkowitz</w:t>
      </w:r>
      <w:proofErr w:type="spellEnd"/>
      <w:r w:rsidRPr="00CA3355">
        <w:rPr>
          <w:rFonts w:ascii="Times New Roman" w:hAnsi="Times New Roman" w:cs="Times New Roman"/>
          <w:kern w:val="0"/>
        </w:rPr>
        <w:t xml:space="preserve">, 2003; Landry, Amara, &amp; </w:t>
      </w:r>
      <w:proofErr w:type="spellStart"/>
      <w:r w:rsidRPr="00CA3355">
        <w:rPr>
          <w:rFonts w:ascii="Times New Roman" w:hAnsi="Times New Roman" w:cs="Times New Roman"/>
          <w:kern w:val="0"/>
        </w:rPr>
        <w:t>Rherrad</w:t>
      </w:r>
      <w:proofErr w:type="spellEnd"/>
      <w:r w:rsidRPr="00CA3355">
        <w:rPr>
          <w:rFonts w:ascii="Times New Roman" w:hAnsi="Times New Roman" w:cs="Times New Roman"/>
          <w:kern w:val="0"/>
        </w:rPr>
        <w:t xml:space="preserve">, 2006). </w:t>
      </w:r>
      <w:r w:rsidRPr="00CA3355">
        <w:rPr>
          <w:rFonts w:ascii="Times New Roman" w:hAnsi="Times New Roman" w:cs="Times New Roman"/>
          <w:i/>
          <w:kern w:val="0"/>
        </w:rPr>
        <w:t>Organizational flexibility</w:t>
      </w:r>
      <w:r w:rsidRPr="00CA3355">
        <w:rPr>
          <w:rFonts w:ascii="Times New Roman" w:hAnsi="Times New Roman" w:cs="Times New Roman"/>
          <w:kern w:val="0"/>
        </w:rPr>
        <w:t xml:space="preserve"> can be seen as the outcome of an interaction between the responsiveness of the organizational design and the managerial task (</w:t>
      </w:r>
      <w:proofErr w:type="spellStart"/>
      <w:r w:rsidRPr="00CA3355">
        <w:rPr>
          <w:rFonts w:ascii="Times New Roman" w:hAnsi="Times New Roman" w:cs="Times New Roman"/>
          <w:kern w:val="0"/>
        </w:rPr>
        <w:t>Volberda</w:t>
      </w:r>
      <w:proofErr w:type="spellEnd"/>
      <w:r w:rsidRPr="00CA3355">
        <w:rPr>
          <w:rFonts w:ascii="Times New Roman" w:hAnsi="Times New Roman" w:cs="Times New Roman"/>
          <w:kern w:val="0"/>
        </w:rPr>
        <w:t xml:space="preserve">, 1996). Smith and </w:t>
      </w:r>
      <w:proofErr w:type="spellStart"/>
      <w:r w:rsidRPr="00CA3355">
        <w:rPr>
          <w:rFonts w:ascii="Times New Roman" w:hAnsi="Times New Roman" w:cs="Times New Roman"/>
          <w:kern w:val="0"/>
        </w:rPr>
        <w:t>Tushman</w:t>
      </w:r>
      <w:proofErr w:type="spellEnd"/>
      <w:r w:rsidRPr="00CA3355">
        <w:rPr>
          <w:rFonts w:ascii="Times New Roman" w:hAnsi="Times New Roman" w:cs="Times New Roman"/>
          <w:kern w:val="0"/>
        </w:rPr>
        <w:t xml:space="preserve"> (2005) argue that organizational flexibility, as an integrating capability, involves shifting levels of analysis identifying potential linkages. Therefore, this study argues that these political and infrastructure reforms provide the university department with more organizational flexibility to promote KUO and KCO simultaneously. Thus:</w:t>
      </w:r>
    </w:p>
    <w:p w14:paraId="54F668DF" w14:textId="6E9B7348" w:rsidR="00BC2632" w:rsidRPr="008A0E33" w:rsidRDefault="00BC2632"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 xml:space="preserve">Hypothesis </w:t>
      </w:r>
      <w:r w:rsidR="002051F7" w:rsidRPr="008A0E33">
        <w:rPr>
          <w:rFonts w:ascii="Times New Roman" w:hAnsi="Times New Roman" w:cs="Times New Roman"/>
          <w:i/>
          <w:iCs/>
          <w:kern w:val="0"/>
        </w:rPr>
        <w:t>2</w:t>
      </w:r>
      <w:r w:rsidRPr="008A0E33">
        <w:rPr>
          <w:rFonts w:ascii="Times New Roman" w:hAnsi="Times New Roman" w:cs="Times New Roman"/>
          <w:i/>
          <w:iCs/>
          <w:kern w:val="0"/>
        </w:rPr>
        <w:t>：</w:t>
      </w:r>
      <w:r w:rsidR="00591131" w:rsidRPr="008A0E33">
        <w:rPr>
          <w:rFonts w:ascii="Times New Roman" w:hAnsi="Times New Roman" w:cs="Times New Roman"/>
          <w:i/>
          <w:iCs/>
          <w:kern w:val="0"/>
        </w:rPr>
        <w:t>The degree of</w:t>
      </w:r>
      <w:r w:rsidRPr="008A0E33">
        <w:rPr>
          <w:rFonts w:ascii="Times New Roman" w:hAnsi="Times New Roman" w:cs="Times New Roman"/>
          <w:i/>
          <w:iCs/>
          <w:kern w:val="0"/>
        </w:rPr>
        <w:t xml:space="preserve"> </w:t>
      </w:r>
      <w:r w:rsidR="008C518A" w:rsidRPr="008A0E33">
        <w:rPr>
          <w:rFonts w:ascii="Times New Roman" w:hAnsi="Times New Roman" w:cs="Times New Roman"/>
          <w:i/>
          <w:iCs/>
          <w:kern w:val="0"/>
        </w:rPr>
        <w:t xml:space="preserve">organizational flexibility </w:t>
      </w:r>
      <w:r w:rsidR="00275803" w:rsidRPr="008A0E33">
        <w:rPr>
          <w:rFonts w:ascii="Times New Roman" w:hAnsi="Times New Roman" w:cs="Times New Roman"/>
          <w:i/>
          <w:iCs/>
          <w:kern w:val="0"/>
        </w:rPr>
        <w:t xml:space="preserve">is positively associated </w:t>
      </w:r>
      <w:r w:rsidR="00346841" w:rsidRPr="008A0E33">
        <w:rPr>
          <w:rFonts w:ascii="Times New Roman" w:hAnsi="Times New Roman" w:cs="Times New Roman"/>
          <w:i/>
          <w:iCs/>
          <w:kern w:val="0"/>
        </w:rPr>
        <w:t>with</w:t>
      </w:r>
      <w:r w:rsidR="00275803" w:rsidRPr="008A0E33">
        <w:rPr>
          <w:rFonts w:ascii="Times New Roman" w:hAnsi="Times New Roman" w:cs="Times New Roman"/>
          <w:i/>
          <w:iCs/>
          <w:kern w:val="0"/>
        </w:rPr>
        <w:t xml:space="preserve"> the development of Pasteurian orientation at university departments</w:t>
      </w:r>
      <w:r w:rsidRPr="008A0E33">
        <w:rPr>
          <w:rFonts w:ascii="Times New Roman" w:hAnsi="Times New Roman" w:cs="Times New Roman"/>
          <w:i/>
          <w:iCs/>
          <w:kern w:val="0"/>
        </w:rPr>
        <w:t>.</w:t>
      </w:r>
    </w:p>
    <w:p w14:paraId="08B04091" w14:textId="53F3A9B3" w:rsidR="004278F4" w:rsidRPr="008A0E33" w:rsidRDefault="004278F4"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Hypothesis 2a</w:t>
      </w:r>
      <w:r w:rsidRPr="008A0E33">
        <w:rPr>
          <w:rFonts w:ascii="Times New Roman" w:hAnsi="Times New Roman" w:cs="Times New Roman"/>
          <w:i/>
          <w:iCs/>
          <w:kern w:val="0"/>
        </w:rPr>
        <w:t>：</w:t>
      </w:r>
      <w:r w:rsidR="00275803" w:rsidRPr="008A0E33">
        <w:rPr>
          <w:rFonts w:ascii="Times New Roman" w:hAnsi="Times New Roman" w:cs="Times New Roman"/>
          <w:i/>
          <w:iCs/>
          <w:kern w:val="0"/>
        </w:rPr>
        <w:t xml:space="preserve">The degree of organizational flexibility is positively associated </w:t>
      </w:r>
      <w:r w:rsidR="00346841" w:rsidRPr="008A0E33">
        <w:rPr>
          <w:rFonts w:ascii="Times New Roman" w:hAnsi="Times New Roman" w:cs="Times New Roman"/>
          <w:i/>
          <w:iCs/>
          <w:kern w:val="0"/>
        </w:rPr>
        <w:t>with</w:t>
      </w:r>
      <w:r w:rsidR="00275803" w:rsidRPr="008A0E33">
        <w:rPr>
          <w:rFonts w:ascii="Times New Roman" w:hAnsi="Times New Roman" w:cs="Times New Roman"/>
          <w:i/>
          <w:iCs/>
          <w:kern w:val="0"/>
        </w:rPr>
        <w:t xml:space="preserve"> the sustainment of knowledge creation orientation at university departments</w:t>
      </w:r>
      <w:r w:rsidRPr="008A0E33">
        <w:rPr>
          <w:rFonts w:ascii="Times New Roman" w:hAnsi="Times New Roman" w:cs="Times New Roman"/>
          <w:i/>
          <w:iCs/>
          <w:kern w:val="0"/>
        </w:rPr>
        <w:t>.</w:t>
      </w:r>
    </w:p>
    <w:p w14:paraId="235509D9" w14:textId="78FBE55C" w:rsidR="004278F4" w:rsidRPr="008A0E33" w:rsidRDefault="004278F4"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Hypothesis 2b</w:t>
      </w:r>
      <w:r w:rsidRPr="008A0E33">
        <w:rPr>
          <w:rFonts w:ascii="Times New Roman" w:hAnsi="Times New Roman" w:cs="Times New Roman"/>
          <w:i/>
          <w:iCs/>
          <w:kern w:val="0"/>
        </w:rPr>
        <w:t>：</w:t>
      </w:r>
      <w:r w:rsidR="00275803" w:rsidRPr="008A0E33">
        <w:rPr>
          <w:rFonts w:ascii="Times New Roman" w:hAnsi="Times New Roman" w:cs="Times New Roman"/>
          <w:i/>
          <w:iCs/>
          <w:kern w:val="0"/>
        </w:rPr>
        <w:t>The degree of organizational flexibility</w:t>
      </w:r>
      <w:r w:rsidR="008C518A" w:rsidRPr="008A0E33">
        <w:rPr>
          <w:rFonts w:ascii="Times New Roman" w:hAnsi="Times New Roman" w:cs="Times New Roman"/>
          <w:i/>
          <w:iCs/>
          <w:kern w:val="0"/>
        </w:rPr>
        <w:t xml:space="preserve"> </w:t>
      </w:r>
      <w:r w:rsidR="00275803" w:rsidRPr="008A0E33">
        <w:rPr>
          <w:rFonts w:ascii="Times New Roman" w:hAnsi="Times New Roman" w:cs="Times New Roman"/>
          <w:i/>
          <w:iCs/>
          <w:kern w:val="0"/>
        </w:rPr>
        <w:t xml:space="preserve">is positively associated </w:t>
      </w:r>
      <w:r w:rsidR="00346841" w:rsidRPr="008A0E33">
        <w:rPr>
          <w:rFonts w:ascii="Times New Roman" w:hAnsi="Times New Roman" w:cs="Times New Roman"/>
          <w:i/>
          <w:iCs/>
          <w:kern w:val="0"/>
        </w:rPr>
        <w:t>with</w:t>
      </w:r>
      <w:r w:rsidR="00275803" w:rsidRPr="008A0E33">
        <w:rPr>
          <w:rFonts w:ascii="Times New Roman" w:hAnsi="Times New Roman" w:cs="Times New Roman"/>
          <w:i/>
          <w:iCs/>
          <w:kern w:val="0"/>
        </w:rPr>
        <w:t xml:space="preserve"> the development of knowledge utilization orientation at university departments</w:t>
      </w:r>
      <w:r w:rsidR="00877935" w:rsidRPr="008A0E33">
        <w:rPr>
          <w:rFonts w:ascii="Times New Roman" w:hAnsi="Times New Roman" w:cs="Times New Roman"/>
          <w:i/>
          <w:iCs/>
          <w:kern w:val="0"/>
        </w:rPr>
        <w:t>.</w:t>
      </w:r>
    </w:p>
    <w:p w14:paraId="0C22267B" w14:textId="23A2CFBF"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2.4 Pa</w:t>
      </w:r>
      <w:r w:rsidR="004306AD" w:rsidRPr="008A0E33">
        <w:rPr>
          <w:rFonts w:ascii="Times New Roman" w:eastAsia="Times New Roman" w:hAnsi="Times New Roman" w:cs="Times New Roman"/>
          <w:b/>
          <w:bCs/>
          <w:kern w:val="0"/>
        </w:rPr>
        <w:t>steurian orientation and departmental</w:t>
      </w:r>
      <w:r w:rsidR="005C34BD" w:rsidRPr="008A0E33">
        <w:rPr>
          <w:rFonts w:ascii="Times New Roman" w:eastAsia="Times New Roman" w:hAnsi="Times New Roman" w:cs="Times New Roman"/>
          <w:b/>
          <w:bCs/>
          <w:kern w:val="0"/>
        </w:rPr>
        <w:t xml:space="preserve"> collective efficacy</w:t>
      </w:r>
    </w:p>
    <w:p w14:paraId="617F1333" w14:textId="48988BAD" w:rsidR="00DD4B3F" w:rsidRPr="008A0E33" w:rsidRDefault="00CA3355" w:rsidP="0057484E">
      <w:pPr>
        <w:widowControl/>
        <w:ind w:right="65" w:firstLine="240"/>
        <w:jc w:val="both"/>
        <w:rPr>
          <w:rFonts w:ascii="Times New Roman" w:hAnsi="Times New Roman" w:cs="Times New Roman"/>
          <w:kern w:val="0"/>
        </w:rPr>
      </w:pPr>
      <w:r w:rsidRPr="00CA3355">
        <w:rPr>
          <w:rFonts w:ascii="Times New Roman" w:hAnsi="Times New Roman" w:cs="Times New Roman"/>
          <w:kern w:val="0"/>
        </w:rPr>
        <w:t xml:space="preserve">Since Stokes (1997) proposed Pasteur’s quadrant and the concept of use-inspired basic research, a new direction in science policy has been pursued, in which the integration of knowledge creation and knowledge utilization is seen to have value, creating both societal and scientific benefits from the one research agenda. Stokes (1997) took as his example Louis Pasteur, who had promoted fundamental knowledge in microbiology at the same time as he commercialized this knowledge into practice </w:t>
      </w:r>
      <w:r w:rsidRPr="00CA3355">
        <w:rPr>
          <w:rFonts w:ascii="Times New Roman" w:hAnsi="Times New Roman" w:cs="Times New Roman"/>
          <w:kern w:val="0"/>
        </w:rPr>
        <w:lastRenderedPageBreak/>
        <w:t>in fermentation technology. He showed that knowledge creation and knowledge utilization are not in conflict but complementary, even if knowledge creation predominates over knowledge utilization (</w:t>
      </w:r>
      <w:proofErr w:type="spellStart"/>
      <w:r w:rsidRPr="00CA3355">
        <w:rPr>
          <w:rFonts w:ascii="Times New Roman" w:hAnsi="Times New Roman" w:cs="Times New Roman"/>
          <w:kern w:val="0"/>
        </w:rPr>
        <w:t>Etzkowitz</w:t>
      </w:r>
      <w:proofErr w:type="spellEnd"/>
      <w:r w:rsidRPr="00CA3355">
        <w:rPr>
          <w:rFonts w:ascii="Times New Roman" w:hAnsi="Times New Roman" w:cs="Times New Roman"/>
          <w:kern w:val="0"/>
        </w:rPr>
        <w:t xml:space="preserve">, 1983; </w:t>
      </w:r>
      <w:proofErr w:type="spellStart"/>
      <w:r w:rsidRPr="00CA3355">
        <w:rPr>
          <w:rFonts w:ascii="Times New Roman" w:hAnsi="Times New Roman" w:cs="Times New Roman"/>
          <w:kern w:val="0"/>
        </w:rPr>
        <w:t>Shibayama</w:t>
      </w:r>
      <w:proofErr w:type="spellEnd"/>
      <w:r w:rsidRPr="00CA3355">
        <w:rPr>
          <w:rFonts w:ascii="Times New Roman" w:hAnsi="Times New Roman" w:cs="Times New Roman"/>
          <w:kern w:val="0"/>
        </w:rPr>
        <w:t>, 2012). In developing a Pasteurian orientation, the entrepreneurial university does not intend to compete with or replace industry in terms of technological development but facilitate innovation with the advanced knowledge which stems from scientific research (</w:t>
      </w:r>
      <w:proofErr w:type="spellStart"/>
      <w:r w:rsidRPr="00CA3355">
        <w:rPr>
          <w:rFonts w:ascii="Times New Roman" w:hAnsi="Times New Roman" w:cs="Times New Roman"/>
          <w:kern w:val="0"/>
        </w:rPr>
        <w:t>Etzkowitz</w:t>
      </w:r>
      <w:proofErr w:type="spellEnd"/>
      <w:r w:rsidRPr="00CA3355">
        <w:rPr>
          <w:rFonts w:ascii="Times New Roman" w:hAnsi="Times New Roman" w:cs="Times New Roman"/>
          <w:kern w:val="0"/>
        </w:rPr>
        <w:t>, 1983, 2017). At the same time, Glenna et al. (2011) also consider that the scientific foundations and advancement of industrial technology are likely to decline if universities do not have sufficient investment to pursue research excellence. Therefore, this paper argues that university departments have to sustain the commitment to knowledge creation, and that then they may foster active development of knowledge utilization. Thus:</w:t>
      </w:r>
    </w:p>
    <w:p w14:paraId="1AB22354" w14:textId="0363AA06" w:rsidR="00FD1B88" w:rsidRPr="008A0E33" w:rsidRDefault="0084043B" w:rsidP="00643F4C">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 xml:space="preserve"> </w:t>
      </w:r>
      <w:r w:rsidR="00DD4B3F" w:rsidRPr="008A0E33">
        <w:rPr>
          <w:rFonts w:ascii="Times New Roman" w:hAnsi="Times New Roman" w:cs="Times New Roman"/>
          <w:i/>
          <w:iCs/>
          <w:kern w:val="0"/>
        </w:rPr>
        <w:t>Hypothesis 3</w:t>
      </w:r>
      <w:r w:rsidR="00DD4B3F" w:rsidRPr="008A0E33">
        <w:rPr>
          <w:rFonts w:ascii="Times New Roman" w:hAnsi="Times New Roman" w:cs="Times New Roman"/>
          <w:i/>
          <w:iCs/>
          <w:kern w:val="0"/>
        </w:rPr>
        <w:t>：</w:t>
      </w:r>
      <w:r w:rsidR="00196E7B" w:rsidRPr="008A0E33">
        <w:rPr>
          <w:rFonts w:ascii="Times New Roman" w:hAnsi="Times New Roman" w:cs="Times New Roman"/>
          <w:i/>
          <w:iCs/>
          <w:kern w:val="0"/>
        </w:rPr>
        <w:t>The</w:t>
      </w:r>
      <w:r w:rsidR="009C3289" w:rsidRPr="008A0E33">
        <w:rPr>
          <w:rFonts w:ascii="Times New Roman" w:hAnsi="Times New Roman" w:cs="Times New Roman"/>
          <w:i/>
          <w:iCs/>
          <w:kern w:val="0"/>
        </w:rPr>
        <w:t xml:space="preserve"> knowledge creation orientation</w:t>
      </w:r>
      <w:r w:rsidR="00A32B75" w:rsidRPr="008A0E33">
        <w:rPr>
          <w:rFonts w:ascii="Times New Roman" w:hAnsi="Times New Roman" w:cs="Times New Roman"/>
          <w:i/>
          <w:iCs/>
          <w:kern w:val="0"/>
        </w:rPr>
        <w:t xml:space="preserve"> </w:t>
      </w:r>
      <w:r w:rsidR="00196E7B" w:rsidRPr="008A0E33">
        <w:rPr>
          <w:rFonts w:ascii="Times New Roman" w:hAnsi="Times New Roman" w:cs="Times New Roman"/>
          <w:i/>
          <w:iCs/>
          <w:kern w:val="0"/>
        </w:rPr>
        <w:t>of university department</w:t>
      </w:r>
      <w:r w:rsidR="00D5102D" w:rsidRPr="008A0E33">
        <w:rPr>
          <w:rFonts w:ascii="Times New Roman" w:hAnsi="Times New Roman" w:cs="Times New Roman"/>
          <w:i/>
          <w:iCs/>
          <w:kern w:val="0"/>
        </w:rPr>
        <w:t>s</w:t>
      </w:r>
      <w:r w:rsidR="00196E7B" w:rsidRPr="008A0E33">
        <w:rPr>
          <w:rFonts w:ascii="Times New Roman" w:hAnsi="Times New Roman" w:cs="Times New Roman"/>
          <w:i/>
          <w:iCs/>
          <w:kern w:val="0"/>
        </w:rPr>
        <w:t xml:space="preserve"> has </w:t>
      </w:r>
      <w:r w:rsidR="00EB6612" w:rsidRPr="008A0E33">
        <w:rPr>
          <w:rFonts w:ascii="Times New Roman" w:hAnsi="Times New Roman" w:cs="Times New Roman"/>
          <w:i/>
          <w:iCs/>
          <w:kern w:val="0"/>
        </w:rPr>
        <w:t>a positive</w:t>
      </w:r>
      <w:r w:rsidR="00346841" w:rsidRPr="008A0E33">
        <w:rPr>
          <w:rFonts w:ascii="Times New Roman" w:hAnsi="Times New Roman" w:cs="Times New Roman"/>
          <w:i/>
          <w:iCs/>
          <w:kern w:val="0"/>
        </w:rPr>
        <w:t xml:space="preserve"> infl</w:t>
      </w:r>
      <w:r w:rsidR="00196E7B" w:rsidRPr="008A0E33">
        <w:rPr>
          <w:rFonts w:ascii="Times New Roman" w:hAnsi="Times New Roman" w:cs="Times New Roman"/>
          <w:i/>
          <w:iCs/>
          <w:kern w:val="0"/>
        </w:rPr>
        <w:t xml:space="preserve">uence </w:t>
      </w:r>
      <w:r w:rsidR="00346841" w:rsidRPr="008A0E33">
        <w:rPr>
          <w:rFonts w:ascii="Times New Roman" w:hAnsi="Times New Roman" w:cs="Times New Roman"/>
          <w:i/>
          <w:iCs/>
          <w:kern w:val="0"/>
        </w:rPr>
        <w:t>on</w:t>
      </w:r>
      <w:r w:rsidR="00196E7B" w:rsidRPr="008A0E33">
        <w:rPr>
          <w:rFonts w:ascii="Times New Roman" w:hAnsi="Times New Roman" w:cs="Times New Roman"/>
          <w:i/>
          <w:iCs/>
          <w:kern w:val="0"/>
        </w:rPr>
        <w:t xml:space="preserve"> </w:t>
      </w:r>
      <w:r w:rsidR="00D5102D" w:rsidRPr="008A0E33">
        <w:rPr>
          <w:rFonts w:ascii="Times New Roman" w:hAnsi="Times New Roman" w:cs="Times New Roman"/>
          <w:i/>
          <w:iCs/>
          <w:kern w:val="0"/>
        </w:rPr>
        <w:t>their</w:t>
      </w:r>
      <w:r w:rsidR="00196E7B" w:rsidRPr="008A0E33">
        <w:rPr>
          <w:rFonts w:ascii="Times New Roman" w:hAnsi="Times New Roman" w:cs="Times New Roman"/>
          <w:i/>
          <w:iCs/>
          <w:kern w:val="0"/>
        </w:rPr>
        <w:t xml:space="preserve"> development of</w:t>
      </w:r>
      <w:r w:rsidR="009C3289" w:rsidRPr="008A0E33">
        <w:rPr>
          <w:rFonts w:ascii="Times New Roman" w:hAnsi="Times New Roman" w:cs="Times New Roman"/>
          <w:i/>
          <w:iCs/>
          <w:kern w:val="0"/>
        </w:rPr>
        <w:t xml:space="preserve"> know</w:t>
      </w:r>
      <w:r w:rsidR="002F4C20" w:rsidRPr="008A0E33">
        <w:rPr>
          <w:rFonts w:ascii="Times New Roman" w:hAnsi="Times New Roman" w:cs="Times New Roman"/>
          <w:i/>
          <w:iCs/>
          <w:kern w:val="0"/>
        </w:rPr>
        <w:t>ledge utilization</w:t>
      </w:r>
      <w:r w:rsidR="00196E7B" w:rsidRPr="008A0E33">
        <w:rPr>
          <w:rFonts w:ascii="Times New Roman" w:hAnsi="Times New Roman" w:cs="Times New Roman"/>
          <w:i/>
          <w:iCs/>
          <w:kern w:val="0"/>
        </w:rPr>
        <w:t xml:space="preserve"> orientation</w:t>
      </w:r>
      <w:r w:rsidR="009C3289" w:rsidRPr="008A0E33">
        <w:rPr>
          <w:rFonts w:ascii="Times New Roman" w:hAnsi="Times New Roman" w:cs="Times New Roman"/>
          <w:i/>
          <w:iCs/>
          <w:kern w:val="0"/>
        </w:rPr>
        <w:t>.</w:t>
      </w:r>
    </w:p>
    <w:p w14:paraId="6853C317" w14:textId="4B15F4D8" w:rsidR="00FA2D2C" w:rsidRPr="008A0E33" w:rsidRDefault="00CA3355" w:rsidP="00FA2D2C">
      <w:pPr>
        <w:widowControl/>
        <w:ind w:right="65" w:firstLine="240"/>
        <w:jc w:val="both"/>
        <w:rPr>
          <w:rFonts w:ascii="Times New Roman" w:hAnsi="Times New Roman" w:cs="Times New Roman"/>
          <w:kern w:val="0"/>
        </w:rPr>
      </w:pPr>
      <w:r w:rsidRPr="00CA3355">
        <w:rPr>
          <w:rFonts w:ascii="Times New Roman" w:hAnsi="Times New Roman" w:cs="Times New Roman"/>
          <w:kern w:val="0"/>
        </w:rPr>
        <w:t xml:space="preserve">However, developing </w:t>
      </w:r>
      <w:proofErr w:type="spellStart"/>
      <w:proofErr w:type="gramStart"/>
      <w:r w:rsidRPr="00CA3355">
        <w:rPr>
          <w:rFonts w:ascii="Times New Roman" w:hAnsi="Times New Roman" w:cs="Times New Roman"/>
          <w:kern w:val="0"/>
        </w:rPr>
        <w:t>a</w:t>
      </w:r>
      <w:proofErr w:type="spellEnd"/>
      <w:proofErr w:type="gramEnd"/>
      <w:r w:rsidRPr="00CA3355">
        <w:rPr>
          <w:rFonts w:ascii="Times New Roman" w:hAnsi="Times New Roman" w:cs="Times New Roman"/>
          <w:kern w:val="0"/>
        </w:rPr>
        <w:t xml:space="preserve"> entrepreneurial university does not only create a new organizational arrangement, or ambidextrous/hybrid organization (Ambos et al., 2008; </w:t>
      </w:r>
      <w:proofErr w:type="spellStart"/>
      <w:r w:rsidRPr="00CA3355">
        <w:rPr>
          <w:rFonts w:ascii="Times New Roman" w:hAnsi="Times New Roman" w:cs="Times New Roman"/>
          <w:kern w:val="0"/>
        </w:rPr>
        <w:t>Etzkowitz</w:t>
      </w:r>
      <w:proofErr w:type="spellEnd"/>
      <w:r w:rsidRPr="00CA3355">
        <w:rPr>
          <w:rFonts w:ascii="Times New Roman" w:hAnsi="Times New Roman" w:cs="Times New Roman"/>
          <w:kern w:val="0"/>
        </w:rPr>
        <w:t xml:space="preserve">, 2017; Guerrero &amp; </w:t>
      </w:r>
      <w:proofErr w:type="spellStart"/>
      <w:r w:rsidRPr="00CA3355">
        <w:rPr>
          <w:rFonts w:ascii="Times New Roman" w:hAnsi="Times New Roman" w:cs="Times New Roman"/>
          <w:kern w:val="0"/>
        </w:rPr>
        <w:t>Urbano</w:t>
      </w:r>
      <w:proofErr w:type="spellEnd"/>
      <w:r w:rsidRPr="00CA3355">
        <w:rPr>
          <w:rFonts w:ascii="Times New Roman" w:hAnsi="Times New Roman" w:cs="Times New Roman"/>
          <w:kern w:val="0"/>
        </w:rPr>
        <w:t>, 2012). It also promotes self-efficacy in the new paradigm (</w:t>
      </w:r>
      <w:proofErr w:type="spellStart"/>
      <w:r w:rsidRPr="00CA3355">
        <w:rPr>
          <w:rFonts w:ascii="Times New Roman" w:hAnsi="Times New Roman" w:cs="Times New Roman"/>
          <w:kern w:val="0"/>
        </w:rPr>
        <w:t>Bouncken</w:t>
      </w:r>
      <w:proofErr w:type="spellEnd"/>
      <w:r w:rsidRPr="00CA3355">
        <w:rPr>
          <w:rFonts w:ascii="Times New Roman" w:hAnsi="Times New Roman" w:cs="Times New Roman"/>
          <w:kern w:val="0"/>
        </w:rPr>
        <w:t>, 2018). As a focal unit in the university, self-efficacy in the new paradigm in a university department has a strong influence on faculty member peers and on their decisions and behavior (</w:t>
      </w:r>
      <w:proofErr w:type="spellStart"/>
      <w:r w:rsidRPr="00CA3355">
        <w:rPr>
          <w:rFonts w:ascii="Times New Roman" w:hAnsi="Times New Roman" w:cs="Times New Roman"/>
          <w:kern w:val="0"/>
        </w:rPr>
        <w:t>Aschhoff</w:t>
      </w:r>
      <w:proofErr w:type="spellEnd"/>
      <w:r w:rsidRPr="00CA3355">
        <w:rPr>
          <w:rFonts w:ascii="Times New Roman" w:hAnsi="Times New Roman" w:cs="Times New Roman"/>
          <w:kern w:val="0"/>
        </w:rPr>
        <w:t xml:space="preserve"> &amp; </w:t>
      </w:r>
      <w:proofErr w:type="spellStart"/>
      <w:r w:rsidRPr="00CA3355">
        <w:rPr>
          <w:rFonts w:ascii="Times New Roman" w:hAnsi="Times New Roman" w:cs="Times New Roman"/>
          <w:kern w:val="0"/>
        </w:rPr>
        <w:t>Grimpe</w:t>
      </w:r>
      <w:proofErr w:type="spellEnd"/>
      <w:r w:rsidRPr="00CA3355">
        <w:rPr>
          <w:rFonts w:ascii="Times New Roman" w:hAnsi="Times New Roman" w:cs="Times New Roman"/>
          <w:kern w:val="0"/>
        </w:rPr>
        <w:t>, 2014; Jain et al., 2009) as departmental collective efficacy (</w:t>
      </w:r>
      <w:proofErr w:type="spellStart"/>
      <w:r w:rsidRPr="00CA3355">
        <w:rPr>
          <w:rFonts w:ascii="Times New Roman" w:hAnsi="Times New Roman" w:cs="Times New Roman"/>
          <w:kern w:val="0"/>
        </w:rPr>
        <w:t>Stajkovic</w:t>
      </w:r>
      <w:proofErr w:type="spellEnd"/>
      <w:r w:rsidRPr="00CA3355">
        <w:rPr>
          <w:rFonts w:ascii="Times New Roman" w:hAnsi="Times New Roman" w:cs="Times New Roman"/>
          <w:kern w:val="0"/>
        </w:rPr>
        <w:t xml:space="preserve">, Lee, &amp; Nyberg, 2009; Watson, </w:t>
      </w:r>
      <w:proofErr w:type="spellStart"/>
      <w:r w:rsidRPr="00CA3355">
        <w:rPr>
          <w:rFonts w:ascii="Times New Roman" w:hAnsi="Times New Roman" w:cs="Times New Roman"/>
          <w:kern w:val="0"/>
        </w:rPr>
        <w:t>Chemers</w:t>
      </w:r>
      <w:proofErr w:type="spellEnd"/>
      <w:r w:rsidRPr="00CA3355">
        <w:rPr>
          <w:rFonts w:ascii="Times New Roman" w:hAnsi="Times New Roman" w:cs="Times New Roman"/>
          <w:kern w:val="0"/>
        </w:rPr>
        <w:t xml:space="preserve">, &amp; </w:t>
      </w:r>
      <w:proofErr w:type="spellStart"/>
      <w:r w:rsidRPr="00CA3355">
        <w:rPr>
          <w:rFonts w:ascii="Times New Roman" w:hAnsi="Times New Roman" w:cs="Times New Roman"/>
          <w:kern w:val="0"/>
        </w:rPr>
        <w:t>Preiser</w:t>
      </w:r>
      <w:proofErr w:type="spellEnd"/>
      <w:r w:rsidRPr="00CA3355">
        <w:rPr>
          <w:rFonts w:ascii="Times New Roman" w:hAnsi="Times New Roman" w:cs="Times New Roman"/>
          <w:kern w:val="0"/>
        </w:rPr>
        <w:t xml:space="preserve">, 2001). Collective efficacy represents self-efficacy at the group level, and is defined as a group’s shared belief in its conjoint capabilities to organize and execute the actions required to produce given levels of attainment (Bandura, 1997, 2000). A high degree of collective efficacy indicates an organization has functional organizational readiness, and has been able to internalize new organizational practices into its routines to pursue the goals of the organization as the organization transforms itself (Bandura, 2000; Barrick, Thurgood, Smith, &amp; </w:t>
      </w:r>
      <w:proofErr w:type="spellStart"/>
      <w:r w:rsidRPr="00CA3355">
        <w:rPr>
          <w:rFonts w:ascii="Times New Roman" w:hAnsi="Times New Roman" w:cs="Times New Roman"/>
          <w:kern w:val="0"/>
        </w:rPr>
        <w:t>Courtright</w:t>
      </w:r>
      <w:proofErr w:type="spellEnd"/>
      <w:r w:rsidRPr="00CA3355">
        <w:rPr>
          <w:rFonts w:ascii="Times New Roman" w:hAnsi="Times New Roman" w:cs="Times New Roman"/>
          <w:kern w:val="0"/>
        </w:rPr>
        <w:t xml:space="preserve">, 2015; Holt &amp; </w:t>
      </w:r>
      <w:proofErr w:type="spellStart"/>
      <w:r w:rsidRPr="00CA3355">
        <w:rPr>
          <w:rFonts w:ascii="Times New Roman" w:hAnsi="Times New Roman" w:cs="Times New Roman"/>
          <w:kern w:val="0"/>
        </w:rPr>
        <w:t>Vardaman</w:t>
      </w:r>
      <w:proofErr w:type="spellEnd"/>
      <w:r w:rsidRPr="00CA3355">
        <w:rPr>
          <w:rFonts w:ascii="Times New Roman" w:hAnsi="Times New Roman" w:cs="Times New Roman"/>
          <w:kern w:val="0"/>
        </w:rPr>
        <w:t xml:space="preserve">, 2013). University departments develop PO organizational propensity, combining knowledge creation orientation (KCO) and knowledge utilization orientation (KUO), and this propensity represents their attempts to develop new organizational practices by </w:t>
      </w:r>
      <w:proofErr w:type="spellStart"/>
      <w:r w:rsidRPr="00CA3355">
        <w:rPr>
          <w:rFonts w:ascii="Times New Roman" w:hAnsi="Times New Roman" w:cs="Times New Roman"/>
          <w:kern w:val="0"/>
        </w:rPr>
        <w:t>reshapement</w:t>
      </w:r>
      <w:proofErr w:type="spellEnd"/>
      <w:r w:rsidRPr="00CA3355">
        <w:rPr>
          <w:rFonts w:ascii="Times New Roman" w:hAnsi="Times New Roman" w:cs="Times New Roman"/>
          <w:kern w:val="0"/>
        </w:rPr>
        <w:t xml:space="preserve"> to the paradigm of the entrepreneurial university (</w:t>
      </w:r>
      <w:proofErr w:type="spellStart"/>
      <w:r w:rsidRPr="00CA3355">
        <w:rPr>
          <w:rFonts w:ascii="Times New Roman" w:hAnsi="Times New Roman" w:cs="Times New Roman"/>
          <w:kern w:val="0"/>
        </w:rPr>
        <w:t>Leih</w:t>
      </w:r>
      <w:proofErr w:type="spellEnd"/>
      <w:r w:rsidRPr="00CA3355">
        <w:rPr>
          <w:rFonts w:ascii="Times New Roman" w:hAnsi="Times New Roman" w:cs="Times New Roman"/>
          <w:kern w:val="0"/>
        </w:rPr>
        <w:t xml:space="preserve"> &amp; </w:t>
      </w:r>
      <w:proofErr w:type="spellStart"/>
      <w:r w:rsidRPr="00CA3355">
        <w:rPr>
          <w:rFonts w:ascii="Times New Roman" w:hAnsi="Times New Roman" w:cs="Times New Roman"/>
          <w:kern w:val="0"/>
        </w:rPr>
        <w:t>Teece</w:t>
      </w:r>
      <w:proofErr w:type="spellEnd"/>
      <w:r w:rsidRPr="00CA3355">
        <w:rPr>
          <w:rFonts w:ascii="Times New Roman" w:hAnsi="Times New Roman" w:cs="Times New Roman"/>
          <w:kern w:val="0"/>
        </w:rPr>
        <w:t xml:space="preserve">, 2016). Moreover, departmental collective efficacy indicates that the department’s members collectively judge they now are organized to effectively </w:t>
      </w:r>
      <w:r w:rsidRPr="00CA3355">
        <w:rPr>
          <w:rFonts w:ascii="Times New Roman" w:hAnsi="Times New Roman" w:cs="Times New Roman"/>
          <w:kern w:val="0"/>
        </w:rPr>
        <w:lastRenderedPageBreak/>
        <w:t>pursue research excellence and research commercialization in the department. By means of the development of PO, strong organizational support and faculty engagement in both knowledge creation and knowledge commercialization can conjointly enhance departmental collective efficacy with favorable departmental practices in the development of the entrepreneurial university Thus:</w:t>
      </w:r>
    </w:p>
    <w:p w14:paraId="69F47375" w14:textId="2DAB94A9" w:rsidR="00663FE3" w:rsidRPr="008A0E33" w:rsidRDefault="00663FE3" w:rsidP="0097153E">
      <w:pPr>
        <w:widowControl/>
        <w:ind w:left="403" w:rightChars="200" w:right="480"/>
        <w:jc w:val="both"/>
        <w:rPr>
          <w:rFonts w:ascii="Times New Roman" w:hAnsi="Times New Roman" w:cs="Times New Roman"/>
          <w:i/>
          <w:iCs/>
          <w:kern w:val="0"/>
        </w:rPr>
      </w:pPr>
      <w:r w:rsidRPr="008A0E33">
        <w:rPr>
          <w:rFonts w:ascii="Times New Roman" w:hAnsi="Times New Roman" w:cs="Times New Roman" w:hint="eastAsia"/>
          <w:i/>
          <w:iCs/>
          <w:kern w:val="0"/>
        </w:rPr>
        <w:t>Hypothesis 4</w:t>
      </w:r>
      <w:r w:rsidRPr="008A0E33">
        <w:rPr>
          <w:rFonts w:ascii="Times New Roman" w:hAnsi="Times New Roman" w:cs="Times New Roman" w:hint="eastAsia"/>
          <w:i/>
          <w:iCs/>
          <w:kern w:val="0"/>
        </w:rPr>
        <w:t>：</w:t>
      </w:r>
      <w:r w:rsidRPr="008A0E33">
        <w:rPr>
          <w:rFonts w:ascii="Times New Roman" w:hAnsi="Times New Roman" w:cs="Times New Roman" w:hint="eastAsia"/>
          <w:i/>
          <w:iCs/>
          <w:kern w:val="0"/>
        </w:rPr>
        <w:t xml:space="preserve"> University departments with a </w:t>
      </w:r>
      <w:r w:rsidR="008A0E33" w:rsidRPr="008A0E33">
        <w:rPr>
          <w:rFonts w:ascii="Times New Roman" w:hAnsi="Times New Roman" w:cs="Times New Roman"/>
          <w:i/>
          <w:iCs/>
          <w:kern w:val="0"/>
        </w:rPr>
        <w:t>higher</w:t>
      </w:r>
      <w:r w:rsidRPr="008A0E33">
        <w:rPr>
          <w:rFonts w:ascii="Times New Roman" w:hAnsi="Times New Roman" w:cs="Times New Roman" w:hint="eastAsia"/>
          <w:i/>
          <w:iCs/>
          <w:kern w:val="0"/>
        </w:rPr>
        <w:t xml:space="preserve"> propensity of PO are associated with higher level of departmental collective efficacy</w:t>
      </w:r>
      <w:r w:rsidRPr="008A0E33">
        <w:rPr>
          <w:rFonts w:ascii="Times New Roman" w:hAnsi="Times New Roman" w:cs="Times New Roman"/>
          <w:i/>
          <w:iCs/>
          <w:kern w:val="0"/>
        </w:rPr>
        <w:t>.</w:t>
      </w:r>
    </w:p>
    <w:p w14:paraId="42310A8D" w14:textId="59C4BA98" w:rsidR="009239B8" w:rsidRPr="008A0E33" w:rsidRDefault="009239B8" w:rsidP="0097153E">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Hypothesis 4a</w:t>
      </w:r>
      <w:r w:rsidRPr="008A0E33">
        <w:rPr>
          <w:rFonts w:ascii="Times New Roman" w:hAnsi="Times New Roman" w:cs="Times New Roman"/>
          <w:i/>
          <w:iCs/>
          <w:kern w:val="0"/>
        </w:rPr>
        <w:t>：</w:t>
      </w:r>
      <w:r w:rsidR="00D5102D" w:rsidRPr="008A0E33">
        <w:rPr>
          <w:rFonts w:ascii="Times New Roman" w:hAnsi="Times New Roman" w:cs="Times New Roman"/>
          <w:i/>
          <w:iCs/>
          <w:kern w:val="0"/>
        </w:rPr>
        <w:t xml:space="preserve">University departments have </w:t>
      </w:r>
      <w:r w:rsidR="008A0E33" w:rsidRPr="008A0E33">
        <w:rPr>
          <w:rFonts w:ascii="Times New Roman" w:hAnsi="Times New Roman" w:cs="Times New Roman"/>
          <w:i/>
          <w:iCs/>
          <w:kern w:val="0"/>
        </w:rPr>
        <w:t>a</w:t>
      </w:r>
      <w:r w:rsidR="00D5102D" w:rsidRPr="008A0E33">
        <w:rPr>
          <w:rFonts w:ascii="Times New Roman" w:hAnsi="Times New Roman" w:cs="Times New Roman"/>
          <w:i/>
          <w:iCs/>
          <w:kern w:val="0"/>
        </w:rPr>
        <w:t xml:space="preserve"> knowledge creation orientation is associated with higher level of departmental collective efficacy.</w:t>
      </w:r>
    </w:p>
    <w:p w14:paraId="379A371F" w14:textId="48CC784B" w:rsidR="00D5102D" w:rsidRPr="008A0E33" w:rsidRDefault="009239B8" w:rsidP="0097153E">
      <w:pPr>
        <w:widowControl/>
        <w:ind w:left="403" w:rightChars="200" w:right="480"/>
        <w:jc w:val="both"/>
        <w:rPr>
          <w:rFonts w:ascii="Times New Roman" w:hAnsi="Times New Roman" w:cs="Times New Roman"/>
          <w:i/>
          <w:iCs/>
          <w:kern w:val="0"/>
        </w:rPr>
      </w:pPr>
      <w:r w:rsidRPr="008A0E33">
        <w:rPr>
          <w:rFonts w:ascii="Times New Roman" w:hAnsi="Times New Roman" w:cs="Times New Roman"/>
          <w:i/>
          <w:iCs/>
          <w:kern w:val="0"/>
        </w:rPr>
        <w:t>Hypothesis 4b</w:t>
      </w:r>
      <w:r w:rsidRPr="008A0E33">
        <w:rPr>
          <w:rFonts w:ascii="Times New Roman" w:hAnsi="Times New Roman" w:cs="Times New Roman"/>
          <w:i/>
          <w:iCs/>
          <w:kern w:val="0"/>
        </w:rPr>
        <w:t>：</w:t>
      </w:r>
      <w:r w:rsidR="00D5102D" w:rsidRPr="008A0E33">
        <w:rPr>
          <w:rFonts w:ascii="Times New Roman" w:hAnsi="Times New Roman" w:cs="Times New Roman"/>
          <w:i/>
          <w:iCs/>
          <w:kern w:val="0"/>
        </w:rPr>
        <w:t xml:space="preserve">University departments have </w:t>
      </w:r>
      <w:r w:rsidR="008A0E33" w:rsidRPr="008A0E33">
        <w:rPr>
          <w:rFonts w:ascii="Times New Roman" w:hAnsi="Times New Roman" w:cs="Times New Roman"/>
          <w:i/>
          <w:iCs/>
          <w:kern w:val="0"/>
        </w:rPr>
        <w:t xml:space="preserve">a </w:t>
      </w:r>
      <w:r w:rsidR="00D5102D" w:rsidRPr="008A0E33">
        <w:rPr>
          <w:rFonts w:ascii="Times New Roman" w:hAnsi="Times New Roman" w:cs="Times New Roman"/>
          <w:i/>
          <w:iCs/>
          <w:kern w:val="0"/>
        </w:rPr>
        <w:t>higher knowledge utilization orientation is associated with higher level of departmental collective efficacy.</w:t>
      </w:r>
    </w:p>
    <w:p w14:paraId="0E6C3AE0" w14:textId="77777777"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2.5 Mediating Effect of Pasteurian orientation</w:t>
      </w:r>
    </w:p>
    <w:p w14:paraId="58921E5C" w14:textId="231211C6" w:rsidR="00BC2632" w:rsidRPr="008A0E33" w:rsidRDefault="00CA3355" w:rsidP="00DF1EF1">
      <w:pPr>
        <w:widowControl/>
        <w:ind w:firstLine="240"/>
        <w:jc w:val="both"/>
        <w:rPr>
          <w:rFonts w:ascii="Times" w:hAnsi="Times" w:cs="Times New Roman"/>
          <w:kern w:val="0"/>
          <w:sz w:val="20"/>
          <w:szCs w:val="20"/>
        </w:rPr>
      </w:pPr>
      <w:r w:rsidRPr="00CA3355">
        <w:rPr>
          <w:rFonts w:ascii="Times New Roman" w:hAnsi="Times New Roman" w:cs="Times New Roman"/>
          <w:kern w:val="0"/>
        </w:rPr>
        <w:t xml:space="preserve">Prior studies have argued that contextual antecedents can resolve the internal tensions of, as well as develop the simultaneous capabilities for, knowledge creation and knowledge utilization (Ambos et al., 2008). This study argues that organizational munificence builds the environmental capacity to sustain existing and new university missions, and </w:t>
      </w:r>
      <w:r w:rsidRPr="00CA3355">
        <w:rPr>
          <w:rFonts w:ascii="Times New Roman" w:hAnsi="Times New Roman" w:cs="Times New Roman"/>
          <w:i/>
          <w:kern w:val="0"/>
        </w:rPr>
        <w:t>organizational flexibility</w:t>
      </w:r>
      <w:r w:rsidRPr="00CA3355">
        <w:rPr>
          <w:rFonts w:ascii="Times New Roman" w:hAnsi="Times New Roman" w:cs="Times New Roman"/>
          <w:kern w:val="0"/>
        </w:rPr>
        <w:t xml:space="preserve"> creates multiple paths for these missions, which thereby encourages cross-functional coordination and integration between knowledge creation and knowledge utilization. Therefore, these antecedents may enhance efficacy in an organization which is capable of developing according to the paradigm of the entrepreneurial university (</w:t>
      </w:r>
      <w:proofErr w:type="spellStart"/>
      <w:r w:rsidRPr="00CA3355">
        <w:rPr>
          <w:rFonts w:ascii="Times New Roman" w:hAnsi="Times New Roman" w:cs="Times New Roman"/>
          <w:kern w:val="0"/>
        </w:rPr>
        <w:t>Etzkowitz</w:t>
      </w:r>
      <w:proofErr w:type="spellEnd"/>
      <w:r w:rsidRPr="00CA3355">
        <w:rPr>
          <w:rFonts w:ascii="Times New Roman" w:hAnsi="Times New Roman" w:cs="Times New Roman"/>
          <w:kern w:val="0"/>
        </w:rPr>
        <w:t>, 2003). However, Gibb et al. (2013) argue that universities are pluralistic organizations with different departments having very different organizational routines, orientations, and values. So, in the absence of departmental initiative, formal institutional contexts and flexibility may not be sufficient to inspire a department to develop the capacity or motivation to take up challenges in organizational adjustment required to make the transition to the entrepreneurial university. Rasmussen, Mosey, and Wright (2014) also think that university departments need to cultivate their ability to develop new organizational structures, routines and support, and to encourage and motivate their members to engage in new practices. Central to the concept of PO is the maintaining of the multiple competencies that characterize the ambidextrous organization (</w:t>
      </w:r>
      <w:proofErr w:type="spellStart"/>
      <w:r w:rsidRPr="00CA3355">
        <w:rPr>
          <w:rFonts w:ascii="Times New Roman" w:hAnsi="Times New Roman" w:cs="Times New Roman"/>
          <w:kern w:val="0"/>
        </w:rPr>
        <w:t>Etzkowitz</w:t>
      </w:r>
      <w:proofErr w:type="spellEnd"/>
      <w:r w:rsidRPr="00CA3355">
        <w:rPr>
          <w:rFonts w:ascii="Times New Roman" w:hAnsi="Times New Roman" w:cs="Times New Roman"/>
          <w:kern w:val="0"/>
        </w:rPr>
        <w:t xml:space="preserve">, 2003; Gibson &amp; </w:t>
      </w:r>
      <w:proofErr w:type="spellStart"/>
      <w:r w:rsidRPr="00CA3355">
        <w:rPr>
          <w:rFonts w:ascii="Times New Roman" w:hAnsi="Times New Roman" w:cs="Times New Roman"/>
          <w:kern w:val="0"/>
        </w:rPr>
        <w:t>Birkinshaw</w:t>
      </w:r>
      <w:proofErr w:type="spellEnd"/>
      <w:r w:rsidRPr="00CA3355">
        <w:rPr>
          <w:rFonts w:ascii="Times New Roman" w:hAnsi="Times New Roman" w:cs="Times New Roman"/>
          <w:kern w:val="0"/>
        </w:rPr>
        <w:t xml:space="preserve">, 2004; </w:t>
      </w:r>
      <w:proofErr w:type="spellStart"/>
      <w:r w:rsidRPr="00CA3355">
        <w:rPr>
          <w:rFonts w:ascii="Times New Roman" w:hAnsi="Times New Roman" w:cs="Times New Roman"/>
          <w:kern w:val="0"/>
        </w:rPr>
        <w:t>Tushman</w:t>
      </w:r>
      <w:proofErr w:type="spellEnd"/>
      <w:r w:rsidRPr="00CA3355">
        <w:rPr>
          <w:rFonts w:ascii="Times New Roman" w:hAnsi="Times New Roman" w:cs="Times New Roman"/>
          <w:kern w:val="0"/>
        </w:rPr>
        <w:t xml:space="preserve"> &amp; O'Reilly, 1996). Therefore, university departments have to develop PO as the organizational capability to create organizational practices, and then they can employ this capability to promote departmental collective efficacy according to the new university paradigm. Thus:</w:t>
      </w:r>
    </w:p>
    <w:p w14:paraId="78A384FD" w14:textId="792FCB05" w:rsidR="00BC2632" w:rsidRPr="008A0E33" w:rsidRDefault="00BC2632" w:rsidP="0057484E">
      <w:pPr>
        <w:widowControl/>
        <w:ind w:left="422" w:right="679"/>
        <w:jc w:val="both"/>
        <w:rPr>
          <w:rFonts w:ascii="Times New Roman" w:hAnsi="Times New Roman" w:cs="Times New Roman"/>
          <w:i/>
          <w:iCs/>
          <w:kern w:val="0"/>
        </w:rPr>
      </w:pPr>
      <w:r w:rsidRPr="008A0E33">
        <w:rPr>
          <w:rFonts w:ascii="Times New Roman" w:hAnsi="Times New Roman" w:cs="Times New Roman"/>
          <w:i/>
          <w:iCs/>
          <w:kern w:val="0"/>
        </w:rPr>
        <w:lastRenderedPageBreak/>
        <w:t xml:space="preserve">Hypothesis </w:t>
      </w:r>
      <w:r w:rsidR="00B273B9" w:rsidRPr="008A0E33">
        <w:rPr>
          <w:rFonts w:ascii="Times New Roman" w:hAnsi="Times New Roman" w:cs="Times New Roman"/>
          <w:i/>
          <w:iCs/>
          <w:kern w:val="0"/>
        </w:rPr>
        <w:t>5</w:t>
      </w:r>
      <w:r w:rsidR="00C2561A" w:rsidRPr="008A0E33">
        <w:rPr>
          <w:rFonts w:ascii="Times New Roman" w:hAnsi="Times New Roman" w:cs="Times New Roman"/>
          <w:i/>
          <w:iCs/>
          <w:kern w:val="0"/>
        </w:rPr>
        <w:t>a</w:t>
      </w:r>
      <w:r w:rsidRPr="008A0E33">
        <w:rPr>
          <w:rFonts w:ascii="Times New Roman" w:hAnsi="Times New Roman" w:cs="Times New Roman"/>
          <w:i/>
          <w:iCs/>
          <w:kern w:val="0"/>
        </w:rPr>
        <w:t>：</w:t>
      </w:r>
      <w:r w:rsidRPr="008A0E33">
        <w:rPr>
          <w:rFonts w:ascii="Times New Roman" w:hAnsi="Times New Roman" w:cs="Times New Roman"/>
          <w:i/>
          <w:iCs/>
          <w:kern w:val="0"/>
        </w:rPr>
        <w:t xml:space="preserve"> Pasteurian orientation mediates the relationship be</w:t>
      </w:r>
      <w:r w:rsidR="00C2561A" w:rsidRPr="008A0E33">
        <w:rPr>
          <w:rFonts w:ascii="Times New Roman" w:hAnsi="Times New Roman" w:cs="Times New Roman"/>
          <w:i/>
          <w:iCs/>
          <w:kern w:val="0"/>
        </w:rPr>
        <w:t>tween</w:t>
      </w:r>
      <w:r w:rsidRPr="008A0E33">
        <w:rPr>
          <w:rFonts w:ascii="Times New Roman" w:hAnsi="Times New Roman" w:cs="Times New Roman"/>
          <w:i/>
          <w:iCs/>
          <w:kern w:val="0"/>
        </w:rPr>
        <w:t xml:space="preserve"> </w:t>
      </w:r>
      <w:r w:rsidR="008A185E" w:rsidRPr="008A0E33">
        <w:rPr>
          <w:rFonts w:ascii="Times New Roman" w:hAnsi="Times New Roman" w:cs="Times New Roman"/>
          <w:i/>
          <w:iCs/>
          <w:kern w:val="0"/>
        </w:rPr>
        <w:t>organizational munificence</w:t>
      </w:r>
      <w:r w:rsidR="00C2561A" w:rsidRPr="008A0E33">
        <w:rPr>
          <w:rFonts w:ascii="Times New Roman" w:hAnsi="Times New Roman" w:cs="Times New Roman"/>
          <w:i/>
          <w:iCs/>
          <w:kern w:val="0"/>
        </w:rPr>
        <w:t xml:space="preserve"> </w:t>
      </w:r>
      <w:r w:rsidR="006D6626" w:rsidRPr="008A0E33">
        <w:rPr>
          <w:rFonts w:ascii="Times New Roman" w:hAnsi="Times New Roman" w:cs="Times New Roman"/>
          <w:i/>
          <w:iCs/>
          <w:kern w:val="0"/>
        </w:rPr>
        <w:t>and departmenta</w:t>
      </w:r>
      <w:r w:rsidRPr="008A0E33">
        <w:rPr>
          <w:rFonts w:ascii="Times New Roman" w:hAnsi="Times New Roman" w:cs="Times New Roman"/>
          <w:i/>
          <w:iCs/>
          <w:kern w:val="0"/>
        </w:rPr>
        <w:t xml:space="preserve">l </w:t>
      </w:r>
      <w:r w:rsidR="009E0DC6" w:rsidRPr="008A0E33">
        <w:rPr>
          <w:rFonts w:ascii="Times New Roman" w:hAnsi="Times New Roman" w:cs="Times New Roman"/>
          <w:i/>
          <w:iCs/>
          <w:kern w:val="0"/>
        </w:rPr>
        <w:t>collective efficacy</w:t>
      </w:r>
      <w:r w:rsidRPr="008A0E33">
        <w:rPr>
          <w:rFonts w:ascii="Times New Roman" w:hAnsi="Times New Roman" w:cs="Times New Roman"/>
          <w:i/>
          <w:iCs/>
          <w:kern w:val="0"/>
        </w:rPr>
        <w:t>.</w:t>
      </w:r>
    </w:p>
    <w:p w14:paraId="1C9B577A" w14:textId="768B0C4E" w:rsidR="00C2561A" w:rsidRPr="008A0E33" w:rsidRDefault="00C2561A" w:rsidP="0057484E">
      <w:pPr>
        <w:widowControl/>
        <w:ind w:left="422" w:right="679"/>
        <w:jc w:val="both"/>
        <w:rPr>
          <w:rFonts w:ascii="Times New Roman" w:hAnsi="Times New Roman" w:cs="Times New Roman"/>
          <w:i/>
          <w:iCs/>
          <w:kern w:val="0"/>
        </w:rPr>
      </w:pPr>
      <w:r w:rsidRPr="008A0E33">
        <w:rPr>
          <w:rFonts w:ascii="Times New Roman" w:hAnsi="Times New Roman" w:cs="Times New Roman"/>
          <w:i/>
          <w:iCs/>
          <w:kern w:val="0"/>
        </w:rPr>
        <w:t>Hypothesis 5b</w:t>
      </w:r>
      <w:r w:rsidRPr="008A0E33">
        <w:rPr>
          <w:rFonts w:ascii="Times New Roman" w:hAnsi="Times New Roman" w:cs="Times New Roman"/>
          <w:i/>
          <w:iCs/>
          <w:kern w:val="0"/>
        </w:rPr>
        <w:t>：</w:t>
      </w:r>
      <w:r w:rsidRPr="008A0E33">
        <w:rPr>
          <w:rFonts w:ascii="Times New Roman" w:hAnsi="Times New Roman" w:cs="Times New Roman"/>
          <w:i/>
          <w:iCs/>
          <w:kern w:val="0"/>
        </w:rPr>
        <w:t xml:space="preserve"> Pasteurian orientation mediates the relationship between </w:t>
      </w:r>
      <w:r w:rsidR="006D6626" w:rsidRPr="008A0E33">
        <w:rPr>
          <w:rFonts w:ascii="Times New Roman" w:hAnsi="Times New Roman" w:cs="Times New Roman"/>
          <w:i/>
          <w:iCs/>
          <w:kern w:val="0"/>
        </w:rPr>
        <w:t>organizational</w:t>
      </w:r>
      <w:r w:rsidRPr="008A0E33">
        <w:rPr>
          <w:rFonts w:ascii="Times New Roman" w:hAnsi="Times New Roman" w:cs="Times New Roman"/>
          <w:i/>
          <w:iCs/>
          <w:kern w:val="0"/>
        </w:rPr>
        <w:t xml:space="preserve"> </w:t>
      </w:r>
      <w:r w:rsidR="006D6626" w:rsidRPr="008A0E33">
        <w:rPr>
          <w:rFonts w:ascii="Times New Roman" w:hAnsi="Times New Roman" w:cs="Times New Roman"/>
          <w:i/>
          <w:iCs/>
          <w:kern w:val="0"/>
        </w:rPr>
        <w:t>flexibility</w:t>
      </w:r>
      <w:r w:rsidRPr="008A0E33">
        <w:rPr>
          <w:rFonts w:ascii="Times New Roman" w:hAnsi="Times New Roman" w:cs="Times New Roman"/>
          <w:i/>
          <w:iCs/>
          <w:kern w:val="0"/>
        </w:rPr>
        <w:t xml:space="preserve"> and </w:t>
      </w:r>
      <w:r w:rsidR="002A46B9" w:rsidRPr="008A0E33">
        <w:rPr>
          <w:rFonts w:ascii="Times New Roman" w:hAnsi="Times New Roman" w:cs="Times New Roman"/>
          <w:i/>
          <w:iCs/>
          <w:kern w:val="0"/>
        </w:rPr>
        <w:t>Departmental collective efficacy</w:t>
      </w:r>
      <w:r w:rsidRPr="008A0E33">
        <w:rPr>
          <w:rFonts w:ascii="Times New Roman" w:hAnsi="Times New Roman" w:cs="Times New Roman"/>
          <w:i/>
          <w:iCs/>
          <w:kern w:val="0"/>
        </w:rPr>
        <w:t>.</w:t>
      </w:r>
    </w:p>
    <w:p w14:paraId="064DA95F" w14:textId="77777777" w:rsidR="00C2561A" w:rsidRPr="008A0E33" w:rsidRDefault="00C2561A" w:rsidP="0057484E">
      <w:pPr>
        <w:widowControl/>
        <w:ind w:left="422" w:right="679"/>
        <w:jc w:val="both"/>
        <w:rPr>
          <w:rFonts w:ascii="Times" w:hAnsi="Times" w:cs="Times New Roman"/>
          <w:kern w:val="0"/>
          <w:sz w:val="20"/>
          <w:szCs w:val="20"/>
        </w:rPr>
      </w:pPr>
    </w:p>
    <w:p w14:paraId="3431C862" w14:textId="1F333F9F" w:rsidR="00BC2632" w:rsidRPr="008A0E33" w:rsidRDefault="00CA3355" w:rsidP="0057484E">
      <w:pPr>
        <w:widowControl/>
        <w:ind w:left="422" w:right="-2"/>
        <w:jc w:val="both"/>
        <w:rPr>
          <w:rFonts w:ascii="Times" w:hAnsi="Times" w:cs="Times New Roman"/>
          <w:kern w:val="0"/>
          <w:sz w:val="20"/>
          <w:szCs w:val="20"/>
        </w:rPr>
      </w:pPr>
      <w:r w:rsidRPr="00CA3355">
        <w:rPr>
          <w:rFonts w:ascii="Times New Roman" w:hAnsi="Times New Roman" w:cs="Times New Roman"/>
          <w:kern w:val="0"/>
        </w:rPr>
        <w:t>This study’s research framework and the corresponding hypotheses are depicted in Figure 3.</w:t>
      </w:r>
    </w:p>
    <w:p w14:paraId="74E135C9"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7ED94638" w14:textId="3CDFFDD2"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 xml:space="preserve">Insert Figure </w:t>
      </w:r>
      <w:r w:rsidR="00B71C96" w:rsidRPr="008A0E33">
        <w:rPr>
          <w:rFonts w:ascii="Times New Roman" w:hAnsi="Times New Roman" w:cs="Times New Roman"/>
          <w:kern w:val="0"/>
        </w:rPr>
        <w:t>3</w:t>
      </w:r>
      <w:r w:rsidRPr="008A0E33">
        <w:rPr>
          <w:rFonts w:ascii="Times New Roman" w:hAnsi="Times New Roman" w:cs="Times New Roman"/>
          <w:kern w:val="0"/>
        </w:rPr>
        <w:t xml:space="preserve"> Here</w:t>
      </w:r>
    </w:p>
    <w:p w14:paraId="7067C941"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8A0A6A4" w14:textId="77777777" w:rsidR="00BC2632" w:rsidRPr="008A0E33" w:rsidRDefault="00BC2632" w:rsidP="0057484E">
      <w:pPr>
        <w:widowControl/>
        <w:ind w:right="65"/>
        <w:jc w:val="both"/>
        <w:rPr>
          <w:rFonts w:ascii="Times" w:hAnsi="Times" w:cs="Times New Roman"/>
          <w:kern w:val="0"/>
          <w:sz w:val="20"/>
          <w:szCs w:val="20"/>
        </w:rPr>
      </w:pPr>
      <w:r w:rsidRPr="008A0E33">
        <w:rPr>
          <w:rFonts w:ascii="Times New Roman" w:hAnsi="Times New Roman" w:cs="Times New Roman"/>
          <w:b/>
          <w:bCs/>
          <w:kern w:val="0"/>
        </w:rPr>
        <w:t>3. Methods</w:t>
      </w:r>
    </w:p>
    <w:p w14:paraId="2625CE4D" w14:textId="77777777" w:rsidR="00BC2632" w:rsidRPr="008A0E33" w:rsidRDefault="00BC2632" w:rsidP="0057484E">
      <w:pPr>
        <w:widowControl/>
        <w:ind w:right="65"/>
        <w:jc w:val="both"/>
        <w:rPr>
          <w:rFonts w:ascii="Times" w:hAnsi="Times" w:cs="Times New Roman"/>
          <w:kern w:val="0"/>
          <w:sz w:val="20"/>
          <w:szCs w:val="20"/>
        </w:rPr>
      </w:pPr>
      <w:r w:rsidRPr="008A0E33">
        <w:rPr>
          <w:rFonts w:ascii="Times New Roman" w:hAnsi="Times New Roman" w:cs="Times New Roman"/>
          <w:b/>
          <w:bCs/>
          <w:kern w:val="0"/>
        </w:rPr>
        <w:t>3.1 The Taiwanese institutional context</w:t>
      </w:r>
    </w:p>
    <w:p w14:paraId="4AEF7342" w14:textId="77777777" w:rsidR="00CA3355" w:rsidRPr="00CA3355" w:rsidRDefault="00CA3355" w:rsidP="00CA3355">
      <w:pPr>
        <w:widowControl/>
        <w:ind w:firstLine="240"/>
        <w:jc w:val="both"/>
        <w:rPr>
          <w:rFonts w:ascii="Times New Roman" w:hAnsi="Times New Roman" w:cs="Times New Roman"/>
          <w:kern w:val="0"/>
        </w:rPr>
      </w:pPr>
      <w:r w:rsidRPr="00CA3355">
        <w:rPr>
          <w:rFonts w:ascii="Times New Roman" w:hAnsi="Times New Roman" w:cs="Times New Roman"/>
          <w:kern w:val="0"/>
        </w:rPr>
        <w:t xml:space="preserve">Inspired by the U.S. </w:t>
      </w:r>
      <w:r w:rsidRPr="00CA3355">
        <w:rPr>
          <w:rFonts w:ascii="Times New Roman" w:hAnsi="Times New Roman" w:cs="Times New Roman"/>
          <w:i/>
          <w:kern w:val="0"/>
        </w:rPr>
        <w:t>Bayh-Dole Act</w:t>
      </w:r>
      <w:r w:rsidRPr="00CA3355">
        <w:rPr>
          <w:rFonts w:ascii="Times New Roman" w:hAnsi="Times New Roman" w:cs="Times New Roman"/>
          <w:kern w:val="0"/>
        </w:rPr>
        <w:t xml:space="preserve"> of 1980, Taiwan enacted the </w:t>
      </w:r>
      <w:r w:rsidRPr="00CA3355">
        <w:rPr>
          <w:rFonts w:ascii="Times New Roman" w:hAnsi="Times New Roman" w:cs="Times New Roman"/>
          <w:i/>
          <w:kern w:val="0"/>
        </w:rPr>
        <w:t>Science and Technology Basic Law</w:t>
      </w:r>
      <w:r w:rsidRPr="00CA3355">
        <w:rPr>
          <w:rFonts w:ascii="Times New Roman" w:hAnsi="Times New Roman" w:cs="Times New Roman"/>
          <w:kern w:val="0"/>
        </w:rPr>
        <w:t xml:space="preserve"> in 1999. Specifically, Article 6 allows universities to claim the ownership of IPRs derived from government-funded research and removes other restrictions allowing a more decentralized licensing policy. Consequently, Taiwanese universities have increased their number of patent grants and licensing income, while universities are encouraged to develop research partnerships with industry (Chang et al., 2008).</w:t>
      </w:r>
    </w:p>
    <w:p w14:paraId="5F258171" w14:textId="77777777" w:rsidR="00CA3355" w:rsidRPr="00CA3355" w:rsidRDefault="00CA3355" w:rsidP="00CA3355">
      <w:pPr>
        <w:widowControl/>
        <w:ind w:firstLine="240"/>
        <w:jc w:val="both"/>
        <w:rPr>
          <w:rFonts w:ascii="Times New Roman" w:hAnsi="Times New Roman" w:cs="Times New Roman"/>
          <w:kern w:val="0"/>
        </w:rPr>
      </w:pPr>
      <w:r w:rsidRPr="00CA3355">
        <w:rPr>
          <w:rFonts w:ascii="Times New Roman" w:hAnsi="Times New Roman" w:cs="Times New Roman"/>
          <w:kern w:val="0"/>
        </w:rPr>
        <w:t>The list of top ten universities in terms of domestic patent grants is shown in Table 1. The primary participants in generating patent grants are public universities, and there is also a different pattern in the patent grants of public and private universities. Public universities have focused on ‘utility’ patents, whereas private universities, including Far East University, and Southern Taiwan University of Science and Technology, have focused more on non-utility patents that reflect their interests and the features of their inventions. Statistics also show a substantial increase in paper publication, patenting, licensing, and venture incubation between 2006 and 2010 (see Table 2).</w:t>
      </w:r>
    </w:p>
    <w:p w14:paraId="1DF7EF56" w14:textId="44D56E26" w:rsidR="00BC2632" w:rsidRPr="008A0E33" w:rsidRDefault="00BC2632" w:rsidP="0057484E">
      <w:pPr>
        <w:widowControl/>
        <w:ind w:firstLine="240"/>
        <w:jc w:val="both"/>
        <w:rPr>
          <w:rFonts w:ascii="Times" w:hAnsi="Times" w:cs="Times New Roman"/>
          <w:kern w:val="0"/>
          <w:sz w:val="20"/>
          <w:szCs w:val="20"/>
        </w:rPr>
      </w:pPr>
      <w:r w:rsidRPr="008A0E33">
        <w:rPr>
          <w:rFonts w:ascii="Times New Roman" w:hAnsi="Times New Roman" w:cs="Times New Roman"/>
          <w:kern w:val="0"/>
        </w:rPr>
        <w:t xml:space="preserve"> </w:t>
      </w:r>
    </w:p>
    <w:p w14:paraId="4BA56FC9"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24BE5F0B"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1 Here</w:t>
      </w:r>
    </w:p>
    <w:p w14:paraId="3650E77D" w14:textId="77777777" w:rsidR="00BC2632" w:rsidRPr="008A0E33" w:rsidRDefault="00BC2632" w:rsidP="0057484E">
      <w:pPr>
        <w:widowControl/>
        <w:jc w:val="center"/>
        <w:rPr>
          <w:rFonts w:ascii="Times" w:hAnsi="Times" w:cs="Times New Roman"/>
          <w:kern w:val="0"/>
          <w:sz w:val="20"/>
          <w:szCs w:val="20"/>
        </w:rPr>
      </w:pPr>
      <w:r w:rsidRPr="008A0E33">
        <w:rPr>
          <w:rFonts w:ascii="Times New Roman" w:hAnsi="Times New Roman" w:cs="Times New Roman"/>
          <w:kern w:val="0"/>
        </w:rPr>
        <w:t> -------------------------</w:t>
      </w:r>
    </w:p>
    <w:p w14:paraId="58CD6C9E"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BCCCACE"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2 Here</w:t>
      </w:r>
    </w:p>
    <w:p w14:paraId="5A8D1FC5" w14:textId="77777777" w:rsidR="00BC2632" w:rsidRPr="008A0E33" w:rsidRDefault="00BC2632" w:rsidP="0057484E">
      <w:pPr>
        <w:widowControl/>
        <w:jc w:val="center"/>
        <w:rPr>
          <w:rFonts w:ascii="Times" w:hAnsi="Times" w:cs="Times New Roman"/>
          <w:kern w:val="0"/>
          <w:sz w:val="20"/>
          <w:szCs w:val="20"/>
        </w:rPr>
      </w:pPr>
      <w:r w:rsidRPr="008A0E33">
        <w:rPr>
          <w:rFonts w:ascii="Times New Roman" w:hAnsi="Times New Roman" w:cs="Times New Roman"/>
          <w:b/>
          <w:bCs/>
          <w:kern w:val="0"/>
        </w:rPr>
        <w:t> -------------------------</w:t>
      </w:r>
    </w:p>
    <w:p w14:paraId="7308A7B9" w14:textId="77777777" w:rsidR="00BC2632" w:rsidRPr="008A0E33" w:rsidRDefault="00BC2632" w:rsidP="0057484E">
      <w:pPr>
        <w:widowControl/>
        <w:ind w:right="65"/>
        <w:jc w:val="both"/>
        <w:rPr>
          <w:rFonts w:ascii="Times" w:hAnsi="Times" w:cs="Times New Roman"/>
          <w:kern w:val="0"/>
          <w:sz w:val="20"/>
          <w:szCs w:val="20"/>
        </w:rPr>
      </w:pPr>
      <w:r w:rsidRPr="008A0E33">
        <w:rPr>
          <w:rFonts w:ascii="Times New Roman" w:hAnsi="Times New Roman" w:cs="Times New Roman"/>
          <w:b/>
          <w:bCs/>
          <w:kern w:val="0"/>
        </w:rPr>
        <w:t>3.2 Questionnaire development</w:t>
      </w:r>
    </w:p>
    <w:p w14:paraId="46AE23C7" w14:textId="77777777" w:rsidR="002F15E3" w:rsidRPr="002F15E3" w:rsidRDefault="002F15E3" w:rsidP="002F15E3">
      <w:pPr>
        <w:widowControl/>
        <w:ind w:firstLine="240"/>
        <w:jc w:val="both"/>
        <w:rPr>
          <w:rFonts w:ascii="Times New Roman" w:hAnsi="Times New Roman" w:cs="Times New Roman"/>
          <w:kern w:val="0"/>
        </w:rPr>
      </w:pPr>
      <w:r w:rsidRPr="002F15E3">
        <w:rPr>
          <w:rFonts w:ascii="Times New Roman" w:hAnsi="Times New Roman" w:cs="Times New Roman"/>
          <w:kern w:val="0"/>
        </w:rPr>
        <w:lastRenderedPageBreak/>
        <w:t>A questionnaire was developed with three parts. The first part concerns contextual antecedents, namely, organizational munificence, and organizational flexibility, and is followed by a PO part and a departmental collective efficacy part. The six organizational munificence items focus on the investigation of the degree of munificence, in terms of resources, long-term support and strategic objectives, enjoyed by the department (</w:t>
      </w:r>
      <w:proofErr w:type="spellStart"/>
      <w:r w:rsidRPr="002F15E3">
        <w:rPr>
          <w:rFonts w:ascii="Times New Roman" w:hAnsi="Times New Roman" w:cs="Times New Roman"/>
          <w:kern w:val="0"/>
        </w:rPr>
        <w:t>Bercovitz</w:t>
      </w:r>
      <w:proofErr w:type="spellEnd"/>
      <w:r w:rsidRPr="002F15E3">
        <w:rPr>
          <w:rFonts w:ascii="Times New Roman" w:hAnsi="Times New Roman" w:cs="Times New Roman"/>
          <w:kern w:val="0"/>
        </w:rPr>
        <w:t xml:space="preserve"> &amp; Feldman, 2008; Clark, 2004; Landry et al., 2006), as perceived by the department, and the three items of organizational flexibility were taken from </w:t>
      </w:r>
      <w:proofErr w:type="spellStart"/>
      <w:r w:rsidRPr="002F15E3">
        <w:rPr>
          <w:rFonts w:ascii="Times New Roman" w:hAnsi="Times New Roman" w:cs="Times New Roman"/>
          <w:kern w:val="0"/>
        </w:rPr>
        <w:t>Volberda</w:t>
      </w:r>
      <w:proofErr w:type="spellEnd"/>
      <w:r w:rsidRPr="002F15E3">
        <w:rPr>
          <w:rFonts w:ascii="Times New Roman" w:hAnsi="Times New Roman" w:cs="Times New Roman"/>
          <w:kern w:val="0"/>
        </w:rPr>
        <w:t xml:space="preserve"> (1996). The 14 PO items were adapted from Chang et al. (2009) and the three departmental collective efficacy items were developed referring to Riggs, </w:t>
      </w:r>
      <w:proofErr w:type="spellStart"/>
      <w:r w:rsidRPr="002F15E3">
        <w:rPr>
          <w:rFonts w:ascii="Times New Roman" w:hAnsi="Times New Roman" w:cs="Times New Roman"/>
          <w:kern w:val="0"/>
        </w:rPr>
        <w:t>Warka</w:t>
      </w:r>
      <w:proofErr w:type="spellEnd"/>
      <w:r w:rsidRPr="002F15E3">
        <w:rPr>
          <w:rFonts w:ascii="Times New Roman" w:hAnsi="Times New Roman" w:cs="Times New Roman"/>
          <w:kern w:val="0"/>
        </w:rPr>
        <w:t xml:space="preserve">, </w:t>
      </w:r>
      <w:proofErr w:type="spellStart"/>
      <w:r w:rsidRPr="002F15E3">
        <w:rPr>
          <w:rFonts w:ascii="Times New Roman" w:hAnsi="Times New Roman" w:cs="Times New Roman"/>
          <w:kern w:val="0"/>
        </w:rPr>
        <w:t>Babasa</w:t>
      </w:r>
      <w:proofErr w:type="spellEnd"/>
      <w:r w:rsidRPr="002F15E3">
        <w:rPr>
          <w:rFonts w:ascii="Times New Roman" w:hAnsi="Times New Roman" w:cs="Times New Roman"/>
          <w:kern w:val="0"/>
        </w:rPr>
        <w:t>, Betancourt, and Hooker (1994). All of the contextual antecedents, PO, and departmental collective efficacy survey items used a 7-point Likert scale.</w:t>
      </w:r>
    </w:p>
    <w:p w14:paraId="50A236D7" w14:textId="77777777"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3.3 Sampling and Respondents</w:t>
      </w:r>
    </w:p>
    <w:p w14:paraId="1E6D572C" w14:textId="77777777" w:rsidR="002F15E3" w:rsidRPr="002F15E3" w:rsidRDefault="002F15E3" w:rsidP="002F15E3">
      <w:pPr>
        <w:widowControl/>
        <w:ind w:firstLine="240"/>
        <w:jc w:val="both"/>
        <w:rPr>
          <w:rFonts w:ascii="Times New Roman" w:hAnsi="Times New Roman" w:cs="Times New Roman"/>
          <w:kern w:val="0"/>
        </w:rPr>
      </w:pPr>
      <w:r w:rsidRPr="002F15E3">
        <w:rPr>
          <w:rFonts w:ascii="Times New Roman" w:hAnsi="Times New Roman" w:cs="Times New Roman"/>
          <w:kern w:val="0"/>
        </w:rPr>
        <w:t xml:space="preserve">Sampling in this study focused on university departments of science, engineering, and medical research since they have a greater ability to commercialize their research results. In contrast to the formal activities (i.e., patents, licensing, or spin-offs) undertaken there, informal activities (i.e., consultancies, training programs) are preferred from faculty members in social science and humanities departments (Abreu and </w:t>
      </w:r>
      <w:proofErr w:type="spellStart"/>
      <w:r w:rsidRPr="002F15E3">
        <w:rPr>
          <w:rFonts w:ascii="Times New Roman" w:hAnsi="Times New Roman" w:cs="Times New Roman"/>
          <w:kern w:val="0"/>
        </w:rPr>
        <w:t>Grinevich</w:t>
      </w:r>
      <w:proofErr w:type="spellEnd"/>
      <w:r w:rsidRPr="002F15E3">
        <w:rPr>
          <w:rFonts w:ascii="Times New Roman" w:hAnsi="Times New Roman" w:cs="Times New Roman"/>
          <w:kern w:val="0"/>
        </w:rPr>
        <w:t>, 2013) and so these disciplines were excluded from the survey.</w:t>
      </w:r>
    </w:p>
    <w:p w14:paraId="63B5FD16" w14:textId="77777777" w:rsidR="002F15E3" w:rsidRPr="002F15E3" w:rsidRDefault="002F15E3" w:rsidP="002F15E3">
      <w:pPr>
        <w:widowControl/>
        <w:ind w:firstLine="240"/>
        <w:jc w:val="both"/>
        <w:rPr>
          <w:rFonts w:ascii="Times New Roman" w:hAnsi="Times New Roman" w:cs="Times New Roman"/>
          <w:kern w:val="0"/>
        </w:rPr>
      </w:pPr>
      <w:r w:rsidRPr="002F15E3">
        <w:rPr>
          <w:rFonts w:ascii="Times New Roman" w:hAnsi="Times New Roman" w:cs="Times New Roman"/>
          <w:kern w:val="0"/>
        </w:rPr>
        <w:t>Because of the differentiation in organizational contexts and presumed PO orientation, six universities were chosen to represent the different forms of university, four (one medical and three general) public universities (Universities A, B, C &amp; D), one private general university (University E), and one private technical university (University F). Finally, the original survey list of the 29 schools and 172 departments within these universities was prepared, collecting data from their websites.</w:t>
      </w:r>
    </w:p>
    <w:p w14:paraId="57BB277B" w14:textId="77777777" w:rsidR="002F15E3" w:rsidRPr="002F15E3" w:rsidRDefault="002F15E3" w:rsidP="002F15E3">
      <w:pPr>
        <w:widowControl/>
        <w:ind w:firstLine="240"/>
        <w:jc w:val="both"/>
        <w:rPr>
          <w:rFonts w:ascii="Times New Roman" w:hAnsi="Times New Roman" w:cs="Times New Roman"/>
          <w:kern w:val="0"/>
        </w:rPr>
      </w:pPr>
      <w:r w:rsidRPr="002F15E3">
        <w:rPr>
          <w:rFonts w:ascii="Times New Roman" w:hAnsi="Times New Roman" w:cs="Times New Roman"/>
          <w:kern w:val="0"/>
        </w:rPr>
        <w:t xml:space="preserve">Questionnaire responses were collected from administrators and faculty members who serve in the same department to assess department-level characteristics. In line with multilevel theory, our model consists of “shared unit-level constructs” that we presumed to be shared within a department (Klein &amp; </w:t>
      </w:r>
      <w:proofErr w:type="spellStart"/>
      <w:r w:rsidRPr="002F15E3">
        <w:rPr>
          <w:rFonts w:ascii="Times New Roman" w:hAnsi="Times New Roman" w:cs="Times New Roman"/>
          <w:kern w:val="0"/>
        </w:rPr>
        <w:t>Koslowski</w:t>
      </w:r>
      <w:proofErr w:type="spellEnd"/>
      <w:r w:rsidRPr="002F15E3">
        <w:rPr>
          <w:rFonts w:ascii="Times New Roman" w:hAnsi="Times New Roman" w:cs="Times New Roman"/>
          <w:kern w:val="0"/>
        </w:rPr>
        <w:t>, 2000: 41). However, to avoid the common method variance (CMV) problem, this paper adopted the following questionnaire design. First, the contextual antecedent questions are answered by administrator(s) and reflect the departmental context. Second, the Pasteurian orientation (PO) construct questions are answered by all faculty members in each department and then aggregated to represent department-level PO. Specifically, we compute the multiplicative interaction between KUO and KCO to reflect the theoretical concept of PO.</w:t>
      </w:r>
    </w:p>
    <w:p w14:paraId="41E68881" w14:textId="77777777" w:rsidR="002F15E3" w:rsidRPr="002F15E3" w:rsidRDefault="002F15E3" w:rsidP="002F15E3">
      <w:pPr>
        <w:widowControl/>
        <w:ind w:firstLine="240"/>
        <w:jc w:val="both"/>
        <w:rPr>
          <w:rFonts w:ascii="Times New Roman" w:hAnsi="Times New Roman" w:cs="Times New Roman"/>
          <w:kern w:val="0"/>
        </w:rPr>
      </w:pPr>
      <w:r w:rsidRPr="002F15E3">
        <w:rPr>
          <w:rFonts w:ascii="Times New Roman" w:hAnsi="Times New Roman" w:cs="Times New Roman"/>
          <w:kern w:val="0"/>
        </w:rPr>
        <w:lastRenderedPageBreak/>
        <w:t>In addition, the dimensions KUO and KCO are computed through multiplicative interaction between o</w:t>
      </w:r>
      <w:r w:rsidRPr="002F15E3">
        <w:rPr>
          <w:rFonts w:ascii="Times New Roman" w:hAnsi="Times New Roman" w:cs="Times New Roman"/>
          <w:i/>
          <w:kern w:val="0"/>
        </w:rPr>
        <w:t>rganizational support</w:t>
      </w:r>
      <w:r w:rsidRPr="002F15E3">
        <w:rPr>
          <w:rFonts w:ascii="Times New Roman" w:hAnsi="Times New Roman" w:cs="Times New Roman"/>
          <w:kern w:val="0"/>
        </w:rPr>
        <w:t xml:space="preserve"> and </w:t>
      </w:r>
      <w:r w:rsidRPr="002F15E3">
        <w:rPr>
          <w:rFonts w:ascii="Times New Roman" w:hAnsi="Times New Roman" w:cs="Times New Roman"/>
          <w:i/>
          <w:kern w:val="0"/>
        </w:rPr>
        <w:t>faculty engagement</w:t>
      </w:r>
      <w:r w:rsidRPr="002F15E3">
        <w:rPr>
          <w:rFonts w:ascii="Times New Roman" w:hAnsi="Times New Roman" w:cs="Times New Roman"/>
          <w:kern w:val="0"/>
        </w:rPr>
        <w:t>. This composition of KUO and KCO is based on prior findings that the two mechanisms are non-substitutable and interdependent. Finally, the dimension of departmental collective efficacy is aggregated from the answers of all of the respondents in each department.</w:t>
      </w:r>
    </w:p>
    <w:p w14:paraId="440F8924" w14:textId="77777777" w:rsidR="002F15E3" w:rsidRPr="002F15E3" w:rsidRDefault="002F15E3" w:rsidP="002F15E3">
      <w:pPr>
        <w:widowControl/>
        <w:ind w:firstLine="240"/>
        <w:jc w:val="both"/>
        <w:rPr>
          <w:rFonts w:ascii="Times New Roman" w:hAnsi="Times New Roman" w:cs="Times New Roman"/>
          <w:kern w:val="0"/>
        </w:rPr>
      </w:pPr>
      <w:r w:rsidRPr="002F15E3">
        <w:rPr>
          <w:rFonts w:ascii="Times New Roman" w:hAnsi="Times New Roman" w:cs="Times New Roman"/>
          <w:kern w:val="0"/>
        </w:rPr>
        <w:t>The paper built a complete survey list by referring to both university websites and the Ministry of Science and Technology academic researcher database. Overall, the total size of the sample in the six universities was 2,868 faculty members. The study also compared respondents with non-respondents, in terms of position (χ</w:t>
      </w:r>
      <w:r w:rsidRPr="002F15E3">
        <w:rPr>
          <w:rFonts w:ascii="Times New Roman" w:hAnsi="Times New Roman" w:cs="Times New Roman"/>
          <w:kern w:val="0"/>
          <w:vertAlign w:val="superscript"/>
        </w:rPr>
        <w:t>2</w:t>
      </w:r>
      <w:r w:rsidRPr="002F15E3">
        <w:rPr>
          <w:rFonts w:ascii="Times New Roman" w:hAnsi="Times New Roman" w:cs="Times New Roman"/>
          <w:kern w:val="0"/>
        </w:rPr>
        <w:t>= .97, p= .629), age (χ</w:t>
      </w:r>
      <w:r w:rsidRPr="002F15E3">
        <w:rPr>
          <w:rFonts w:ascii="Times New Roman" w:hAnsi="Times New Roman" w:cs="Times New Roman"/>
          <w:kern w:val="0"/>
          <w:vertAlign w:val="superscript"/>
        </w:rPr>
        <w:t>2</w:t>
      </w:r>
      <w:r w:rsidRPr="002F15E3">
        <w:rPr>
          <w:rFonts w:ascii="Times New Roman" w:hAnsi="Times New Roman" w:cs="Times New Roman"/>
          <w:kern w:val="0"/>
        </w:rPr>
        <w:t>= 1.00, p= .484), and tenure (χ</w:t>
      </w:r>
      <w:r w:rsidRPr="002F15E3">
        <w:rPr>
          <w:rFonts w:ascii="Times New Roman" w:hAnsi="Times New Roman" w:cs="Times New Roman"/>
          <w:kern w:val="0"/>
          <w:vertAlign w:val="superscript"/>
        </w:rPr>
        <w:t>2</w:t>
      </w:r>
      <w:r w:rsidRPr="002F15E3">
        <w:rPr>
          <w:rFonts w:ascii="Times New Roman" w:hAnsi="Times New Roman" w:cs="Times New Roman"/>
          <w:kern w:val="0"/>
        </w:rPr>
        <w:t>= .82, p= .945) of respondents, indicating non-response bias was minimal. After a three-round survey collection process, we obtained 711 returned questionnaires, an overall 26% response rate. To meet our analysis criteria, we required that at least one administrator and four faculty members respond to be recognized as a valid sample of the department. Finally, there were 634 valid questionnaires, representing 27 schools and 99 departments. Table 3 provides a brief breakdown of the respondents.</w:t>
      </w:r>
    </w:p>
    <w:p w14:paraId="57C93A46"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DCD73D5"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3 Here</w:t>
      </w:r>
    </w:p>
    <w:p w14:paraId="2DE19B81"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431777A2" w14:textId="6BA6017C" w:rsidR="00BC2632" w:rsidRPr="008A0E33" w:rsidRDefault="002F15E3" w:rsidP="0057484E">
      <w:pPr>
        <w:widowControl/>
        <w:ind w:firstLine="240"/>
        <w:jc w:val="both"/>
        <w:rPr>
          <w:rFonts w:ascii="Times" w:hAnsi="Times" w:cs="Times New Roman"/>
          <w:kern w:val="0"/>
          <w:sz w:val="20"/>
          <w:szCs w:val="20"/>
        </w:rPr>
      </w:pPr>
      <w:r w:rsidRPr="002F15E3">
        <w:rPr>
          <w:rFonts w:ascii="Times New Roman" w:hAnsi="Times New Roman" w:cs="Times New Roman"/>
          <w:kern w:val="0"/>
        </w:rPr>
        <w:t>Specifically, the respondents included 157 department administrators and 477 non-administrative faculty members. In some departments, questionnaires were answered by more than one administrator, including by administrative heads, chairs of departments or institutes, and directors of administrative offices. Overall, there were 70 departments where only one administrator answered the survey, but the average number of administrator replies per department was 2.20. The answers of all administrators in the same department were averaged to represent the status of the department. In terms of gender, there were 368 male respondents (83% of the respondents). There were 342 full professors (54%), 139 associate professors (22%), and 133 assistant professors (21%). The length of career of the respondents was 13.6 years on average. However, there were 393 respondents (62%) who had already received tenure as faculty members.</w:t>
      </w:r>
    </w:p>
    <w:p w14:paraId="76555E89" w14:textId="77777777" w:rsidR="00BC2632" w:rsidRPr="008A0E33" w:rsidRDefault="00BC2632" w:rsidP="0057484E">
      <w:pPr>
        <w:widowControl/>
        <w:outlineLvl w:val="1"/>
        <w:rPr>
          <w:rFonts w:ascii="Times" w:eastAsia="Times New Roman" w:hAnsi="Times" w:cs="Times New Roman"/>
          <w:b/>
          <w:bCs/>
          <w:kern w:val="0"/>
          <w:sz w:val="36"/>
          <w:szCs w:val="36"/>
        </w:rPr>
      </w:pPr>
      <w:r w:rsidRPr="008A0E33">
        <w:rPr>
          <w:rFonts w:ascii="Times New Roman" w:eastAsia="Times New Roman" w:hAnsi="Times New Roman" w:cs="Times New Roman"/>
          <w:b/>
          <w:bCs/>
          <w:kern w:val="0"/>
        </w:rPr>
        <w:t>3.4 Measurements</w:t>
      </w:r>
    </w:p>
    <w:p w14:paraId="4418A20F" w14:textId="1EEF010A" w:rsidR="00BC2632" w:rsidRPr="008A0E33" w:rsidRDefault="000518DC" w:rsidP="0057484E">
      <w:pPr>
        <w:widowControl/>
        <w:outlineLvl w:val="2"/>
        <w:rPr>
          <w:rFonts w:ascii="Times" w:eastAsia="Times New Roman" w:hAnsi="Times" w:cs="Times New Roman"/>
          <w:b/>
          <w:bCs/>
          <w:kern w:val="0"/>
          <w:sz w:val="27"/>
          <w:szCs w:val="27"/>
        </w:rPr>
      </w:pPr>
      <w:r w:rsidRPr="008A0E33">
        <w:rPr>
          <w:rFonts w:ascii="Times New Roman" w:eastAsia="Times New Roman" w:hAnsi="Times New Roman" w:cs="Times New Roman"/>
          <w:b/>
          <w:bCs/>
          <w:kern w:val="0"/>
        </w:rPr>
        <w:t xml:space="preserve">3.4.1 </w:t>
      </w:r>
      <w:r w:rsidR="002A46B9" w:rsidRPr="008A0E33">
        <w:rPr>
          <w:rFonts w:ascii="Times New Roman" w:eastAsia="Times New Roman" w:hAnsi="Times New Roman" w:cs="Times New Roman"/>
          <w:b/>
          <w:bCs/>
          <w:kern w:val="0"/>
        </w:rPr>
        <w:t>Departmental collective efficacy</w:t>
      </w:r>
    </w:p>
    <w:p w14:paraId="000DEFB2" w14:textId="04B0C34D" w:rsidR="00BC2632" w:rsidRPr="008A0E33" w:rsidRDefault="002F15E3" w:rsidP="0057484E">
      <w:pPr>
        <w:widowControl/>
        <w:ind w:firstLine="240"/>
        <w:jc w:val="both"/>
        <w:rPr>
          <w:rFonts w:ascii="Times New Roman" w:hAnsi="Times New Roman" w:cs="Times New Roman"/>
          <w:kern w:val="0"/>
        </w:rPr>
      </w:pPr>
      <w:r w:rsidRPr="002F15E3">
        <w:rPr>
          <w:rFonts w:ascii="Times New Roman" w:hAnsi="Times New Roman" w:cs="Times New Roman"/>
          <w:kern w:val="0"/>
        </w:rPr>
        <w:t xml:space="preserve">To measure departmental collective efficacy, we collected subjective measures for the three years (2007-2009). The survey asked the respondents to ‘assess your department/institute’s capabilities and practices pursuing research excellence/research </w:t>
      </w:r>
      <w:r w:rsidRPr="002F15E3">
        <w:rPr>
          <w:rFonts w:ascii="Times New Roman" w:hAnsi="Times New Roman" w:cs="Times New Roman"/>
          <w:kern w:val="0"/>
        </w:rPr>
        <w:lastRenderedPageBreak/>
        <w:t>commercialization over the past three years compared to other equivalent departments.’ The three original items loaded on a single factor having an eigenvalue of 1.048 (α = .75) (see Appendix 1).</w:t>
      </w:r>
    </w:p>
    <w:p w14:paraId="31B135C3" w14:textId="77777777" w:rsidR="00BC2632" w:rsidRPr="008A0E33" w:rsidRDefault="00BC2632" w:rsidP="0057484E">
      <w:pPr>
        <w:widowControl/>
        <w:outlineLvl w:val="2"/>
        <w:rPr>
          <w:rFonts w:ascii="Times" w:eastAsia="Times New Roman" w:hAnsi="Times" w:cs="Times New Roman"/>
          <w:b/>
          <w:bCs/>
          <w:kern w:val="0"/>
          <w:sz w:val="27"/>
          <w:szCs w:val="27"/>
        </w:rPr>
      </w:pPr>
      <w:r w:rsidRPr="008A0E33">
        <w:rPr>
          <w:rFonts w:ascii="Times New Roman" w:eastAsia="Times New Roman" w:hAnsi="Times New Roman" w:cs="Times New Roman"/>
          <w:b/>
          <w:bCs/>
          <w:kern w:val="0"/>
        </w:rPr>
        <w:t>3.4.2 Pasteurian orientation</w:t>
      </w:r>
    </w:p>
    <w:p w14:paraId="123A0318" w14:textId="77777777" w:rsidR="002F15E3" w:rsidRPr="002F15E3" w:rsidRDefault="002F15E3" w:rsidP="002F15E3">
      <w:pPr>
        <w:widowControl/>
        <w:ind w:firstLine="240"/>
        <w:jc w:val="both"/>
        <w:rPr>
          <w:rFonts w:ascii="Times New Roman" w:hAnsi="Times New Roman" w:cs="Times New Roman"/>
          <w:kern w:val="0"/>
        </w:rPr>
      </w:pPr>
      <w:r w:rsidRPr="002F15E3">
        <w:rPr>
          <w:rFonts w:ascii="Times New Roman" w:hAnsi="Times New Roman" w:cs="Times New Roman"/>
          <w:kern w:val="0"/>
        </w:rPr>
        <w:t>PO is a two-dimension construct comprised of KUO and KCO. It is worth noting that all faculty members perceived their departments to have a Pasteurian orientation. We measured knowledge creation orientation by asking faculty members to indicate the degree to which they agreed with the corresponding statements. Specifically, four items loaded on a single factor having an eigenvalue of 1.568 (α = .77). We refer to this factor as o</w:t>
      </w:r>
      <w:r w:rsidRPr="002F15E3">
        <w:rPr>
          <w:rFonts w:ascii="Times New Roman" w:hAnsi="Times New Roman" w:cs="Times New Roman"/>
          <w:i/>
          <w:kern w:val="0"/>
        </w:rPr>
        <w:t>rganizational support for knowledge creation</w:t>
      </w:r>
      <w:r w:rsidRPr="002F15E3">
        <w:rPr>
          <w:rFonts w:ascii="Times New Roman" w:hAnsi="Times New Roman" w:cs="Times New Roman"/>
          <w:kern w:val="0"/>
        </w:rPr>
        <w:t xml:space="preserve">. Also, three items loaded on a single factor having an eigenvalue of 1.192 (α =.77). We refer to this factor as </w:t>
      </w:r>
      <w:r w:rsidRPr="002F15E3">
        <w:rPr>
          <w:rFonts w:ascii="Times New Roman" w:hAnsi="Times New Roman" w:cs="Times New Roman"/>
          <w:i/>
          <w:kern w:val="0"/>
        </w:rPr>
        <w:t>faculty engagement in knowledge creation</w:t>
      </w:r>
      <w:r w:rsidRPr="002F15E3">
        <w:rPr>
          <w:rFonts w:ascii="Times New Roman" w:hAnsi="Times New Roman" w:cs="Times New Roman"/>
          <w:kern w:val="0"/>
        </w:rPr>
        <w:t>. Then, we computed the multiplicative interaction between the above knowledge creation dimensions as the k</w:t>
      </w:r>
      <w:r w:rsidRPr="002F15E3">
        <w:rPr>
          <w:rFonts w:ascii="Times New Roman" w:hAnsi="Times New Roman" w:cs="Times New Roman"/>
          <w:i/>
          <w:kern w:val="0"/>
        </w:rPr>
        <w:t>nowledge creation orientation</w:t>
      </w:r>
      <w:r w:rsidRPr="002F15E3">
        <w:rPr>
          <w:rFonts w:ascii="Times New Roman" w:hAnsi="Times New Roman" w:cs="Times New Roman"/>
          <w:kern w:val="0"/>
        </w:rPr>
        <w:t xml:space="preserve"> (KCO) of departments.</w:t>
      </w:r>
    </w:p>
    <w:p w14:paraId="1C33CFF4" w14:textId="56955B7A" w:rsidR="00BC2632" w:rsidRPr="008A0E33" w:rsidRDefault="002F15E3" w:rsidP="002F15E3">
      <w:pPr>
        <w:widowControl/>
        <w:ind w:firstLine="240"/>
        <w:jc w:val="both"/>
        <w:rPr>
          <w:rFonts w:ascii="Times" w:hAnsi="Times" w:cs="Times New Roman"/>
          <w:kern w:val="0"/>
          <w:sz w:val="20"/>
          <w:szCs w:val="20"/>
        </w:rPr>
      </w:pPr>
      <w:r w:rsidRPr="002F15E3">
        <w:rPr>
          <w:rFonts w:ascii="Times New Roman" w:hAnsi="Times New Roman" w:cs="Times New Roman"/>
          <w:kern w:val="0"/>
        </w:rPr>
        <w:t>Similarly, we measured knowledge utilization orientation by asking faculty members to indicate the degree to which they agree with the corresponding statements. There were four items which loaded on a single factor having an eigenvalue of 7.084 (α = .97). We refer to this factor as o</w:t>
      </w:r>
      <w:r w:rsidRPr="002F15E3">
        <w:rPr>
          <w:rFonts w:ascii="Times New Roman" w:hAnsi="Times New Roman" w:cs="Times New Roman"/>
          <w:i/>
          <w:kern w:val="0"/>
        </w:rPr>
        <w:t>rganizational</w:t>
      </w:r>
      <w:r w:rsidRPr="002F15E3">
        <w:rPr>
          <w:rFonts w:ascii="Times New Roman" w:hAnsi="Times New Roman" w:cs="Times New Roman"/>
          <w:kern w:val="0"/>
        </w:rPr>
        <w:t xml:space="preserve"> s</w:t>
      </w:r>
      <w:r w:rsidRPr="002F15E3">
        <w:rPr>
          <w:rFonts w:ascii="Times New Roman" w:hAnsi="Times New Roman" w:cs="Times New Roman"/>
          <w:i/>
          <w:kern w:val="0"/>
        </w:rPr>
        <w:t>upport for knowledge utilization</w:t>
      </w:r>
      <w:r w:rsidRPr="002F15E3">
        <w:rPr>
          <w:rFonts w:ascii="Times New Roman" w:hAnsi="Times New Roman" w:cs="Times New Roman"/>
          <w:kern w:val="0"/>
        </w:rPr>
        <w:t xml:space="preserve">. Also, three items loaded on a single factor having an eigenvalue of 1.048 (α =.75). We refer to this factor as </w:t>
      </w:r>
      <w:r w:rsidRPr="002F15E3">
        <w:rPr>
          <w:rFonts w:ascii="Times New Roman" w:hAnsi="Times New Roman" w:cs="Times New Roman"/>
          <w:i/>
          <w:kern w:val="0"/>
        </w:rPr>
        <w:t>faculty engagement in knowledge utilization</w:t>
      </w:r>
      <w:r w:rsidRPr="002F15E3">
        <w:rPr>
          <w:rFonts w:ascii="Times New Roman" w:hAnsi="Times New Roman" w:cs="Times New Roman"/>
          <w:kern w:val="0"/>
        </w:rPr>
        <w:t xml:space="preserve">. We computed the multiplicative interaction between the above knowledge utilization dimensions as </w:t>
      </w:r>
      <w:r w:rsidRPr="002F15E3">
        <w:rPr>
          <w:rFonts w:ascii="Times New Roman" w:hAnsi="Times New Roman" w:cs="Times New Roman"/>
          <w:i/>
          <w:kern w:val="0"/>
        </w:rPr>
        <w:t>knowledge utilization orientation</w:t>
      </w:r>
      <w:r w:rsidRPr="002F15E3">
        <w:rPr>
          <w:rFonts w:ascii="Times New Roman" w:hAnsi="Times New Roman" w:cs="Times New Roman"/>
          <w:kern w:val="0"/>
        </w:rPr>
        <w:t xml:space="preserve"> (KUO) of departments. Finally, we computed the perceived </w:t>
      </w:r>
      <w:r w:rsidRPr="002F15E3">
        <w:rPr>
          <w:rFonts w:ascii="Times New Roman" w:hAnsi="Times New Roman" w:cs="Times New Roman"/>
          <w:i/>
          <w:kern w:val="0"/>
        </w:rPr>
        <w:t>PO</w:t>
      </w:r>
      <w:r w:rsidRPr="002F15E3">
        <w:rPr>
          <w:rFonts w:ascii="Times New Roman" w:hAnsi="Times New Roman" w:cs="Times New Roman"/>
          <w:kern w:val="0"/>
        </w:rPr>
        <w:t xml:space="preserve"> as the multiplicative interaction between KCO and KUO (see Appendix 1)</w:t>
      </w:r>
      <w:r w:rsidR="00BC2632" w:rsidRPr="008A0E33">
        <w:rPr>
          <w:rFonts w:ascii="Times New Roman" w:hAnsi="Times New Roman" w:cs="Times New Roman"/>
          <w:kern w:val="0"/>
        </w:rPr>
        <w:t>.</w:t>
      </w:r>
    </w:p>
    <w:p w14:paraId="0ABD7B04" w14:textId="697BEF20" w:rsidR="00BC2632" w:rsidRPr="008A0E33" w:rsidRDefault="00C31FFF" w:rsidP="0057484E">
      <w:pPr>
        <w:pStyle w:val="a8"/>
        <w:widowControl/>
        <w:numPr>
          <w:ilvl w:val="2"/>
          <w:numId w:val="25"/>
        </w:numPr>
        <w:ind w:leftChars="0"/>
        <w:textAlignment w:val="baseline"/>
        <w:outlineLvl w:val="2"/>
        <w:rPr>
          <w:rFonts w:ascii="Times New Roman" w:eastAsia="Times New Roman" w:hAnsi="Times New Roman" w:cs="Times New Roman"/>
          <w:b/>
          <w:bCs/>
          <w:kern w:val="0"/>
        </w:rPr>
      </w:pPr>
      <w:r w:rsidRPr="008A0E33">
        <w:rPr>
          <w:rFonts w:ascii="Times New Roman" w:eastAsia="Times New Roman" w:hAnsi="Times New Roman" w:cs="Times New Roman"/>
          <w:b/>
          <w:bCs/>
          <w:kern w:val="0"/>
        </w:rPr>
        <w:t>Contextual</w:t>
      </w:r>
      <w:r w:rsidR="000A27DC" w:rsidRPr="008A0E33">
        <w:rPr>
          <w:rFonts w:ascii="Times New Roman" w:eastAsia="Times New Roman" w:hAnsi="Times New Roman" w:cs="Times New Roman"/>
          <w:b/>
          <w:bCs/>
          <w:kern w:val="0"/>
        </w:rPr>
        <w:t xml:space="preserve"> antecedents</w:t>
      </w:r>
    </w:p>
    <w:p w14:paraId="222504D9" w14:textId="0C1C6D17" w:rsidR="00BC2632" w:rsidRPr="008A0E33" w:rsidRDefault="00A2392E" w:rsidP="0057484E">
      <w:pPr>
        <w:widowControl/>
        <w:ind w:firstLine="240"/>
        <w:jc w:val="both"/>
        <w:rPr>
          <w:rFonts w:ascii="Times" w:hAnsi="Times" w:cs="Times New Roman"/>
          <w:kern w:val="0"/>
          <w:sz w:val="20"/>
          <w:szCs w:val="20"/>
        </w:rPr>
      </w:pPr>
      <w:r w:rsidRPr="00A2392E">
        <w:rPr>
          <w:rFonts w:ascii="Times New Roman" w:hAnsi="Times New Roman" w:cs="Times New Roman"/>
          <w:kern w:val="0"/>
        </w:rPr>
        <w:t xml:space="preserve">The contextual antecedent part of the questionnaires had nine items that assessed the perceptions of department administrator(s). To make the six question items related to organizational munificence more specific, three items addressed research excellence while the other three items addressed research commercialization. The three items about organizational munificence and research excellence loaded onto a single factor having an eigenvalue of 2.02 (α = .91) (Appendix 1). The three items about organizational munificence and research commercialization loaded onto a single factor having an eigenvalue of 4.73 (α = .97) (Appendix 1). We aggregated the two factors as organizational munificence, the level of munificence for the old and new missions of the entrepreneurial university. The other three items of organizational flexibility loaded </w:t>
      </w:r>
      <w:r w:rsidRPr="00A2392E">
        <w:rPr>
          <w:rFonts w:ascii="Times New Roman" w:hAnsi="Times New Roman" w:cs="Times New Roman"/>
          <w:kern w:val="0"/>
        </w:rPr>
        <w:lastRenderedPageBreak/>
        <w:t xml:space="preserve">on a single factor with an eigenvalue of 3.035 (α =.93). Thus, we retained this factor as our </w:t>
      </w:r>
      <w:r w:rsidRPr="00A2392E">
        <w:rPr>
          <w:rFonts w:ascii="Times New Roman" w:hAnsi="Times New Roman" w:cs="Times New Roman"/>
          <w:i/>
          <w:kern w:val="0"/>
        </w:rPr>
        <w:t>organizational flexibility</w:t>
      </w:r>
      <w:r w:rsidRPr="00A2392E">
        <w:rPr>
          <w:rFonts w:ascii="Times New Roman" w:hAnsi="Times New Roman" w:cs="Times New Roman"/>
          <w:kern w:val="0"/>
        </w:rPr>
        <w:t xml:space="preserve"> measure (see Appendix 1)</w:t>
      </w:r>
    </w:p>
    <w:p w14:paraId="0137BBBF" w14:textId="77777777" w:rsidR="00BC2632" w:rsidRPr="008A0E33" w:rsidRDefault="00BC2632" w:rsidP="0057484E">
      <w:pPr>
        <w:widowControl/>
        <w:outlineLvl w:val="2"/>
        <w:rPr>
          <w:rFonts w:ascii="Times" w:eastAsia="Times New Roman" w:hAnsi="Times" w:cs="Times New Roman"/>
          <w:b/>
          <w:bCs/>
          <w:kern w:val="0"/>
          <w:sz w:val="27"/>
          <w:szCs w:val="27"/>
        </w:rPr>
      </w:pPr>
      <w:r w:rsidRPr="008A0E33">
        <w:rPr>
          <w:rFonts w:ascii="Times New Roman" w:eastAsia="Times New Roman" w:hAnsi="Times New Roman" w:cs="Times New Roman"/>
          <w:b/>
          <w:bCs/>
          <w:kern w:val="0"/>
        </w:rPr>
        <w:t>3.4.4 Control variables</w:t>
      </w:r>
    </w:p>
    <w:p w14:paraId="522A49BB" w14:textId="3991B2EB" w:rsidR="00BC2632" w:rsidRPr="008A0E33" w:rsidRDefault="00A2392E" w:rsidP="0057484E">
      <w:pPr>
        <w:widowControl/>
        <w:ind w:firstLine="240"/>
        <w:jc w:val="both"/>
        <w:rPr>
          <w:rFonts w:ascii="Times" w:hAnsi="Times" w:cs="Times New Roman"/>
          <w:kern w:val="0"/>
          <w:sz w:val="20"/>
          <w:szCs w:val="20"/>
        </w:rPr>
      </w:pPr>
      <w:r w:rsidRPr="00A2392E">
        <w:rPr>
          <w:rFonts w:ascii="Times New Roman" w:hAnsi="Times New Roman" w:cs="Times New Roman"/>
          <w:kern w:val="0"/>
        </w:rPr>
        <w:t xml:space="preserve">This study employed three control variables reflecting the characteristics of the departments. First, ownership was measured by whether the department belonged to a public university or not. Second, size was represented by the number of faculty members in the department. Third, we used a macro-variable to represent the nature of the discipline of the department. We created three “college” variables as dummy variables to represent whether a department belonged to an Engineering, Science or Life Science and Medical College, respectively (Ambos et al., 2008; </w:t>
      </w:r>
      <w:proofErr w:type="spellStart"/>
      <w:r w:rsidRPr="00A2392E">
        <w:rPr>
          <w:rFonts w:ascii="Times New Roman" w:hAnsi="Times New Roman" w:cs="Times New Roman"/>
          <w:kern w:val="0"/>
        </w:rPr>
        <w:t>D’Este</w:t>
      </w:r>
      <w:proofErr w:type="spellEnd"/>
      <w:r w:rsidRPr="00A2392E">
        <w:rPr>
          <w:rFonts w:ascii="Times New Roman" w:hAnsi="Times New Roman" w:cs="Times New Roman"/>
          <w:kern w:val="0"/>
        </w:rPr>
        <w:t xml:space="preserve"> &amp; </w:t>
      </w:r>
      <w:proofErr w:type="spellStart"/>
      <w:r w:rsidRPr="00A2392E">
        <w:rPr>
          <w:rFonts w:ascii="Times New Roman" w:hAnsi="Times New Roman" w:cs="Times New Roman"/>
          <w:kern w:val="0"/>
        </w:rPr>
        <w:t>Perkmann</w:t>
      </w:r>
      <w:proofErr w:type="spellEnd"/>
      <w:r w:rsidRPr="00A2392E">
        <w:rPr>
          <w:rFonts w:ascii="Times New Roman" w:hAnsi="Times New Roman" w:cs="Times New Roman"/>
          <w:kern w:val="0"/>
        </w:rPr>
        <w:t>, 2011).</w:t>
      </w:r>
      <w:bookmarkStart w:id="0" w:name="_GoBack"/>
      <w:bookmarkEnd w:id="0"/>
    </w:p>
    <w:p w14:paraId="3B5B5F61" w14:textId="77777777" w:rsidR="00BC2632" w:rsidRPr="008A0E33" w:rsidRDefault="00BC2632" w:rsidP="0057484E">
      <w:pPr>
        <w:widowControl/>
        <w:jc w:val="both"/>
        <w:rPr>
          <w:rFonts w:ascii="Times" w:hAnsi="Times" w:cs="Times New Roman"/>
          <w:kern w:val="0"/>
          <w:sz w:val="20"/>
          <w:szCs w:val="20"/>
        </w:rPr>
      </w:pPr>
      <w:r w:rsidRPr="008A0E33">
        <w:rPr>
          <w:rFonts w:ascii="Times New Roman" w:hAnsi="Times New Roman" w:cs="Times New Roman"/>
          <w:b/>
          <w:bCs/>
          <w:kern w:val="0"/>
        </w:rPr>
        <w:t>4. Results</w:t>
      </w:r>
    </w:p>
    <w:p w14:paraId="325E944E" w14:textId="77777777" w:rsidR="00A2392E" w:rsidRPr="00A2392E" w:rsidRDefault="00A2392E" w:rsidP="00A2392E">
      <w:pPr>
        <w:widowControl/>
        <w:ind w:firstLine="240"/>
        <w:jc w:val="both"/>
        <w:rPr>
          <w:rFonts w:ascii="Times New Roman" w:hAnsi="Times New Roman" w:cs="Times New Roman"/>
          <w:kern w:val="0"/>
        </w:rPr>
      </w:pPr>
      <w:r w:rsidRPr="00A2392E">
        <w:rPr>
          <w:rFonts w:ascii="Times New Roman" w:hAnsi="Times New Roman" w:cs="Times New Roman"/>
          <w:kern w:val="0"/>
        </w:rPr>
        <w:t>Table 4 reports descriptive statistics for the variables. Among the 99 departments, the average size of the departments was 21 faculty members. There were 53 departments (54%) from engineering colleges, followed by 13 departments (13%) from science colleges, and 26 departments (26%) from life science and medical colleges. PO was significantly and positively correlated with departmental collective efficacy (β = .560, p &lt; .001) as well as the two contextual antecedents, organizational munificence (β = .260, p &lt; .01) and organizational flexibility (β = .172, p &lt; .10).</w:t>
      </w:r>
    </w:p>
    <w:p w14:paraId="75A0DE6B" w14:textId="716C31ED" w:rsidR="00BC2632" w:rsidRPr="008A0E33" w:rsidRDefault="00A2392E" w:rsidP="00A2392E">
      <w:pPr>
        <w:widowControl/>
        <w:ind w:firstLine="240"/>
        <w:jc w:val="both"/>
        <w:rPr>
          <w:rFonts w:ascii="Times New Roman" w:hAnsi="Times New Roman" w:cs="Times New Roman"/>
          <w:kern w:val="0"/>
        </w:rPr>
      </w:pPr>
      <w:r w:rsidRPr="00A2392E">
        <w:rPr>
          <w:rFonts w:ascii="Times New Roman" w:hAnsi="Times New Roman" w:cs="Times New Roman"/>
          <w:kern w:val="0"/>
        </w:rPr>
        <w:t xml:space="preserve">As for the control variables, whether the department belonged to a public university was negatively correlated to organizational munificence (β = -.200, p &lt; .05), KUO (β = -.459, p &lt; .001) and departmental collective efficacy (β = -.241, p &lt; .05). Most of the variables of interest were not significantly correlated to department size, except for departments in life science and medicine colleges where they were negatively correlated. The nature of the discipline had more general effects. Whether a department belonged to an engineering college or not was positively and statistically significantly related with PO (β = .436, </w:t>
      </w:r>
      <w:r w:rsidRPr="00A2392E">
        <w:rPr>
          <w:rFonts w:ascii="Times New Roman" w:hAnsi="Times New Roman" w:cs="Times New Roman"/>
          <w:i/>
          <w:kern w:val="0"/>
        </w:rPr>
        <w:t>p</w:t>
      </w:r>
      <w:r w:rsidRPr="00A2392E">
        <w:rPr>
          <w:rFonts w:ascii="Times New Roman" w:hAnsi="Times New Roman" w:cs="Times New Roman"/>
          <w:kern w:val="0"/>
        </w:rPr>
        <w:t xml:space="preserve"> &lt; .01) and departmental collective efficacy (β = .399, </w:t>
      </w:r>
      <w:r w:rsidRPr="00A2392E">
        <w:rPr>
          <w:rFonts w:ascii="Times New Roman" w:hAnsi="Times New Roman" w:cs="Times New Roman"/>
          <w:i/>
          <w:kern w:val="0"/>
        </w:rPr>
        <w:t>p</w:t>
      </w:r>
      <w:r w:rsidRPr="00A2392E">
        <w:rPr>
          <w:rFonts w:ascii="Times New Roman" w:hAnsi="Times New Roman" w:cs="Times New Roman"/>
          <w:kern w:val="0"/>
        </w:rPr>
        <w:t xml:space="preserve"> &lt; .01). And for affiliations with science and life science and medicine colleges, the correlations were negative (</w:t>
      </w:r>
      <w:r w:rsidRPr="00A2392E">
        <w:rPr>
          <w:rFonts w:ascii="Times New Roman" w:hAnsi="Times New Roman" w:cs="Times New Roman"/>
          <w:i/>
          <w:kern w:val="0"/>
        </w:rPr>
        <w:t>p</w:t>
      </w:r>
      <w:r w:rsidRPr="00A2392E">
        <w:rPr>
          <w:rFonts w:ascii="Times New Roman" w:hAnsi="Times New Roman" w:cs="Times New Roman"/>
          <w:kern w:val="0"/>
        </w:rPr>
        <w:t xml:space="preserve"> &lt; .05)</w:t>
      </w:r>
    </w:p>
    <w:p w14:paraId="3B8B7EC6" w14:textId="77777777" w:rsidR="00F47C4E" w:rsidRPr="008A0E33" w:rsidRDefault="00F47C4E"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718B57E8" w14:textId="77777777" w:rsidR="00F47C4E" w:rsidRPr="008A0E33" w:rsidRDefault="00F47C4E"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4 Here</w:t>
      </w:r>
    </w:p>
    <w:p w14:paraId="6C1C936A" w14:textId="02215317" w:rsidR="00F47C4E" w:rsidRPr="008A0E33" w:rsidRDefault="00F47C4E"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C515798" w14:textId="77777777" w:rsidR="00A2392E" w:rsidRPr="00A2392E" w:rsidRDefault="00A2392E" w:rsidP="00A2392E">
      <w:pPr>
        <w:widowControl/>
        <w:ind w:firstLine="240"/>
        <w:jc w:val="both"/>
        <w:rPr>
          <w:rFonts w:ascii="Times New Roman" w:hAnsi="Times New Roman" w:cs="Times New Roman"/>
          <w:kern w:val="0"/>
        </w:rPr>
      </w:pPr>
      <w:r w:rsidRPr="00A2392E">
        <w:rPr>
          <w:rFonts w:ascii="Times New Roman" w:hAnsi="Times New Roman" w:cs="Times New Roman"/>
          <w:kern w:val="0"/>
        </w:rPr>
        <w:t xml:space="preserve">This study tested its hypotheses using ordinary least squares (OLS) regression. The first, H1 predicted a relationship between organizational munificence and PO, and its sub-hypotheses H1a and H1b similarly posited the influence of organizational </w:t>
      </w:r>
      <w:r w:rsidRPr="00A2392E">
        <w:rPr>
          <w:rFonts w:ascii="Times New Roman" w:hAnsi="Times New Roman" w:cs="Times New Roman"/>
          <w:kern w:val="0"/>
        </w:rPr>
        <w:lastRenderedPageBreak/>
        <w:t xml:space="preserve">munificence on the development of KCO and KUO. As seen in Table 5, Model 2 and 5 indicate organizational munificence has a significant positive impact on KCO (β = .251, </w:t>
      </w:r>
      <w:r w:rsidRPr="00A2392E">
        <w:rPr>
          <w:rFonts w:ascii="Times New Roman" w:hAnsi="Times New Roman" w:cs="Times New Roman"/>
          <w:i/>
          <w:kern w:val="0"/>
        </w:rPr>
        <w:t>p</w:t>
      </w:r>
      <w:r w:rsidRPr="00A2392E">
        <w:rPr>
          <w:rFonts w:ascii="Times New Roman" w:hAnsi="Times New Roman" w:cs="Times New Roman"/>
          <w:kern w:val="0"/>
        </w:rPr>
        <w:t xml:space="preserve"> &lt; .05) and KUO (β = .175, </w:t>
      </w:r>
      <w:r w:rsidRPr="00A2392E">
        <w:rPr>
          <w:rFonts w:ascii="Times New Roman" w:hAnsi="Times New Roman" w:cs="Times New Roman"/>
          <w:i/>
          <w:kern w:val="0"/>
        </w:rPr>
        <w:t>p</w:t>
      </w:r>
      <w:r w:rsidRPr="00A2392E">
        <w:rPr>
          <w:rFonts w:ascii="Times New Roman" w:hAnsi="Times New Roman" w:cs="Times New Roman"/>
          <w:kern w:val="0"/>
        </w:rPr>
        <w:t xml:space="preserve"> &lt; .05) and Model 7 shows the same on PO (β = .216, </w:t>
      </w:r>
      <w:r w:rsidRPr="00A2392E">
        <w:rPr>
          <w:rFonts w:ascii="Times New Roman" w:hAnsi="Times New Roman" w:cs="Times New Roman"/>
          <w:i/>
          <w:kern w:val="0"/>
        </w:rPr>
        <w:t>p</w:t>
      </w:r>
      <w:r w:rsidRPr="00A2392E">
        <w:rPr>
          <w:rFonts w:ascii="Times New Roman" w:hAnsi="Times New Roman" w:cs="Times New Roman"/>
          <w:kern w:val="0"/>
        </w:rPr>
        <w:t xml:space="preserve"> &lt; .05). H1 is fully supported. H2 states that organizational flexibility has a positive influence on PO. Model 3, Model 6 and Model 8 confirm that organizational flexibility has a positive relationship with KCO (β = .237, </w:t>
      </w:r>
      <w:r w:rsidRPr="00A2392E">
        <w:rPr>
          <w:rFonts w:ascii="Times New Roman" w:hAnsi="Times New Roman" w:cs="Times New Roman"/>
          <w:i/>
          <w:kern w:val="0"/>
        </w:rPr>
        <w:t>p</w:t>
      </w:r>
      <w:r w:rsidRPr="00A2392E">
        <w:rPr>
          <w:rFonts w:ascii="Times New Roman" w:hAnsi="Times New Roman" w:cs="Times New Roman"/>
          <w:kern w:val="0"/>
        </w:rPr>
        <w:t xml:space="preserve"> &lt; .05), KUO (β = .152, </w:t>
      </w:r>
      <w:r w:rsidRPr="00A2392E">
        <w:rPr>
          <w:rFonts w:ascii="Times New Roman" w:hAnsi="Times New Roman" w:cs="Times New Roman"/>
          <w:i/>
          <w:kern w:val="0"/>
        </w:rPr>
        <w:t>p</w:t>
      </w:r>
      <w:r w:rsidRPr="00A2392E">
        <w:rPr>
          <w:rFonts w:ascii="Times New Roman" w:hAnsi="Times New Roman" w:cs="Times New Roman"/>
          <w:kern w:val="0"/>
        </w:rPr>
        <w:t xml:space="preserve"> &lt; .10), and PO (β = .184, </w:t>
      </w:r>
      <w:r w:rsidRPr="00A2392E">
        <w:rPr>
          <w:rFonts w:ascii="Times New Roman" w:hAnsi="Times New Roman" w:cs="Times New Roman"/>
          <w:i/>
          <w:kern w:val="0"/>
        </w:rPr>
        <w:t>p</w:t>
      </w:r>
      <w:r w:rsidRPr="00A2392E">
        <w:rPr>
          <w:rFonts w:ascii="Times New Roman" w:hAnsi="Times New Roman" w:cs="Times New Roman"/>
          <w:kern w:val="0"/>
        </w:rPr>
        <w:t xml:space="preserve"> &lt; .10), respectively. However, H2 is only partially supported due to the marginal impact on the development of KUO and PO.</w:t>
      </w:r>
    </w:p>
    <w:p w14:paraId="2B75A254" w14:textId="36E349F2" w:rsidR="00C332E0" w:rsidRPr="008A0E33" w:rsidRDefault="00A2392E" w:rsidP="00A2392E">
      <w:pPr>
        <w:widowControl/>
        <w:ind w:firstLine="240"/>
        <w:jc w:val="both"/>
        <w:rPr>
          <w:rFonts w:ascii="Times New Roman" w:hAnsi="Times New Roman" w:cs="Times New Roman"/>
          <w:kern w:val="0"/>
        </w:rPr>
      </w:pPr>
      <w:r w:rsidRPr="00A2392E">
        <w:rPr>
          <w:rFonts w:ascii="Times New Roman" w:hAnsi="Times New Roman" w:cs="Times New Roman"/>
          <w:kern w:val="0"/>
        </w:rPr>
        <w:t xml:space="preserve">H3 states that KCO is positively associated with departmental KUO. As shown in Table 6, Model 9 confirms there is a strong relationship between the two components of PO. (β = .605, </w:t>
      </w:r>
      <w:r w:rsidRPr="00A2392E">
        <w:rPr>
          <w:rFonts w:ascii="Times New Roman" w:hAnsi="Times New Roman" w:cs="Times New Roman"/>
          <w:i/>
          <w:kern w:val="0"/>
        </w:rPr>
        <w:t>p</w:t>
      </w:r>
      <w:r w:rsidRPr="00A2392E">
        <w:rPr>
          <w:rFonts w:ascii="Times New Roman" w:hAnsi="Times New Roman" w:cs="Times New Roman"/>
          <w:kern w:val="0"/>
        </w:rPr>
        <w:t xml:space="preserve"> &lt; .001). Furthermore, H4 predicted that the development of PO would contribute to departmental collective efficacy. To observe the effects of KCO and KUO, we sub-divided the H4 hypothesis into H4a and H4b. Model 10, Model 11, and Model 12 confirm that university departments developing KCO (β = .381, </w:t>
      </w:r>
      <w:r w:rsidRPr="00A2392E">
        <w:rPr>
          <w:rFonts w:ascii="Times New Roman" w:hAnsi="Times New Roman" w:cs="Times New Roman"/>
          <w:i/>
          <w:kern w:val="0"/>
        </w:rPr>
        <w:t>p</w:t>
      </w:r>
      <w:r w:rsidRPr="00A2392E">
        <w:rPr>
          <w:rFonts w:ascii="Times New Roman" w:hAnsi="Times New Roman" w:cs="Times New Roman"/>
          <w:kern w:val="0"/>
        </w:rPr>
        <w:t xml:space="preserve"> &lt; .001), KUO (β = .459, </w:t>
      </w:r>
      <w:r w:rsidRPr="00A2392E">
        <w:rPr>
          <w:rFonts w:ascii="Times New Roman" w:hAnsi="Times New Roman" w:cs="Times New Roman"/>
          <w:i/>
          <w:kern w:val="0"/>
        </w:rPr>
        <w:t>p</w:t>
      </w:r>
      <w:r w:rsidRPr="00A2392E">
        <w:rPr>
          <w:rFonts w:ascii="Times New Roman" w:hAnsi="Times New Roman" w:cs="Times New Roman"/>
          <w:kern w:val="0"/>
        </w:rPr>
        <w:t xml:space="preserve"> &lt; .001), and PO (β = .459, </w:t>
      </w:r>
      <w:r w:rsidRPr="00A2392E">
        <w:rPr>
          <w:rFonts w:ascii="Times New Roman" w:hAnsi="Times New Roman" w:cs="Times New Roman"/>
          <w:i/>
          <w:kern w:val="0"/>
        </w:rPr>
        <w:t>p</w:t>
      </w:r>
      <w:r w:rsidRPr="00A2392E">
        <w:rPr>
          <w:rFonts w:ascii="Times New Roman" w:hAnsi="Times New Roman" w:cs="Times New Roman"/>
          <w:kern w:val="0"/>
        </w:rPr>
        <w:t xml:space="preserve"> &lt; .001) positively enhance their collective efficacy. In other words, H4 is fully supported. Finally, H5 predicted there would be a mediating effect of PO on the relationship between contextual antecedents and departmental collective efficacy. Following Baron and Kenny (1986), we examined separately this hypothesis for munificence and flexibility as H5a and H5b. Through the results of Model 13 and Model 14, we see PO partially mediated the relationship between organizational munificence (β = .177, </w:t>
      </w:r>
      <w:r w:rsidRPr="00A2392E">
        <w:rPr>
          <w:rFonts w:ascii="Times New Roman" w:hAnsi="Times New Roman" w:cs="Times New Roman"/>
          <w:i/>
          <w:kern w:val="0"/>
        </w:rPr>
        <w:t>p</w:t>
      </w:r>
      <w:r w:rsidRPr="00A2392E">
        <w:rPr>
          <w:rFonts w:ascii="Times New Roman" w:hAnsi="Times New Roman" w:cs="Times New Roman"/>
          <w:kern w:val="0"/>
        </w:rPr>
        <w:t xml:space="preserve"> &lt; .05) and departmental collective efficacy (β = .414, </w:t>
      </w:r>
      <w:r w:rsidRPr="00A2392E">
        <w:rPr>
          <w:rFonts w:ascii="Times New Roman" w:hAnsi="Times New Roman" w:cs="Times New Roman"/>
          <w:i/>
          <w:kern w:val="0"/>
        </w:rPr>
        <w:t>p</w:t>
      </w:r>
      <w:r w:rsidRPr="00A2392E">
        <w:rPr>
          <w:rFonts w:ascii="Times New Roman" w:hAnsi="Times New Roman" w:cs="Times New Roman"/>
          <w:kern w:val="0"/>
        </w:rPr>
        <w:t xml:space="preserve"> &lt; .001). And in Model 15 and Model 16, it is shown PO fully mediated the relationship between organizational flexibility (β = .081) and departmental collective efficacy (β = .442, </w:t>
      </w:r>
      <w:r w:rsidRPr="00A2392E">
        <w:rPr>
          <w:rFonts w:ascii="Times New Roman" w:hAnsi="Times New Roman" w:cs="Times New Roman"/>
          <w:i/>
          <w:kern w:val="0"/>
        </w:rPr>
        <w:t>p</w:t>
      </w:r>
      <w:r w:rsidR="00722711">
        <w:rPr>
          <w:rFonts w:ascii="Times New Roman" w:hAnsi="Times New Roman" w:cs="Times New Roman"/>
          <w:kern w:val="0"/>
        </w:rPr>
        <w:t xml:space="preserve"> &lt; .001).</w:t>
      </w:r>
      <w:r w:rsidRPr="00A2392E">
        <w:rPr>
          <w:rFonts w:ascii="Times New Roman" w:hAnsi="Times New Roman" w:cs="Times New Roman"/>
          <w:kern w:val="0"/>
        </w:rPr>
        <w:t xml:space="preserve"> H5a and H5b are supported, but it is worthy to note that the balance exerted by organizational munificence on pursuing research excellence and research commercialization has partial influence on departmental collective efficacy (</w:t>
      </w:r>
      <w:proofErr w:type="spellStart"/>
      <w:r w:rsidRPr="00A2392E">
        <w:rPr>
          <w:rFonts w:ascii="Times New Roman" w:hAnsi="Times New Roman" w:cs="Times New Roman"/>
          <w:kern w:val="0"/>
        </w:rPr>
        <w:t>Aldwin</w:t>
      </w:r>
      <w:proofErr w:type="spellEnd"/>
      <w:r w:rsidRPr="00A2392E">
        <w:rPr>
          <w:rFonts w:ascii="Times New Roman" w:hAnsi="Times New Roman" w:cs="Times New Roman"/>
          <w:kern w:val="0"/>
        </w:rPr>
        <w:t>, 1994; Baron &amp; Kenny, 1986)</w:t>
      </w:r>
      <w:r w:rsidR="00C332E0" w:rsidRPr="008A0E33">
        <w:rPr>
          <w:rFonts w:ascii="Times New Roman" w:hAnsi="Times New Roman" w:cs="Times New Roman"/>
          <w:kern w:val="0"/>
        </w:rPr>
        <w:t>.</w:t>
      </w:r>
    </w:p>
    <w:p w14:paraId="6D240D7A" w14:textId="2C754F72"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1B25F696" w14:textId="77777777" w:rsidR="00BC2632" w:rsidRPr="008A0E33" w:rsidRDefault="00BC263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5 Here</w:t>
      </w:r>
    </w:p>
    <w:p w14:paraId="1A719650" w14:textId="185506DD" w:rsidR="00BC2632" w:rsidRPr="008A0E33" w:rsidRDefault="00BC2632" w:rsidP="0057484E">
      <w:pPr>
        <w:widowControl/>
        <w:ind w:firstLine="240"/>
        <w:jc w:val="center"/>
        <w:rPr>
          <w:rFonts w:ascii="Times New Roman" w:hAnsi="Times New Roman" w:cs="Times New Roman"/>
          <w:kern w:val="0"/>
        </w:rPr>
      </w:pPr>
      <w:r w:rsidRPr="008A0E33">
        <w:rPr>
          <w:rFonts w:ascii="Times New Roman" w:hAnsi="Times New Roman" w:cs="Times New Roman"/>
          <w:kern w:val="0"/>
        </w:rPr>
        <w:t>-------------------------</w:t>
      </w:r>
    </w:p>
    <w:p w14:paraId="320DBBDF" w14:textId="77777777" w:rsidR="00FD5FD2" w:rsidRPr="008A0E33" w:rsidRDefault="00FD5FD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53ED1880" w14:textId="381A6ECB" w:rsidR="00FD5FD2" w:rsidRPr="008A0E33" w:rsidRDefault="00FD5FD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Insert Table 6 Here</w:t>
      </w:r>
    </w:p>
    <w:p w14:paraId="49D1D312" w14:textId="77777777" w:rsidR="00FD5FD2" w:rsidRPr="008A0E33" w:rsidRDefault="00FD5FD2" w:rsidP="0057484E">
      <w:pPr>
        <w:widowControl/>
        <w:ind w:firstLine="240"/>
        <w:jc w:val="center"/>
        <w:rPr>
          <w:rFonts w:ascii="Times" w:hAnsi="Times" w:cs="Times New Roman"/>
          <w:kern w:val="0"/>
          <w:sz w:val="20"/>
          <w:szCs w:val="20"/>
        </w:rPr>
      </w:pPr>
      <w:r w:rsidRPr="008A0E33">
        <w:rPr>
          <w:rFonts w:ascii="Times New Roman" w:hAnsi="Times New Roman" w:cs="Times New Roman"/>
          <w:kern w:val="0"/>
        </w:rPr>
        <w:t>-------------------------</w:t>
      </w:r>
    </w:p>
    <w:p w14:paraId="10F51771" w14:textId="77777777" w:rsidR="00FD5FD2" w:rsidRPr="008A0E33" w:rsidRDefault="00FD5FD2" w:rsidP="0057484E">
      <w:pPr>
        <w:widowControl/>
        <w:ind w:firstLine="240"/>
        <w:jc w:val="center"/>
        <w:rPr>
          <w:rFonts w:ascii="Times" w:hAnsi="Times" w:cs="Times New Roman"/>
          <w:kern w:val="0"/>
          <w:sz w:val="20"/>
          <w:szCs w:val="20"/>
        </w:rPr>
      </w:pPr>
    </w:p>
    <w:p w14:paraId="12A028EC" w14:textId="77777777" w:rsidR="00BC2632" w:rsidRPr="008A0E33" w:rsidRDefault="00BC2632" w:rsidP="0057484E">
      <w:pPr>
        <w:widowControl/>
        <w:ind w:right="65"/>
        <w:jc w:val="both"/>
        <w:rPr>
          <w:rFonts w:ascii="Times" w:hAnsi="Times" w:cs="Times New Roman"/>
          <w:kern w:val="0"/>
          <w:sz w:val="20"/>
          <w:szCs w:val="20"/>
        </w:rPr>
      </w:pPr>
      <w:r w:rsidRPr="008A0E33">
        <w:rPr>
          <w:rFonts w:ascii="Times New Roman" w:hAnsi="Times New Roman" w:cs="Times New Roman"/>
          <w:b/>
          <w:bCs/>
          <w:kern w:val="0"/>
        </w:rPr>
        <w:t>5. Discussion</w:t>
      </w:r>
    </w:p>
    <w:p w14:paraId="43D36967" w14:textId="77777777" w:rsidR="00BB5030" w:rsidRPr="00BB5030" w:rsidRDefault="00BB5030" w:rsidP="00BB5030">
      <w:pPr>
        <w:widowControl/>
        <w:ind w:firstLine="240"/>
        <w:jc w:val="both"/>
        <w:rPr>
          <w:rFonts w:ascii="Times New Roman" w:hAnsi="Times New Roman" w:cs="Times New Roman"/>
          <w:kern w:val="0"/>
        </w:rPr>
      </w:pPr>
      <w:r w:rsidRPr="00BB5030">
        <w:rPr>
          <w:rFonts w:ascii="Times New Roman" w:hAnsi="Times New Roman" w:cs="Times New Roman"/>
          <w:kern w:val="0"/>
        </w:rPr>
        <w:lastRenderedPageBreak/>
        <w:t>By examining the development of ambidexterity in university departments, this paper aimed to understand the academic transitions involved in the organizational changes associated with the rise of the entrepreneurial university, (</w:t>
      </w:r>
      <w:proofErr w:type="spellStart"/>
      <w:r w:rsidRPr="00BB5030">
        <w:rPr>
          <w:rFonts w:ascii="Times New Roman" w:hAnsi="Times New Roman" w:cs="Times New Roman"/>
          <w:kern w:val="0"/>
        </w:rPr>
        <w:t>Etzkowitz</w:t>
      </w:r>
      <w:proofErr w:type="spellEnd"/>
      <w:r w:rsidRPr="00BB5030">
        <w:rPr>
          <w:rFonts w:ascii="Times New Roman" w:hAnsi="Times New Roman" w:cs="Times New Roman"/>
          <w:kern w:val="0"/>
        </w:rPr>
        <w:t xml:space="preserve">, 2017). The study took an organizational propensity, ‘Pasteurian orientation,’ and examined its development and its relationships with university antecedents and departmental collective efficacy. First, the study found that university munificence and flexibility are important determinants facilitating the development of a Pasteurian orientation within departments. These findings suggest that organizational munificence provides the subordinated departments the necessary legitimacy and support required for them to redefine their organizational practices and move towards Pasteurian orientation (Powers &amp; McDougall, 2005; </w:t>
      </w:r>
      <w:proofErr w:type="spellStart"/>
      <w:r w:rsidRPr="00BB5030">
        <w:rPr>
          <w:rFonts w:ascii="Times New Roman" w:hAnsi="Times New Roman" w:cs="Times New Roman"/>
          <w:kern w:val="0"/>
        </w:rPr>
        <w:t>Vanaelst</w:t>
      </w:r>
      <w:proofErr w:type="spellEnd"/>
      <w:r w:rsidRPr="00BB5030">
        <w:rPr>
          <w:rFonts w:ascii="Times New Roman" w:hAnsi="Times New Roman" w:cs="Times New Roman"/>
          <w:kern w:val="0"/>
        </w:rPr>
        <w:t xml:space="preserve"> et al., 2006). Its significant effect on knowledge creation and knowledge utilization confirms that organizational munificence has a firm connection with the engagement of university departments, and even a direct effect on departmental collective efficacy (Owen-smith, 2005; </w:t>
      </w:r>
      <w:proofErr w:type="spellStart"/>
      <w:r w:rsidRPr="00BB5030">
        <w:rPr>
          <w:rFonts w:ascii="Times New Roman" w:hAnsi="Times New Roman" w:cs="Times New Roman"/>
          <w:kern w:val="0"/>
        </w:rPr>
        <w:t>Perkmann</w:t>
      </w:r>
      <w:proofErr w:type="spellEnd"/>
      <w:r w:rsidRPr="00BB5030">
        <w:rPr>
          <w:rFonts w:ascii="Times New Roman" w:hAnsi="Times New Roman" w:cs="Times New Roman"/>
          <w:kern w:val="0"/>
        </w:rPr>
        <w:t xml:space="preserve"> et al., 2013). Furthermore, this result is aligned with findings that other organizational contexts can facilitate or result in ambidextrous structures or Pasteurian orientation in universities (Gibson &amp; </w:t>
      </w:r>
      <w:proofErr w:type="spellStart"/>
      <w:r w:rsidRPr="00BB5030">
        <w:rPr>
          <w:rFonts w:ascii="Times New Roman" w:hAnsi="Times New Roman" w:cs="Times New Roman"/>
          <w:kern w:val="0"/>
        </w:rPr>
        <w:t>Birkinshaw</w:t>
      </w:r>
      <w:proofErr w:type="spellEnd"/>
      <w:r w:rsidRPr="00BB5030">
        <w:rPr>
          <w:rFonts w:ascii="Times New Roman" w:hAnsi="Times New Roman" w:cs="Times New Roman"/>
          <w:kern w:val="0"/>
        </w:rPr>
        <w:t xml:space="preserve">, 2004), including shared vision, common culture (O’Reilly &amp; </w:t>
      </w:r>
      <w:proofErr w:type="spellStart"/>
      <w:r w:rsidRPr="00BB5030">
        <w:rPr>
          <w:rFonts w:ascii="Times New Roman" w:hAnsi="Times New Roman" w:cs="Times New Roman"/>
          <w:kern w:val="0"/>
        </w:rPr>
        <w:t>Tushman</w:t>
      </w:r>
      <w:proofErr w:type="spellEnd"/>
      <w:r w:rsidRPr="00BB5030">
        <w:rPr>
          <w:rFonts w:ascii="Times New Roman" w:hAnsi="Times New Roman" w:cs="Times New Roman"/>
          <w:kern w:val="0"/>
        </w:rPr>
        <w:t xml:space="preserve">, 2008) and social integration (Jansen, </w:t>
      </w:r>
      <w:proofErr w:type="spellStart"/>
      <w:r w:rsidRPr="00BB5030">
        <w:rPr>
          <w:rFonts w:ascii="Times New Roman" w:hAnsi="Times New Roman" w:cs="Times New Roman"/>
          <w:kern w:val="0"/>
        </w:rPr>
        <w:t>Tempelaar</w:t>
      </w:r>
      <w:proofErr w:type="spellEnd"/>
      <w:r w:rsidRPr="00BB5030">
        <w:rPr>
          <w:rFonts w:ascii="Times New Roman" w:hAnsi="Times New Roman" w:cs="Times New Roman"/>
          <w:kern w:val="0"/>
        </w:rPr>
        <w:t xml:space="preserve">, van den Bosch, &amp; </w:t>
      </w:r>
      <w:proofErr w:type="spellStart"/>
      <w:r w:rsidRPr="00BB5030">
        <w:rPr>
          <w:rFonts w:ascii="Times New Roman" w:hAnsi="Times New Roman" w:cs="Times New Roman"/>
          <w:kern w:val="0"/>
        </w:rPr>
        <w:t>Volberda</w:t>
      </w:r>
      <w:proofErr w:type="spellEnd"/>
      <w:r w:rsidRPr="00BB5030">
        <w:rPr>
          <w:rFonts w:ascii="Times New Roman" w:hAnsi="Times New Roman" w:cs="Times New Roman"/>
          <w:kern w:val="0"/>
        </w:rPr>
        <w:t xml:space="preserve">, 2009) between the existing (e.g. teaching and research) and the new missions (commercialization and entrepreneurship). Moreover, there is significant evidence stemming from Clark's (2004) survey of the leading entrepreneurial universities, which suggests that a more flexible and adaptable organization can respond to environmental changes and encourage the development of </w:t>
      </w:r>
      <w:proofErr w:type="spellStart"/>
      <w:r w:rsidRPr="00BB5030">
        <w:rPr>
          <w:rFonts w:ascii="Times New Roman" w:hAnsi="Times New Roman" w:cs="Times New Roman"/>
          <w:kern w:val="0"/>
        </w:rPr>
        <w:t>entrepreneurality</w:t>
      </w:r>
      <w:proofErr w:type="spellEnd"/>
      <w:r w:rsidRPr="00BB5030">
        <w:rPr>
          <w:rFonts w:ascii="Times New Roman" w:hAnsi="Times New Roman" w:cs="Times New Roman"/>
          <w:kern w:val="0"/>
        </w:rPr>
        <w:t xml:space="preserve">. Jansen et al. (2009) also suggested that cross-functional interfaces create a formal integration mechanism that can respond to environmental changes. Furthermore, the result is consistent with the recommendations of past research that universities and managers be more flexible and less bureaucratic, and create a munificent environment facilitating organizational ambidexterity or Pasteurian orientation (Andrews &amp; Johansen, 2012; Friedman &amp; Silberman, 2003; Siegel, Waldman, &amp; Link, 2003; </w:t>
      </w:r>
      <w:proofErr w:type="spellStart"/>
      <w:r w:rsidRPr="00BB5030">
        <w:rPr>
          <w:rFonts w:ascii="Times New Roman" w:hAnsi="Times New Roman" w:cs="Times New Roman"/>
          <w:kern w:val="0"/>
        </w:rPr>
        <w:t>Tilcsik</w:t>
      </w:r>
      <w:proofErr w:type="spellEnd"/>
      <w:r w:rsidRPr="00BB5030">
        <w:rPr>
          <w:rFonts w:ascii="Times New Roman" w:hAnsi="Times New Roman" w:cs="Times New Roman"/>
          <w:kern w:val="0"/>
        </w:rPr>
        <w:t xml:space="preserve">, 2014; </w:t>
      </w:r>
      <w:proofErr w:type="spellStart"/>
      <w:r w:rsidRPr="00BB5030">
        <w:rPr>
          <w:rFonts w:ascii="Times New Roman" w:hAnsi="Times New Roman" w:cs="Times New Roman"/>
          <w:kern w:val="0"/>
        </w:rPr>
        <w:t>Tushman</w:t>
      </w:r>
      <w:proofErr w:type="spellEnd"/>
      <w:r w:rsidRPr="00BB5030">
        <w:rPr>
          <w:rFonts w:ascii="Times New Roman" w:hAnsi="Times New Roman" w:cs="Times New Roman"/>
          <w:kern w:val="0"/>
        </w:rPr>
        <w:t xml:space="preserve"> &amp; O'Reilly, 1996).</w:t>
      </w:r>
    </w:p>
    <w:p w14:paraId="207F705B" w14:textId="77777777" w:rsidR="00BB5030" w:rsidRPr="00BB5030" w:rsidRDefault="00BB5030" w:rsidP="00BB5030">
      <w:pPr>
        <w:widowControl/>
        <w:ind w:firstLine="240"/>
        <w:jc w:val="both"/>
        <w:rPr>
          <w:rFonts w:ascii="Times New Roman" w:hAnsi="Times New Roman" w:cs="Times New Roman"/>
          <w:kern w:val="0"/>
        </w:rPr>
      </w:pPr>
      <w:r w:rsidRPr="00BB5030">
        <w:rPr>
          <w:rFonts w:ascii="Times New Roman" w:hAnsi="Times New Roman" w:cs="Times New Roman"/>
          <w:kern w:val="0"/>
        </w:rPr>
        <w:t xml:space="preserve">Second, the paper found that a knowledge creation orientation predominated over the development of a knowledge utilization orientation, but that the two orientations could be reconciled via the development of PO. This empirical finding is consistent with the argument that research excellence and research commercialization are complementary rather than in conflict, within the entrepreneurial university (Guerrero, </w:t>
      </w:r>
      <w:proofErr w:type="spellStart"/>
      <w:r w:rsidRPr="00BB5030">
        <w:rPr>
          <w:rFonts w:ascii="Times New Roman" w:hAnsi="Times New Roman" w:cs="Times New Roman"/>
          <w:kern w:val="0"/>
        </w:rPr>
        <w:t>Urbano</w:t>
      </w:r>
      <w:proofErr w:type="spellEnd"/>
      <w:r w:rsidRPr="00BB5030">
        <w:rPr>
          <w:rFonts w:ascii="Times New Roman" w:hAnsi="Times New Roman" w:cs="Times New Roman"/>
          <w:kern w:val="0"/>
        </w:rPr>
        <w:t xml:space="preserve">, </w:t>
      </w:r>
      <w:proofErr w:type="spellStart"/>
      <w:r w:rsidRPr="00BB5030">
        <w:rPr>
          <w:rFonts w:ascii="Times New Roman" w:hAnsi="Times New Roman" w:cs="Times New Roman"/>
          <w:kern w:val="0"/>
        </w:rPr>
        <w:t>Fayolle</w:t>
      </w:r>
      <w:proofErr w:type="spellEnd"/>
      <w:r w:rsidRPr="00BB5030">
        <w:rPr>
          <w:rFonts w:ascii="Times New Roman" w:hAnsi="Times New Roman" w:cs="Times New Roman"/>
          <w:kern w:val="0"/>
        </w:rPr>
        <w:t xml:space="preserve">, </w:t>
      </w:r>
      <w:proofErr w:type="spellStart"/>
      <w:r w:rsidRPr="00BB5030">
        <w:rPr>
          <w:rFonts w:ascii="Times New Roman" w:hAnsi="Times New Roman" w:cs="Times New Roman"/>
          <w:kern w:val="0"/>
        </w:rPr>
        <w:lastRenderedPageBreak/>
        <w:t>Klofsten</w:t>
      </w:r>
      <w:proofErr w:type="spellEnd"/>
      <w:r w:rsidRPr="00BB5030">
        <w:rPr>
          <w:rFonts w:ascii="Times New Roman" w:hAnsi="Times New Roman" w:cs="Times New Roman"/>
          <w:kern w:val="0"/>
        </w:rPr>
        <w:t xml:space="preserve">, &amp; </w:t>
      </w:r>
      <w:proofErr w:type="spellStart"/>
      <w:r w:rsidRPr="00BB5030">
        <w:rPr>
          <w:rFonts w:ascii="Times New Roman" w:hAnsi="Times New Roman" w:cs="Times New Roman"/>
          <w:kern w:val="0"/>
        </w:rPr>
        <w:t>Mian</w:t>
      </w:r>
      <w:proofErr w:type="spellEnd"/>
      <w:r w:rsidRPr="00BB5030">
        <w:rPr>
          <w:rFonts w:ascii="Times New Roman" w:hAnsi="Times New Roman" w:cs="Times New Roman"/>
          <w:kern w:val="0"/>
        </w:rPr>
        <w:t xml:space="preserve">, 2016; </w:t>
      </w:r>
      <w:proofErr w:type="spellStart"/>
      <w:r w:rsidRPr="00BB5030">
        <w:rPr>
          <w:rFonts w:ascii="Times New Roman" w:hAnsi="Times New Roman" w:cs="Times New Roman"/>
          <w:kern w:val="0"/>
        </w:rPr>
        <w:t>Sengupta</w:t>
      </w:r>
      <w:proofErr w:type="spellEnd"/>
      <w:r w:rsidRPr="00BB5030">
        <w:rPr>
          <w:rFonts w:ascii="Times New Roman" w:hAnsi="Times New Roman" w:cs="Times New Roman"/>
          <w:kern w:val="0"/>
        </w:rPr>
        <w:t xml:space="preserve"> &amp; Ray, 2017). It is suggested that university departments sustain an excellent level of research work first, but that they also create a hybrid context that allows a balance between KUO and KCO. Specifically, university departments should employ PO to create organizational norms, routines, and recognition for leading faculty members consistent with the new university paradigm. (Ambos et al., 2008; </w:t>
      </w:r>
      <w:proofErr w:type="spellStart"/>
      <w:r w:rsidRPr="00BB5030">
        <w:rPr>
          <w:rFonts w:ascii="Times New Roman" w:hAnsi="Times New Roman" w:cs="Times New Roman"/>
          <w:kern w:val="0"/>
        </w:rPr>
        <w:t>Bercovitz</w:t>
      </w:r>
      <w:proofErr w:type="spellEnd"/>
      <w:r w:rsidRPr="00BB5030">
        <w:rPr>
          <w:rFonts w:ascii="Times New Roman" w:hAnsi="Times New Roman" w:cs="Times New Roman"/>
          <w:kern w:val="0"/>
        </w:rPr>
        <w:t xml:space="preserve"> &amp; Feldman, 2008; Chang et al., 2016), because our results confirm that PO has a robust association with departmental collective efficacy.</w:t>
      </w:r>
    </w:p>
    <w:p w14:paraId="5F555DB1" w14:textId="54062807" w:rsidR="00A00F85" w:rsidRPr="008A0E33" w:rsidRDefault="00BB5030" w:rsidP="00BB5030">
      <w:pPr>
        <w:widowControl/>
        <w:ind w:firstLine="240"/>
        <w:jc w:val="both"/>
        <w:rPr>
          <w:rFonts w:ascii="Times New Roman" w:hAnsi="Times New Roman" w:cs="Times New Roman"/>
          <w:kern w:val="0"/>
        </w:rPr>
      </w:pPr>
      <w:r w:rsidRPr="00BB5030">
        <w:rPr>
          <w:rFonts w:ascii="Times New Roman" w:hAnsi="Times New Roman" w:cs="Times New Roman"/>
          <w:kern w:val="0"/>
        </w:rPr>
        <w:t xml:space="preserve">Third, PO acts as a mediator between contextual antecedents and departmental collective efficacy. </w:t>
      </w:r>
      <w:proofErr w:type="spellStart"/>
      <w:r w:rsidRPr="00BB5030">
        <w:rPr>
          <w:rFonts w:ascii="Times New Roman" w:hAnsi="Times New Roman" w:cs="Times New Roman"/>
          <w:kern w:val="0"/>
        </w:rPr>
        <w:t>Etzkowitz</w:t>
      </w:r>
      <w:proofErr w:type="spellEnd"/>
      <w:r w:rsidRPr="00BB5030">
        <w:rPr>
          <w:rFonts w:ascii="Times New Roman" w:hAnsi="Times New Roman" w:cs="Times New Roman"/>
          <w:kern w:val="0"/>
        </w:rPr>
        <w:t xml:space="preserve"> (2003) considers that universities can provide institutional spheres that overlap for pursuing research excellence and research commercialization and that these can function effectively to regulate emerging conflicts of interest in developing the new paradigm of the entrepreneurial university. Moreover, the development of overlapping institutional spheres encourages the development of hybrid entities which can reconcile seemingly contradictory ideas and practices (</w:t>
      </w:r>
      <w:proofErr w:type="spellStart"/>
      <w:r w:rsidRPr="00BB5030">
        <w:rPr>
          <w:rFonts w:ascii="Times New Roman" w:hAnsi="Times New Roman" w:cs="Times New Roman"/>
          <w:kern w:val="0"/>
        </w:rPr>
        <w:t>Schildt</w:t>
      </w:r>
      <w:proofErr w:type="spellEnd"/>
      <w:r w:rsidRPr="00BB5030">
        <w:rPr>
          <w:rFonts w:ascii="Times New Roman" w:hAnsi="Times New Roman" w:cs="Times New Roman"/>
          <w:kern w:val="0"/>
        </w:rPr>
        <w:t xml:space="preserve"> &amp; </w:t>
      </w:r>
      <w:proofErr w:type="spellStart"/>
      <w:r w:rsidRPr="00BB5030">
        <w:rPr>
          <w:rFonts w:ascii="Times New Roman" w:hAnsi="Times New Roman" w:cs="Times New Roman"/>
          <w:kern w:val="0"/>
        </w:rPr>
        <w:t>Perkmann</w:t>
      </w:r>
      <w:proofErr w:type="spellEnd"/>
      <w:r w:rsidRPr="00BB5030">
        <w:rPr>
          <w:rFonts w:ascii="Times New Roman" w:hAnsi="Times New Roman" w:cs="Times New Roman"/>
          <w:kern w:val="0"/>
        </w:rPr>
        <w:t xml:space="preserve">, 2017; </w:t>
      </w:r>
      <w:proofErr w:type="spellStart"/>
      <w:r w:rsidRPr="00BB5030">
        <w:rPr>
          <w:rFonts w:ascii="Times New Roman" w:hAnsi="Times New Roman" w:cs="Times New Roman"/>
          <w:kern w:val="0"/>
        </w:rPr>
        <w:t>Tuunainen</w:t>
      </w:r>
      <w:proofErr w:type="spellEnd"/>
      <w:r w:rsidRPr="00BB5030">
        <w:rPr>
          <w:rFonts w:ascii="Times New Roman" w:hAnsi="Times New Roman" w:cs="Times New Roman"/>
          <w:kern w:val="0"/>
        </w:rPr>
        <w:t>, 2005). In our findings, university departments with a high degree of PO could harbor “opposing” norms and orientations, and had the capability to reinterpret these norms and orientations for the legitimation of harmony and mutual reinforcement of each goal (</w:t>
      </w:r>
      <w:proofErr w:type="spellStart"/>
      <w:r w:rsidRPr="00BB5030">
        <w:rPr>
          <w:rFonts w:ascii="Times New Roman" w:hAnsi="Times New Roman" w:cs="Times New Roman"/>
          <w:kern w:val="0"/>
        </w:rPr>
        <w:t>Etzkowitz</w:t>
      </w:r>
      <w:proofErr w:type="spellEnd"/>
      <w:r w:rsidRPr="00BB5030">
        <w:rPr>
          <w:rFonts w:ascii="Times New Roman" w:hAnsi="Times New Roman" w:cs="Times New Roman"/>
          <w:kern w:val="0"/>
        </w:rPr>
        <w:t>, 2003). In other words, the universities provided sufficient organizational munificence and a sufficiently flexible environment to facilitate the departments’ engagement in multiple missions. They needed to develop PO to coordinate knowledge creation and knowledge utilization in the new paradigm of the entrepreneurial university for better departmental collective efficacy.</w:t>
      </w:r>
      <w:r w:rsidR="00BB35CB" w:rsidRPr="008A0E33">
        <w:rPr>
          <w:rFonts w:ascii="Times New Roman" w:hAnsi="Times New Roman" w:cs="Times New Roman"/>
          <w:kern w:val="0"/>
        </w:rPr>
        <w:t xml:space="preserve"> </w:t>
      </w:r>
    </w:p>
    <w:p w14:paraId="33AAC8C8" w14:textId="67B3338B" w:rsidR="00BC2632" w:rsidRPr="008A0E33" w:rsidRDefault="00BC2632" w:rsidP="0057484E">
      <w:pPr>
        <w:widowControl/>
        <w:ind w:right="65"/>
        <w:rPr>
          <w:rFonts w:ascii="Times" w:hAnsi="Times" w:cs="Times New Roman"/>
          <w:kern w:val="0"/>
          <w:sz w:val="20"/>
          <w:szCs w:val="20"/>
        </w:rPr>
      </w:pPr>
      <w:r w:rsidRPr="008A0E33">
        <w:rPr>
          <w:rFonts w:ascii="Times New Roman" w:hAnsi="Times New Roman" w:cs="Times New Roman"/>
          <w:b/>
          <w:bCs/>
          <w:kern w:val="0"/>
        </w:rPr>
        <w:t>6. Conclusion</w:t>
      </w:r>
    </w:p>
    <w:p w14:paraId="003832AF" w14:textId="77777777" w:rsidR="00BB5030" w:rsidRPr="00BB5030" w:rsidRDefault="00BB5030" w:rsidP="00BB5030">
      <w:pPr>
        <w:widowControl/>
        <w:ind w:firstLineChars="100" w:firstLine="240"/>
        <w:jc w:val="both"/>
        <w:rPr>
          <w:rFonts w:ascii="Times New Roman" w:hAnsi="Times New Roman" w:cs="Times New Roman"/>
          <w:kern w:val="0"/>
        </w:rPr>
      </w:pPr>
      <w:r w:rsidRPr="00BB5030">
        <w:rPr>
          <w:rFonts w:ascii="Times New Roman" w:hAnsi="Times New Roman" w:cs="Times New Roman"/>
          <w:kern w:val="0"/>
        </w:rPr>
        <w:t>Previous studies have indicated university departments are essential and focal units which shape, lead, and demonstrate the behaviors of faculty members, a process which is reflected in organizational identity, norms, learning, and peer relationships (</w:t>
      </w:r>
      <w:proofErr w:type="spellStart"/>
      <w:r w:rsidRPr="00BB5030">
        <w:rPr>
          <w:rFonts w:ascii="Times New Roman" w:hAnsi="Times New Roman" w:cs="Times New Roman"/>
          <w:kern w:val="0"/>
        </w:rPr>
        <w:t>Aschhoff</w:t>
      </w:r>
      <w:proofErr w:type="spellEnd"/>
      <w:r w:rsidRPr="00BB5030">
        <w:rPr>
          <w:rFonts w:ascii="Times New Roman" w:hAnsi="Times New Roman" w:cs="Times New Roman"/>
          <w:kern w:val="0"/>
        </w:rPr>
        <w:t xml:space="preserve"> &amp; </w:t>
      </w:r>
      <w:proofErr w:type="spellStart"/>
      <w:r w:rsidRPr="00BB5030">
        <w:rPr>
          <w:rFonts w:ascii="Times New Roman" w:hAnsi="Times New Roman" w:cs="Times New Roman"/>
          <w:kern w:val="0"/>
        </w:rPr>
        <w:t>Grimpe</w:t>
      </w:r>
      <w:proofErr w:type="spellEnd"/>
      <w:r w:rsidRPr="00BB5030">
        <w:rPr>
          <w:rFonts w:ascii="Times New Roman" w:hAnsi="Times New Roman" w:cs="Times New Roman"/>
          <w:kern w:val="0"/>
        </w:rPr>
        <w:t xml:space="preserve">, 2014; Jain et al., 2009; </w:t>
      </w:r>
      <w:proofErr w:type="spellStart"/>
      <w:r w:rsidRPr="00BB5030">
        <w:rPr>
          <w:rFonts w:ascii="Times New Roman" w:hAnsi="Times New Roman" w:cs="Times New Roman"/>
          <w:kern w:val="0"/>
        </w:rPr>
        <w:t>Perkmann</w:t>
      </w:r>
      <w:proofErr w:type="spellEnd"/>
      <w:r w:rsidRPr="00BB5030">
        <w:rPr>
          <w:rFonts w:ascii="Times New Roman" w:hAnsi="Times New Roman" w:cs="Times New Roman"/>
          <w:kern w:val="0"/>
        </w:rPr>
        <w:t xml:space="preserve"> et al., 2013). Taking its cue from these studies and unlike previous entrepreneurial university research which has focused on the analysis of institutional (e.g., the passage of the </w:t>
      </w:r>
      <w:r w:rsidRPr="00BB5030">
        <w:rPr>
          <w:rFonts w:ascii="Times New Roman" w:hAnsi="Times New Roman" w:cs="Times New Roman"/>
          <w:i/>
          <w:kern w:val="0"/>
        </w:rPr>
        <w:t>Bayh-Dole Act</w:t>
      </w:r>
      <w:r w:rsidRPr="00BB5030">
        <w:rPr>
          <w:rFonts w:ascii="Times New Roman" w:hAnsi="Times New Roman" w:cs="Times New Roman"/>
          <w:kern w:val="0"/>
        </w:rPr>
        <w:t xml:space="preserve">) or individual (e.g., faculty member) players, this paper used organizational </w:t>
      </w:r>
      <w:proofErr w:type="spellStart"/>
      <w:r w:rsidRPr="00BB5030">
        <w:rPr>
          <w:rFonts w:ascii="Times New Roman" w:hAnsi="Times New Roman" w:cs="Times New Roman"/>
          <w:kern w:val="0"/>
        </w:rPr>
        <w:t>meso</w:t>
      </w:r>
      <w:proofErr w:type="spellEnd"/>
      <w:r w:rsidRPr="00BB5030">
        <w:rPr>
          <w:rFonts w:ascii="Times New Roman" w:hAnsi="Times New Roman" w:cs="Times New Roman"/>
          <w:kern w:val="0"/>
        </w:rPr>
        <w:t>-level university departments as the unit of analysis and studied their role in the interplay of organizational layers responsible for the development of the entrepreneurial university.</w:t>
      </w:r>
    </w:p>
    <w:p w14:paraId="06FD115C" w14:textId="77777777" w:rsidR="00BB5030" w:rsidRPr="00BB5030" w:rsidRDefault="00BB5030" w:rsidP="00BB5030">
      <w:pPr>
        <w:widowControl/>
        <w:ind w:firstLineChars="100" w:firstLine="240"/>
        <w:jc w:val="both"/>
        <w:rPr>
          <w:rFonts w:ascii="Times New Roman" w:hAnsi="Times New Roman" w:cs="Times New Roman"/>
          <w:kern w:val="0"/>
        </w:rPr>
      </w:pPr>
      <w:r w:rsidRPr="00BB5030">
        <w:rPr>
          <w:rFonts w:ascii="Times New Roman" w:hAnsi="Times New Roman" w:cs="Times New Roman"/>
          <w:kern w:val="0"/>
        </w:rPr>
        <w:t xml:space="preserve">It found that organizational munificence and organizational flexibility are critical organizational antecedents in the development of a Pasteurian orientation (PO). The </w:t>
      </w:r>
      <w:r w:rsidRPr="00BB5030">
        <w:rPr>
          <w:rFonts w:ascii="Times New Roman" w:hAnsi="Times New Roman" w:cs="Times New Roman"/>
          <w:kern w:val="0"/>
        </w:rPr>
        <w:lastRenderedPageBreak/>
        <w:t>level of organizational munificence influences the degree to which university departments engage in the new paradigm, and even-handed support for the multiplicity of activities undertaken in pursuit of the university’s goals is a necessary part of its balancing act. At the same time, a high degree of organizational flexibility could help university departments to develop the agility to align with the new paradigm of the entrepreneurial university and to quickly adopt new practices with no adverse influence on existing ones.</w:t>
      </w:r>
    </w:p>
    <w:p w14:paraId="358FA93A" w14:textId="77777777" w:rsidR="00BB5030" w:rsidRPr="00BB5030" w:rsidRDefault="00BB5030" w:rsidP="00BB5030">
      <w:pPr>
        <w:widowControl/>
        <w:ind w:firstLineChars="100" w:firstLine="240"/>
        <w:jc w:val="both"/>
        <w:rPr>
          <w:rFonts w:ascii="Times New Roman" w:hAnsi="Times New Roman" w:cs="Times New Roman"/>
          <w:kern w:val="0"/>
        </w:rPr>
      </w:pPr>
      <w:r w:rsidRPr="00BB5030">
        <w:rPr>
          <w:rFonts w:ascii="Times New Roman" w:hAnsi="Times New Roman" w:cs="Times New Roman"/>
          <w:kern w:val="0"/>
        </w:rPr>
        <w:t xml:space="preserve">Moreover, the findings also suggest that PO provides valuable strategic help for establishing departmental collective efficacy. PO acts as a mediator between contextual antecedents and departmental collective efficacy, indicating that the university’s contextual factors act only as a </w:t>
      </w:r>
      <w:r w:rsidRPr="00BB5030">
        <w:rPr>
          <w:rFonts w:ascii="Times New Roman" w:hAnsi="Times New Roman" w:cs="Times New Roman"/>
          <w:i/>
          <w:kern w:val="0"/>
        </w:rPr>
        <w:t>necessary condition</w:t>
      </w:r>
      <w:r w:rsidRPr="00BB5030">
        <w:rPr>
          <w:rFonts w:ascii="Times New Roman" w:hAnsi="Times New Roman" w:cs="Times New Roman"/>
          <w:kern w:val="0"/>
        </w:rPr>
        <w:t xml:space="preserve"> to promoting departmental engagement in the new entrepreneurial paradigm, while the development of PO is a </w:t>
      </w:r>
      <w:r w:rsidRPr="00BB5030">
        <w:rPr>
          <w:rFonts w:ascii="Times New Roman" w:hAnsi="Times New Roman" w:cs="Times New Roman"/>
          <w:i/>
          <w:kern w:val="0"/>
        </w:rPr>
        <w:t>sufficient condition</w:t>
      </w:r>
      <w:r w:rsidRPr="00BB5030">
        <w:rPr>
          <w:rFonts w:ascii="Times New Roman" w:hAnsi="Times New Roman" w:cs="Times New Roman"/>
          <w:kern w:val="0"/>
        </w:rPr>
        <w:t>. The paper concludes the concept of PO is well-suited for reconciling the conflict and establishing a balance between knowledge creation and knowledge utilization in the entrepreneurial university. Encouraging organizational contexts with a high level of organizational munificence and flexibility that generate dual capacities in knowledge creation and knowledge utilization may be a critical source of competitive advantage when creating one.</w:t>
      </w:r>
    </w:p>
    <w:p w14:paraId="635BDDC4" w14:textId="77777777" w:rsidR="00BB5030" w:rsidRPr="00BB5030" w:rsidRDefault="00BB5030" w:rsidP="00BB5030">
      <w:pPr>
        <w:widowControl/>
        <w:ind w:firstLineChars="100" w:firstLine="240"/>
        <w:jc w:val="both"/>
        <w:rPr>
          <w:rFonts w:ascii="Times New Roman" w:hAnsi="Times New Roman" w:cs="Times New Roman"/>
          <w:kern w:val="0"/>
        </w:rPr>
      </w:pPr>
      <w:r w:rsidRPr="00BB5030">
        <w:rPr>
          <w:rFonts w:ascii="Times New Roman" w:hAnsi="Times New Roman" w:cs="Times New Roman"/>
          <w:kern w:val="0"/>
        </w:rPr>
        <w:t xml:space="preserve">This paper advances our understanding of organizational strategies and structures in the development of PO in university departments. First, it integrates the Pasteur’s quadrant framework and ambidexterity theory into a strategic and organizational system where PO plays the major role. It also extends the application of the Pasteur’s quadrant framework at the organization level. Second, via the developed construct and measurement of PO, university departments can compose, diagnose, and measure their own PO. Third, it confirms the organizational </w:t>
      </w:r>
      <w:proofErr w:type="spellStart"/>
      <w:r w:rsidRPr="00BB5030">
        <w:rPr>
          <w:rFonts w:ascii="Times New Roman" w:hAnsi="Times New Roman" w:cs="Times New Roman"/>
          <w:kern w:val="0"/>
        </w:rPr>
        <w:t>meso</w:t>
      </w:r>
      <w:proofErr w:type="spellEnd"/>
      <w:r w:rsidRPr="00BB5030">
        <w:rPr>
          <w:rFonts w:ascii="Times New Roman" w:hAnsi="Times New Roman" w:cs="Times New Roman"/>
          <w:kern w:val="0"/>
        </w:rPr>
        <w:t>-mediation relation between contextual factors, PO, and departmental collective efficacy.</w:t>
      </w:r>
    </w:p>
    <w:p w14:paraId="02001668" w14:textId="5657929A" w:rsidR="00BC2632" w:rsidRPr="008A0E33" w:rsidRDefault="00BB5030" w:rsidP="00BB5030">
      <w:pPr>
        <w:widowControl/>
        <w:ind w:firstLineChars="100" w:firstLine="240"/>
        <w:jc w:val="both"/>
        <w:rPr>
          <w:rFonts w:ascii="Times" w:hAnsi="Times" w:cs="Times New Roman"/>
          <w:kern w:val="0"/>
          <w:sz w:val="20"/>
          <w:szCs w:val="20"/>
        </w:rPr>
      </w:pPr>
      <w:r w:rsidRPr="00BB5030">
        <w:rPr>
          <w:rFonts w:ascii="Times New Roman" w:hAnsi="Times New Roman" w:cs="Times New Roman"/>
          <w:kern w:val="0"/>
        </w:rPr>
        <w:t xml:space="preserve">The following policy and managerial implications are suggested. Universities are characterized as bureaucratic organizations that stress institutionalization (Clark, 1998), while resource endowments determine the paths to organizational development (Siegel &amp; Wright, 2015). However, they also have high autonomy and are self-organizing system (Martin, 2012). Building the paradigm of the entrepreneurial university, university administrators should create a munificent environment and provide a high degree of flexibility to allow departments to reshape organizational practices. However, maintaining a strategic and structural balance between old and new missions, and knowledge creation and knowledge utilization tasks is never easy. It is necessary to </w:t>
      </w:r>
      <w:r w:rsidRPr="00BB5030">
        <w:rPr>
          <w:rFonts w:ascii="Times New Roman" w:hAnsi="Times New Roman" w:cs="Times New Roman"/>
          <w:kern w:val="0"/>
        </w:rPr>
        <w:lastRenderedPageBreak/>
        <w:t>develop the right degree of integration and coordination among the administrative team, colleges, and departments in order to maintain the right balance and a coherent action plan. To develop PO within departments, departmental heads may use the construct and its measurement proposed in this paper to diagnose or build up their departments’ norms, routines, support, and engagement with PO.</w:t>
      </w:r>
    </w:p>
    <w:p w14:paraId="58684BFA" w14:textId="34577BB0" w:rsidR="00BC2632" w:rsidRPr="008A0E33" w:rsidRDefault="00BC2632" w:rsidP="0057484E">
      <w:pPr>
        <w:widowControl/>
        <w:ind w:firstLine="240"/>
        <w:jc w:val="both"/>
        <w:rPr>
          <w:rFonts w:ascii="Times" w:hAnsi="Times" w:cs="Times New Roman"/>
          <w:kern w:val="0"/>
          <w:sz w:val="20"/>
          <w:szCs w:val="20"/>
        </w:rPr>
      </w:pPr>
    </w:p>
    <w:p w14:paraId="68D8071A" w14:textId="0E11C744" w:rsidR="000A4882" w:rsidRPr="008A0E33" w:rsidRDefault="00BC2632" w:rsidP="0057484E">
      <w:pPr>
        <w:widowControl/>
        <w:spacing w:before="180" w:after="180"/>
        <w:outlineLvl w:val="0"/>
        <w:rPr>
          <w:rFonts w:ascii="Times" w:hAnsi="Times" w:cs="Times New Roman"/>
          <w:b/>
          <w:bCs/>
          <w:kern w:val="36"/>
          <w:sz w:val="48"/>
          <w:szCs w:val="48"/>
        </w:rPr>
      </w:pPr>
      <w:r w:rsidRPr="008A0E33">
        <w:rPr>
          <w:rFonts w:ascii="Times New Roman" w:eastAsia="Times New Roman" w:hAnsi="Times New Roman" w:cs="Times New Roman"/>
          <w:b/>
          <w:bCs/>
          <w:kern w:val="36"/>
        </w:rPr>
        <w:t>References</w:t>
      </w:r>
    </w:p>
    <w:p w14:paraId="7899B2C9" w14:textId="77777777" w:rsidR="000A4882" w:rsidRPr="008A0E33" w:rsidRDefault="000A4882" w:rsidP="0057484E"/>
    <w:p w14:paraId="7637AD80" w14:textId="77777777" w:rsidR="00F63818" w:rsidRPr="008A0E33" w:rsidRDefault="000A4882" w:rsidP="00F63818">
      <w:pPr>
        <w:pStyle w:val="EndNoteBibliography"/>
        <w:ind w:left="720" w:hanging="720"/>
      </w:pPr>
      <w:r w:rsidRPr="008A0E33">
        <w:fldChar w:fldCharType="begin"/>
      </w:r>
      <w:r w:rsidRPr="008A0E33">
        <w:instrText xml:space="preserve"> ADDIN EN.REFLIST </w:instrText>
      </w:r>
      <w:r w:rsidRPr="008A0E33">
        <w:fldChar w:fldCharType="separate"/>
      </w:r>
      <w:r w:rsidR="00F63818" w:rsidRPr="008A0E33">
        <w:t xml:space="preserve">Aldwin, C. M. 1994. </w:t>
      </w:r>
      <w:r w:rsidR="00F63818" w:rsidRPr="008A0E33">
        <w:rPr>
          <w:b/>
          <w:i/>
        </w:rPr>
        <w:t>Stress, Coping, and Development: An Integrative Perspective</w:t>
      </w:r>
      <w:r w:rsidR="00F63818" w:rsidRPr="008A0E33">
        <w:t>. New York: Guilford Press.</w:t>
      </w:r>
    </w:p>
    <w:p w14:paraId="2012396F" w14:textId="77777777" w:rsidR="00F63818" w:rsidRPr="008A0E33" w:rsidRDefault="00F63818" w:rsidP="00F63818">
      <w:pPr>
        <w:pStyle w:val="EndNoteBibliography"/>
        <w:ind w:left="720" w:hanging="720"/>
      </w:pPr>
      <w:r w:rsidRPr="008A0E33">
        <w:t xml:space="preserve">Ambos, T. C., Mäkelä, K., Birkinshaw, J., &amp; D'Este, P. 2008. When Does University Research Get Commercialized? Creating Ambidexterity in Research Institutions. </w:t>
      </w:r>
      <w:r w:rsidRPr="008A0E33">
        <w:rPr>
          <w:b/>
          <w:i/>
        </w:rPr>
        <w:t>Journal of Management Studies</w:t>
      </w:r>
      <w:r w:rsidRPr="008A0E33">
        <w:t>, 45(8): 1424-1447.</w:t>
      </w:r>
    </w:p>
    <w:p w14:paraId="7ABDD628" w14:textId="77777777" w:rsidR="00F63818" w:rsidRPr="008A0E33" w:rsidRDefault="00F63818" w:rsidP="00F63818">
      <w:pPr>
        <w:pStyle w:val="EndNoteBibliography"/>
        <w:ind w:left="720" w:hanging="720"/>
      </w:pPr>
      <w:r w:rsidRPr="008A0E33">
        <w:t xml:space="preserve">Andrews, R., &amp; Johansen, M. 2012. Organizational environments and performance: A linear or nonlinear relationship? </w:t>
      </w:r>
      <w:r w:rsidRPr="008A0E33">
        <w:rPr>
          <w:b/>
          <w:i/>
        </w:rPr>
        <w:t>Public Organization Review</w:t>
      </w:r>
      <w:r w:rsidRPr="008A0E33">
        <w:t>, 12(2): 175-189.</w:t>
      </w:r>
    </w:p>
    <w:p w14:paraId="20797FAA" w14:textId="77777777" w:rsidR="00F63818" w:rsidRPr="008A0E33" w:rsidRDefault="00F63818" w:rsidP="00F63818">
      <w:pPr>
        <w:pStyle w:val="EndNoteBibliography"/>
        <w:ind w:left="720" w:hanging="720"/>
      </w:pPr>
      <w:r w:rsidRPr="008A0E33">
        <w:t xml:space="preserve">Aschhoff, B., &amp; Grimpe, C. 2014. Contemporaneous peer effects, career age and the industry involvement of academics in biotechnology. </w:t>
      </w:r>
      <w:r w:rsidRPr="008A0E33">
        <w:rPr>
          <w:b/>
          <w:i/>
        </w:rPr>
        <w:t>Research Policy</w:t>
      </w:r>
      <w:r w:rsidRPr="008A0E33">
        <w:t>, 43(2): 367-381.</w:t>
      </w:r>
    </w:p>
    <w:p w14:paraId="17175078" w14:textId="77777777" w:rsidR="00F63818" w:rsidRPr="008A0E33" w:rsidRDefault="00F63818" w:rsidP="00F63818">
      <w:pPr>
        <w:pStyle w:val="EndNoteBibliography"/>
        <w:ind w:left="720" w:hanging="720"/>
      </w:pPr>
      <w:r w:rsidRPr="008A0E33">
        <w:t xml:space="preserve">Bandura, A. 1997. </w:t>
      </w:r>
      <w:r w:rsidRPr="008A0E33">
        <w:rPr>
          <w:b/>
          <w:i/>
        </w:rPr>
        <w:t>Self-efficacy: The exercise of control</w:t>
      </w:r>
      <w:r w:rsidRPr="008A0E33">
        <w:t>: Macmillan.</w:t>
      </w:r>
    </w:p>
    <w:p w14:paraId="055F5E6C" w14:textId="77777777" w:rsidR="00F63818" w:rsidRPr="008A0E33" w:rsidRDefault="00F63818" w:rsidP="00F63818">
      <w:pPr>
        <w:pStyle w:val="EndNoteBibliography"/>
        <w:ind w:left="720" w:hanging="720"/>
      </w:pPr>
      <w:r w:rsidRPr="008A0E33">
        <w:t xml:space="preserve">Bandura, A. 2000. Exercise of Human Agency Through Collective Efficacy. </w:t>
      </w:r>
      <w:r w:rsidRPr="008A0E33">
        <w:rPr>
          <w:b/>
          <w:i/>
        </w:rPr>
        <w:t>Current Directions in Psychological Science</w:t>
      </w:r>
      <w:r w:rsidRPr="008A0E33">
        <w:t>, 9(3): 75-78.</w:t>
      </w:r>
    </w:p>
    <w:p w14:paraId="4717C7A0" w14:textId="77777777" w:rsidR="00F63818" w:rsidRPr="008A0E33" w:rsidRDefault="00F63818" w:rsidP="00F63818">
      <w:pPr>
        <w:pStyle w:val="EndNoteBibliography"/>
        <w:ind w:left="720" w:hanging="720"/>
      </w:pPr>
      <w:r w:rsidRPr="008A0E33">
        <w:t xml:space="preserve">Baron, R. M., &amp; Kenny, D. A. 1986. The moderator–mediator variable distinction in social psychological research: Conceptual, strategic, and statistical considerations. </w:t>
      </w:r>
      <w:r w:rsidRPr="008A0E33">
        <w:rPr>
          <w:b/>
          <w:i/>
        </w:rPr>
        <w:t>Journal of personality and social psychology</w:t>
      </w:r>
      <w:r w:rsidRPr="008A0E33">
        <w:t>, 51(6): 1173.</w:t>
      </w:r>
    </w:p>
    <w:p w14:paraId="520FC836" w14:textId="77777777" w:rsidR="00F63818" w:rsidRPr="008A0E33" w:rsidRDefault="00F63818" w:rsidP="00F63818">
      <w:pPr>
        <w:pStyle w:val="EndNoteBibliography"/>
        <w:ind w:left="720" w:hanging="720"/>
      </w:pPr>
      <w:r w:rsidRPr="008A0E33">
        <w:t xml:space="preserve">Barrick, M. R., Thurgood, G. R., Smith, T. A., &amp; Courtright, S. H. 2015. Collective organizational engagement: Linking motivational antecedents, strategic implementation, and firm performance. </w:t>
      </w:r>
      <w:r w:rsidRPr="008A0E33">
        <w:rPr>
          <w:b/>
          <w:i/>
        </w:rPr>
        <w:t>Academy of Management journal</w:t>
      </w:r>
      <w:r w:rsidRPr="008A0E33">
        <w:t>, 58(1): 111-135.</w:t>
      </w:r>
    </w:p>
    <w:p w14:paraId="5D3AF044" w14:textId="77777777" w:rsidR="00F63818" w:rsidRPr="008A0E33" w:rsidRDefault="00F63818" w:rsidP="00F63818">
      <w:pPr>
        <w:pStyle w:val="EndNoteBibliography"/>
        <w:ind w:left="720" w:hanging="720"/>
      </w:pPr>
      <w:r w:rsidRPr="008A0E33">
        <w:t xml:space="preserve">Bercovitz, J., &amp; Feldman, M. 2008. Academic Entrepreneurs: Organizational Change at the Individual Level. </w:t>
      </w:r>
      <w:r w:rsidRPr="008A0E33">
        <w:rPr>
          <w:b/>
          <w:i/>
        </w:rPr>
        <w:t>Organization Science</w:t>
      </w:r>
      <w:r w:rsidRPr="008A0E33">
        <w:t>, 19(1): 69.</w:t>
      </w:r>
    </w:p>
    <w:p w14:paraId="3A58BB68" w14:textId="77777777" w:rsidR="00F63818" w:rsidRPr="008A0E33" w:rsidRDefault="00F63818" w:rsidP="00F63818">
      <w:pPr>
        <w:pStyle w:val="EndNoteBibliography"/>
        <w:ind w:left="720" w:hanging="720"/>
      </w:pPr>
      <w:r w:rsidRPr="008A0E33">
        <w:t xml:space="preserve">Bouncken, R. B. 2018. University coworking-spaces: Mechanisms, examples, and suggestions for entrepreneurial universities. </w:t>
      </w:r>
      <w:r w:rsidRPr="008A0E33">
        <w:rPr>
          <w:b/>
          <w:i/>
        </w:rPr>
        <w:t xml:space="preserve">International Journal of </w:t>
      </w:r>
      <w:r w:rsidRPr="008A0E33">
        <w:rPr>
          <w:b/>
          <w:i/>
        </w:rPr>
        <w:lastRenderedPageBreak/>
        <w:t>Technology Management</w:t>
      </w:r>
      <w:r w:rsidRPr="008A0E33">
        <w:t>, 77(1-3): 38-56.</w:t>
      </w:r>
    </w:p>
    <w:p w14:paraId="08FA4FA1" w14:textId="77777777" w:rsidR="00F63818" w:rsidRPr="008A0E33" w:rsidRDefault="00F63818" w:rsidP="00F63818">
      <w:pPr>
        <w:pStyle w:val="EndNoteBibliography"/>
        <w:ind w:left="720" w:hanging="720"/>
      </w:pPr>
      <w:r w:rsidRPr="008A0E33">
        <w:t xml:space="preserve">Boyne, G. A., &amp; Meier, K. J. 2009. Environmental turbulence, organizational stability, and public service performance. </w:t>
      </w:r>
      <w:r w:rsidRPr="008A0E33">
        <w:rPr>
          <w:b/>
          <w:i/>
        </w:rPr>
        <w:t>Administration &amp; Society</w:t>
      </w:r>
      <w:r w:rsidRPr="008A0E33">
        <w:t>, 40(8): 799-824.</w:t>
      </w:r>
    </w:p>
    <w:p w14:paraId="3901A06E" w14:textId="77777777" w:rsidR="00F63818" w:rsidRPr="008A0E33" w:rsidRDefault="00F63818" w:rsidP="00F63818">
      <w:pPr>
        <w:pStyle w:val="EndNoteBibliography"/>
        <w:ind w:left="720" w:hanging="720"/>
      </w:pPr>
      <w:r w:rsidRPr="008A0E33">
        <w:t xml:space="preserve">Chang, Y.-C., Yang, P. Y., &amp; Chen, M.-H. 2009. The determinants of academic research commercial performance: Towards an organizational ambidexterity perspective. </w:t>
      </w:r>
      <w:r w:rsidRPr="008A0E33">
        <w:rPr>
          <w:b/>
          <w:i/>
        </w:rPr>
        <w:t>Research Policy</w:t>
      </w:r>
      <w:r w:rsidRPr="008A0E33">
        <w:t>, 38(6): 936-946.</w:t>
      </w:r>
    </w:p>
    <w:p w14:paraId="294038D7" w14:textId="77777777" w:rsidR="00F63818" w:rsidRPr="008A0E33" w:rsidRDefault="00F63818" w:rsidP="00F63818">
      <w:pPr>
        <w:pStyle w:val="EndNoteBibliography"/>
        <w:ind w:left="720" w:hanging="720"/>
      </w:pPr>
      <w:r w:rsidRPr="008A0E33">
        <w:t xml:space="preserve">Chang, Y.-C., Yang, P. Y., Martin, B. R., Chi, H.-R., &amp; Tsai-Lin, T.-F. 2016. Entrepreneurial universities and research ambidexterity: A multilevel analysis. </w:t>
      </w:r>
      <w:r w:rsidRPr="008A0E33">
        <w:rPr>
          <w:b/>
          <w:i/>
        </w:rPr>
        <w:t>Technovation</w:t>
      </w:r>
      <w:r w:rsidRPr="008A0E33">
        <w:t>, 54: 7-21.</w:t>
      </w:r>
    </w:p>
    <w:p w14:paraId="095B01E7" w14:textId="77777777" w:rsidR="00F63818" w:rsidRPr="008A0E33" w:rsidRDefault="00F63818" w:rsidP="00F63818">
      <w:pPr>
        <w:pStyle w:val="EndNoteBibliography"/>
        <w:ind w:left="720" w:hanging="720"/>
      </w:pPr>
      <w:r w:rsidRPr="008A0E33">
        <w:t xml:space="preserve">Clark, B. R. 1998. </w:t>
      </w:r>
      <w:r w:rsidRPr="008A0E33">
        <w:rPr>
          <w:b/>
          <w:i/>
        </w:rPr>
        <w:t>Creating Entrepreneurial Universities: Organizational Pathways of Transformation. Issues in Higher Education</w:t>
      </w:r>
      <w:r w:rsidRPr="008A0E33">
        <w:t>: ERIC.</w:t>
      </w:r>
    </w:p>
    <w:p w14:paraId="49384237" w14:textId="77777777" w:rsidR="00F63818" w:rsidRPr="008A0E33" w:rsidRDefault="00F63818" w:rsidP="00F63818">
      <w:pPr>
        <w:pStyle w:val="EndNoteBibliography"/>
        <w:ind w:left="720" w:hanging="720"/>
      </w:pPr>
      <w:r w:rsidRPr="008A0E33">
        <w:t xml:space="preserve">Clark, B. R. 2004. </w:t>
      </w:r>
      <w:r w:rsidRPr="008A0E33">
        <w:rPr>
          <w:b/>
          <w:i/>
        </w:rPr>
        <w:t>Sustaining Change In Universities</w:t>
      </w:r>
      <w:r w:rsidRPr="008A0E33">
        <w:t>: McGraw-Hill Education.</w:t>
      </w:r>
    </w:p>
    <w:p w14:paraId="00665268" w14:textId="77777777" w:rsidR="00F63818" w:rsidRPr="008A0E33" w:rsidRDefault="00F63818" w:rsidP="00F63818">
      <w:pPr>
        <w:pStyle w:val="EndNoteBibliography"/>
        <w:ind w:left="720" w:hanging="720"/>
      </w:pPr>
      <w:r w:rsidRPr="008A0E33">
        <w:t xml:space="preserve">D’Este, P., &amp; Patel, P. 2007. University–industry linkages in the UK: What are the factors underlying the variety of interactions with industry? </w:t>
      </w:r>
      <w:r w:rsidRPr="008A0E33">
        <w:rPr>
          <w:b/>
          <w:i/>
        </w:rPr>
        <w:t>Research Policy</w:t>
      </w:r>
      <w:r w:rsidRPr="008A0E33">
        <w:t>, 36(9): 1295-1313.</w:t>
      </w:r>
    </w:p>
    <w:p w14:paraId="2EEE69D8" w14:textId="77777777" w:rsidR="00F63818" w:rsidRPr="008A0E33" w:rsidRDefault="00F63818" w:rsidP="00F63818">
      <w:pPr>
        <w:pStyle w:val="EndNoteBibliography"/>
        <w:ind w:left="720" w:hanging="720"/>
      </w:pPr>
      <w:r w:rsidRPr="008A0E33">
        <w:t xml:space="preserve">D’Este, P., &amp; Perkmann, M. 2011. Why do academics engage with industry? The entrepreneurial university and individual motivations. </w:t>
      </w:r>
      <w:r w:rsidRPr="008A0E33">
        <w:rPr>
          <w:b/>
          <w:i/>
        </w:rPr>
        <w:t>The Journal of Technology Transfer</w:t>
      </w:r>
      <w:r w:rsidRPr="008A0E33">
        <w:t>, 36(3): 316-339.</w:t>
      </w:r>
    </w:p>
    <w:p w14:paraId="6CD130F3" w14:textId="77777777" w:rsidR="00F63818" w:rsidRPr="008A0E33" w:rsidRDefault="00F63818" w:rsidP="00F63818">
      <w:pPr>
        <w:pStyle w:val="EndNoteBibliography"/>
        <w:ind w:left="720" w:hanging="720"/>
      </w:pPr>
      <w:r w:rsidRPr="008A0E33">
        <w:t xml:space="preserve">Datta, A., Mukherjee, D., &amp; Jessup, L. 2015. Understanding commercialization of technological innovation: taking stock and moving forward. </w:t>
      </w:r>
      <w:r w:rsidRPr="008A0E33">
        <w:rPr>
          <w:b/>
          <w:i/>
        </w:rPr>
        <w:t>R&amp;D Management</w:t>
      </w:r>
      <w:r w:rsidRPr="008A0E33">
        <w:t>, 45(3): 215-249.</w:t>
      </w:r>
    </w:p>
    <w:p w14:paraId="7E7580C8" w14:textId="77777777" w:rsidR="00F63818" w:rsidRPr="008A0E33" w:rsidRDefault="00F63818" w:rsidP="00F63818">
      <w:pPr>
        <w:pStyle w:val="EndNoteBibliography"/>
        <w:ind w:left="720" w:hanging="720"/>
      </w:pPr>
      <w:r w:rsidRPr="008A0E33">
        <w:t xml:space="preserve">Dess, G. G., &amp; Beard, D. W. 1984. Dimensions of organizational task environments. </w:t>
      </w:r>
      <w:r w:rsidRPr="008A0E33">
        <w:rPr>
          <w:b/>
          <w:i/>
        </w:rPr>
        <w:t>Administrative science quarterly</w:t>
      </w:r>
      <w:r w:rsidRPr="008A0E33">
        <w:t>: 52-73.</w:t>
      </w:r>
    </w:p>
    <w:p w14:paraId="7BC4E476" w14:textId="77777777" w:rsidR="00F63818" w:rsidRPr="008A0E33" w:rsidRDefault="00F63818" w:rsidP="00F63818">
      <w:pPr>
        <w:pStyle w:val="EndNoteBibliography"/>
        <w:ind w:left="720" w:hanging="720"/>
      </w:pPr>
      <w:r w:rsidRPr="008A0E33">
        <w:t xml:space="preserve">Etzkowitz, H. 1983. Entrepreneurial scientists and entrepreneurial universities in American academic science. </w:t>
      </w:r>
      <w:r w:rsidRPr="008A0E33">
        <w:rPr>
          <w:b/>
          <w:i/>
        </w:rPr>
        <w:t>Minerva</w:t>
      </w:r>
      <w:r w:rsidRPr="008A0E33">
        <w:t>, 21(2-3): 198-233.</w:t>
      </w:r>
    </w:p>
    <w:p w14:paraId="33014DC9" w14:textId="77777777" w:rsidR="00F63818" w:rsidRPr="008A0E33" w:rsidRDefault="00F63818" w:rsidP="00F63818">
      <w:pPr>
        <w:pStyle w:val="EndNoteBibliography"/>
        <w:ind w:left="720" w:hanging="720"/>
      </w:pPr>
      <w:r w:rsidRPr="008A0E33">
        <w:t xml:space="preserve">Etzkowitz, H. 1998. The norms of entrepreneurial science: cognitive effects of the new university–industry linkages. </w:t>
      </w:r>
      <w:r w:rsidRPr="008A0E33">
        <w:rPr>
          <w:b/>
          <w:i/>
        </w:rPr>
        <w:t>Research Policy</w:t>
      </w:r>
      <w:r w:rsidRPr="008A0E33">
        <w:t>, 27(8): 823-833.</w:t>
      </w:r>
    </w:p>
    <w:p w14:paraId="4D4AAFAF" w14:textId="77777777" w:rsidR="00F63818" w:rsidRPr="008A0E33" w:rsidRDefault="00F63818" w:rsidP="00F63818">
      <w:pPr>
        <w:pStyle w:val="EndNoteBibliography"/>
        <w:ind w:left="720" w:hanging="720"/>
      </w:pPr>
      <w:r w:rsidRPr="008A0E33">
        <w:t xml:space="preserve">Etzkowitz, H. 2003. Research groups as ‘quasi-firms’: the invention of the entrepreneurial university. </w:t>
      </w:r>
      <w:r w:rsidRPr="008A0E33">
        <w:rPr>
          <w:b/>
          <w:i/>
        </w:rPr>
        <w:t>Research policy</w:t>
      </w:r>
      <w:r w:rsidRPr="008A0E33">
        <w:t>, 32(1): 109-121.</w:t>
      </w:r>
    </w:p>
    <w:p w14:paraId="3EE711B9" w14:textId="77777777" w:rsidR="00F63818" w:rsidRPr="008A0E33" w:rsidRDefault="00F63818" w:rsidP="00F63818">
      <w:pPr>
        <w:pStyle w:val="EndNoteBibliography"/>
        <w:ind w:left="720" w:hanging="720"/>
      </w:pPr>
      <w:r w:rsidRPr="008A0E33">
        <w:t xml:space="preserve">Etzkowitz, H. 2017. Innovation Lodestar: The entrepreneurial university in a stellar knowledge firmament. </w:t>
      </w:r>
      <w:r w:rsidRPr="008A0E33">
        <w:rPr>
          <w:b/>
          <w:i/>
        </w:rPr>
        <w:t>Technological Forecasting and Social Change</w:t>
      </w:r>
      <w:r w:rsidRPr="008A0E33">
        <w:t>, 123: 122-129.</w:t>
      </w:r>
    </w:p>
    <w:p w14:paraId="112ADD60" w14:textId="77777777" w:rsidR="00F63818" w:rsidRPr="008A0E33" w:rsidRDefault="00F63818" w:rsidP="00F63818">
      <w:pPr>
        <w:pStyle w:val="EndNoteBibliography"/>
        <w:ind w:left="720" w:hanging="720"/>
      </w:pPr>
      <w:r w:rsidRPr="008A0E33">
        <w:t>Etzkowitz, H., &amp; Leydesdorff, L. 2000. The dynamics of innovation: from National Systems and “Mode 2” to a Triple Helix of university–industry–</w:t>
      </w:r>
      <w:r w:rsidRPr="008A0E33">
        <w:lastRenderedPageBreak/>
        <w:t xml:space="preserve">government relations. </w:t>
      </w:r>
      <w:r w:rsidRPr="008A0E33">
        <w:rPr>
          <w:b/>
          <w:i/>
        </w:rPr>
        <w:t>Research Policy</w:t>
      </w:r>
      <w:r w:rsidRPr="008A0E33">
        <w:t>, 29(2): 109-123.</w:t>
      </w:r>
    </w:p>
    <w:p w14:paraId="7B5F18DD" w14:textId="77777777" w:rsidR="00F63818" w:rsidRPr="008A0E33" w:rsidRDefault="00F63818" w:rsidP="00F63818">
      <w:pPr>
        <w:pStyle w:val="EndNoteBibliography"/>
        <w:ind w:left="720" w:hanging="720"/>
      </w:pPr>
      <w:r w:rsidRPr="008A0E33">
        <w:t xml:space="preserve">Friedman, J., &amp; Silberman, J. 2003. University Technology Transfer: Do Incentives, Management, and Location Matter? </w:t>
      </w:r>
      <w:r w:rsidRPr="008A0E33">
        <w:rPr>
          <w:b/>
          <w:i/>
        </w:rPr>
        <w:t>The Journal of Technology Transfer</w:t>
      </w:r>
      <w:r w:rsidRPr="008A0E33">
        <w:t>, 28(1): 17-30.</w:t>
      </w:r>
    </w:p>
    <w:p w14:paraId="243C71A5" w14:textId="77777777" w:rsidR="00F63818" w:rsidRPr="008A0E33" w:rsidRDefault="00F63818" w:rsidP="00F63818">
      <w:pPr>
        <w:pStyle w:val="EndNoteBibliography"/>
        <w:ind w:left="720" w:hanging="720"/>
      </w:pPr>
      <w:r w:rsidRPr="008A0E33">
        <w:t xml:space="preserve">Gibb, A., Haskins, G., &amp; Robertson, I. 2013. Leading the Entrepreneurial University: Meeting the Entrepreneurial Development Needs of Higher Education Institutions. In A. Altmann, &amp; B. Ebersberger (Eds.), </w:t>
      </w:r>
      <w:r w:rsidRPr="008A0E33">
        <w:rPr>
          <w:b/>
          <w:i/>
        </w:rPr>
        <w:t>Universities in Change</w:t>
      </w:r>
      <w:r w:rsidRPr="008A0E33">
        <w:t>: 9-45. New York, NY: Springer New York.</w:t>
      </w:r>
    </w:p>
    <w:p w14:paraId="568F6F9E" w14:textId="77777777" w:rsidR="00F63818" w:rsidRPr="008A0E33" w:rsidRDefault="00F63818" w:rsidP="00F63818">
      <w:pPr>
        <w:pStyle w:val="EndNoteBibliography"/>
        <w:ind w:left="720" w:hanging="720"/>
      </w:pPr>
      <w:r w:rsidRPr="008A0E33">
        <w:t xml:space="preserve">Gibson, C. B., &amp; Birkinshaw, J. 2004. The antecedents, consequences, and mediating role of organizational ambidexterity. </w:t>
      </w:r>
      <w:r w:rsidRPr="008A0E33">
        <w:rPr>
          <w:b/>
          <w:i/>
        </w:rPr>
        <w:t>Academy of management Journal</w:t>
      </w:r>
      <w:r w:rsidRPr="008A0E33">
        <w:t>, 47(2): 209-226.</w:t>
      </w:r>
    </w:p>
    <w:p w14:paraId="49E3C135" w14:textId="77777777" w:rsidR="00F63818" w:rsidRPr="008A0E33" w:rsidRDefault="00F63818" w:rsidP="00F63818">
      <w:pPr>
        <w:pStyle w:val="EndNoteBibliography"/>
        <w:ind w:left="720" w:hanging="720"/>
      </w:pPr>
      <w:r w:rsidRPr="008A0E33">
        <w:t xml:space="preserve">Glenna, L. L., Welsh, R., Ervin, D., Lacy, W. B., &amp; Biscotti, D. 2011. Commercial science, scientists’ values, and university biotechnology research agendas. </w:t>
      </w:r>
      <w:r w:rsidRPr="008A0E33">
        <w:rPr>
          <w:b/>
          <w:i/>
        </w:rPr>
        <w:t>Research Policy</w:t>
      </w:r>
      <w:r w:rsidRPr="008A0E33">
        <w:t>, 40(7): 957-968.</w:t>
      </w:r>
    </w:p>
    <w:p w14:paraId="31B07FA4" w14:textId="77777777" w:rsidR="00F63818" w:rsidRPr="008A0E33" w:rsidRDefault="00F63818" w:rsidP="00F63818">
      <w:pPr>
        <w:pStyle w:val="EndNoteBibliography"/>
        <w:ind w:left="720" w:hanging="720"/>
      </w:pPr>
      <w:r w:rsidRPr="008A0E33">
        <w:t xml:space="preserve">Goll, I., &amp; Rasheed, A. A. 2005. The relationships between top management demographic characteristics, rational decision making, environmental munificence, and firm performance. </w:t>
      </w:r>
      <w:r w:rsidRPr="008A0E33">
        <w:rPr>
          <w:b/>
          <w:i/>
        </w:rPr>
        <w:t>Organization studies</w:t>
      </w:r>
      <w:r w:rsidRPr="008A0E33">
        <w:t>, 26(7): 999-1023.</w:t>
      </w:r>
    </w:p>
    <w:p w14:paraId="61B46ECB" w14:textId="77777777" w:rsidR="00F63818" w:rsidRPr="008A0E33" w:rsidRDefault="00F63818" w:rsidP="00F63818">
      <w:pPr>
        <w:pStyle w:val="EndNoteBibliography"/>
        <w:ind w:left="720" w:hanging="720"/>
      </w:pPr>
      <w:r w:rsidRPr="008A0E33">
        <w:t xml:space="preserve">Guerrero, M., &amp; Urbano, D. 2012. The development of an entrepreneurial university. </w:t>
      </w:r>
      <w:r w:rsidRPr="008A0E33">
        <w:rPr>
          <w:b/>
          <w:i/>
        </w:rPr>
        <w:t>The journal of technology transfer</w:t>
      </w:r>
      <w:r w:rsidRPr="008A0E33">
        <w:t>, 37(1): 43-74.</w:t>
      </w:r>
    </w:p>
    <w:p w14:paraId="2146913A" w14:textId="77777777" w:rsidR="00F63818" w:rsidRPr="008A0E33" w:rsidRDefault="00F63818" w:rsidP="00F63818">
      <w:pPr>
        <w:pStyle w:val="EndNoteBibliography"/>
        <w:ind w:left="720" w:hanging="720"/>
      </w:pPr>
      <w:r w:rsidRPr="008A0E33">
        <w:t xml:space="preserve">Guerrero, M., Urbano, D., Fayolle, A., Klofsten, M., &amp; Mian, S. 2016. Entrepreneurial universities: emerging models in the new social and economic landscape. </w:t>
      </w:r>
      <w:r w:rsidRPr="008A0E33">
        <w:rPr>
          <w:b/>
          <w:i/>
        </w:rPr>
        <w:t>Small Business Economics</w:t>
      </w:r>
      <w:r w:rsidRPr="008A0E33">
        <w:t>, 47(3): 551-563.</w:t>
      </w:r>
    </w:p>
    <w:p w14:paraId="09FFB955" w14:textId="77777777" w:rsidR="00F63818" w:rsidRPr="008A0E33" w:rsidRDefault="00F63818" w:rsidP="00F63818">
      <w:pPr>
        <w:pStyle w:val="EndNoteBibliography"/>
        <w:ind w:left="720" w:hanging="720"/>
      </w:pPr>
      <w:r w:rsidRPr="008A0E33">
        <w:t xml:space="preserve">Gustafsson, R., &amp; Autio, E. 2011. A failure trichotomy in knowledge exploration and exploitation. </w:t>
      </w:r>
      <w:r w:rsidRPr="008A0E33">
        <w:rPr>
          <w:b/>
          <w:i/>
        </w:rPr>
        <w:t>Research Policy</w:t>
      </w:r>
      <w:r w:rsidRPr="008A0E33">
        <w:t>, 40(6): 819-831.</w:t>
      </w:r>
    </w:p>
    <w:p w14:paraId="710170DF" w14:textId="77777777" w:rsidR="00F63818" w:rsidRPr="008A0E33" w:rsidRDefault="00F63818" w:rsidP="00F63818">
      <w:pPr>
        <w:pStyle w:val="EndNoteBibliography"/>
        <w:ind w:left="720" w:hanging="720"/>
      </w:pPr>
      <w:r w:rsidRPr="008A0E33">
        <w:t xml:space="preserve">Haas, M. R., &amp; Park, S. 2010. To share or not to share? Professional norms, reference groups, and information withholding among life scientists. </w:t>
      </w:r>
      <w:r w:rsidRPr="008A0E33">
        <w:rPr>
          <w:b/>
          <w:i/>
        </w:rPr>
        <w:t>Organization Science</w:t>
      </w:r>
      <w:r w:rsidRPr="008A0E33">
        <w:t>, 21(4): 873-891.</w:t>
      </w:r>
    </w:p>
    <w:p w14:paraId="41B3E39D" w14:textId="77777777" w:rsidR="00F63818" w:rsidRPr="008A0E33" w:rsidRDefault="00F63818" w:rsidP="00F63818">
      <w:pPr>
        <w:pStyle w:val="EndNoteBibliography"/>
        <w:ind w:left="720" w:hanging="720"/>
      </w:pPr>
      <w:r w:rsidRPr="008A0E33">
        <w:t xml:space="preserve">Haveman, H. A. 1993. Organizational size and change: Diversification in the savings and loan industry after deregulation. </w:t>
      </w:r>
      <w:r w:rsidRPr="008A0E33">
        <w:rPr>
          <w:b/>
          <w:i/>
        </w:rPr>
        <w:t>Administrative Science Quarterly</w:t>
      </w:r>
      <w:r w:rsidRPr="008A0E33">
        <w:t>: 20-50.</w:t>
      </w:r>
    </w:p>
    <w:p w14:paraId="1FF2389E" w14:textId="77777777" w:rsidR="00F63818" w:rsidRPr="008A0E33" w:rsidRDefault="00F63818" w:rsidP="00F63818">
      <w:pPr>
        <w:pStyle w:val="EndNoteBibliography"/>
        <w:ind w:left="720" w:hanging="720"/>
      </w:pPr>
      <w:r w:rsidRPr="008A0E33">
        <w:t xml:space="preserve">He, Z.-L., &amp; Wong, P.-K. 2004. Exploration vs. Exploitation: An Empirical Test of the Ambidexterity Hypothesis. </w:t>
      </w:r>
      <w:r w:rsidRPr="008A0E33">
        <w:rPr>
          <w:b/>
          <w:i/>
        </w:rPr>
        <w:t>Organization Science</w:t>
      </w:r>
      <w:r w:rsidRPr="008A0E33">
        <w:t>, 15(4): 481-494.</w:t>
      </w:r>
    </w:p>
    <w:p w14:paraId="46A20212" w14:textId="77777777" w:rsidR="00F63818" w:rsidRPr="008A0E33" w:rsidRDefault="00F63818" w:rsidP="00F63818">
      <w:pPr>
        <w:pStyle w:val="EndNoteBibliography"/>
        <w:ind w:left="720" w:hanging="720"/>
      </w:pPr>
      <w:r w:rsidRPr="008A0E33">
        <w:t xml:space="preserve">Holt, D. T., &amp; Vardaman, J. M. 2013. Toward a comprehensive understanding of readiness for change: The case for an expanded conceptualization. </w:t>
      </w:r>
      <w:r w:rsidRPr="008A0E33">
        <w:rPr>
          <w:b/>
          <w:i/>
        </w:rPr>
        <w:lastRenderedPageBreak/>
        <w:t>Journal of Change Management</w:t>
      </w:r>
      <w:r w:rsidRPr="008A0E33">
        <w:t>, 13(1): 9-18.</w:t>
      </w:r>
    </w:p>
    <w:p w14:paraId="730D618C" w14:textId="77777777" w:rsidR="00F63818" w:rsidRPr="008A0E33" w:rsidRDefault="00F63818" w:rsidP="00F63818">
      <w:pPr>
        <w:pStyle w:val="EndNoteBibliography"/>
        <w:ind w:left="720" w:hanging="720"/>
      </w:pPr>
      <w:r w:rsidRPr="008A0E33">
        <w:t xml:space="preserve">Jain, S., George, G., &amp; Maltarich, M. 2009. Academics or entrepreneurs? Investigating role identity modification of university scientists involved in commercialization activity. </w:t>
      </w:r>
      <w:r w:rsidRPr="008A0E33">
        <w:rPr>
          <w:b/>
          <w:i/>
        </w:rPr>
        <w:t>Research Policy</w:t>
      </w:r>
      <w:r w:rsidRPr="008A0E33">
        <w:t>, 38(6): 922-935.</w:t>
      </w:r>
    </w:p>
    <w:p w14:paraId="0A9BEFD8" w14:textId="77777777" w:rsidR="00F63818" w:rsidRPr="008A0E33" w:rsidRDefault="00F63818" w:rsidP="00F63818">
      <w:pPr>
        <w:pStyle w:val="EndNoteBibliography"/>
        <w:ind w:left="720" w:hanging="720"/>
      </w:pPr>
      <w:r w:rsidRPr="008A0E33">
        <w:t xml:space="preserve">Jansen, J. J. P., Tempelaar, M. P., van den Bosch, F. A. J., &amp; Volberda, H. W. 2009. Structural Differentiation and Ambidexterity: The Mediating Role of Integration Mechanisms. </w:t>
      </w:r>
      <w:r w:rsidRPr="008A0E33">
        <w:rPr>
          <w:b/>
          <w:i/>
        </w:rPr>
        <w:t>Organization Science</w:t>
      </w:r>
      <w:r w:rsidRPr="008A0E33">
        <w:t>, 20(4): 797-811.</w:t>
      </w:r>
    </w:p>
    <w:p w14:paraId="706AE469" w14:textId="77777777" w:rsidR="00F63818" w:rsidRPr="008A0E33" w:rsidRDefault="00F63818" w:rsidP="00F63818">
      <w:pPr>
        <w:pStyle w:val="EndNoteBibliography"/>
        <w:ind w:left="720" w:hanging="720"/>
      </w:pPr>
      <w:r w:rsidRPr="008A0E33">
        <w:t xml:space="preserve">Kalar, B., &amp; Antoncic, B. 2015. The entrepreneurial university, academic activities and technology and knowledge transfer in four European countries. </w:t>
      </w:r>
      <w:r w:rsidRPr="008A0E33">
        <w:rPr>
          <w:b/>
          <w:i/>
        </w:rPr>
        <w:t>Technovation</w:t>
      </w:r>
      <w:r w:rsidRPr="008A0E33">
        <w:t>, 36–37(0): 1-11.</w:t>
      </w:r>
    </w:p>
    <w:p w14:paraId="2A9D1CE6" w14:textId="77777777" w:rsidR="00F63818" w:rsidRPr="008A0E33" w:rsidRDefault="00F63818" w:rsidP="00F63818">
      <w:pPr>
        <w:pStyle w:val="EndNoteBibliography"/>
        <w:ind w:left="720" w:hanging="720"/>
      </w:pPr>
      <w:r w:rsidRPr="008A0E33">
        <w:t xml:space="preserve">Keats, B. W., &amp; Hitt, M. A. 1988. A causal model of linkages among environmental dimensions, macro organizational characteristics, and performance. </w:t>
      </w:r>
      <w:r w:rsidRPr="008A0E33">
        <w:rPr>
          <w:b/>
          <w:i/>
        </w:rPr>
        <w:t>Academy of management journal</w:t>
      </w:r>
      <w:r w:rsidRPr="008A0E33">
        <w:t>, 31(3): 570-598.</w:t>
      </w:r>
    </w:p>
    <w:p w14:paraId="4FB2BBA9" w14:textId="77777777" w:rsidR="00F63818" w:rsidRPr="008A0E33" w:rsidRDefault="00F63818" w:rsidP="00F63818">
      <w:pPr>
        <w:pStyle w:val="EndNoteBibliography"/>
        <w:ind w:left="720" w:hanging="720"/>
      </w:pPr>
      <w:r w:rsidRPr="008A0E33">
        <w:t xml:space="preserve">Klofsten, M., Fayolle, A., Guerrero, M., Mian, S., Urbano, D., &amp; Wright, M. 2019. The entrepreneurial university as driver for economic growth and social change - Key strategic challenges. </w:t>
      </w:r>
      <w:r w:rsidRPr="008A0E33">
        <w:rPr>
          <w:b/>
          <w:i/>
        </w:rPr>
        <w:t>Technological Forecasting and Social Change</w:t>
      </w:r>
      <w:r w:rsidRPr="008A0E33">
        <w:t>, 141: 149-158.</w:t>
      </w:r>
    </w:p>
    <w:p w14:paraId="1D0F784E" w14:textId="77777777" w:rsidR="00F63818" w:rsidRPr="008A0E33" w:rsidRDefault="00F63818" w:rsidP="00F63818">
      <w:pPr>
        <w:pStyle w:val="EndNoteBibliography"/>
        <w:ind w:left="720" w:hanging="720"/>
      </w:pPr>
      <w:r w:rsidRPr="008A0E33">
        <w:t xml:space="preserve">Landry, R., Amara, N., &amp; Rherrad, I. 2006. Why are some university researchers more likely to create spin-offs than others? Evidence from Canadian universities. </w:t>
      </w:r>
      <w:r w:rsidRPr="008A0E33">
        <w:rPr>
          <w:b/>
          <w:i/>
        </w:rPr>
        <w:t>Research Policy</w:t>
      </w:r>
      <w:r w:rsidRPr="008A0E33">
        <w:t>, 35(10): 1599-1615.</w:t>
      </w:r>
    </w:p>
    <w:p w14:paraId="5914EE1A" w14:textId="77777777" w:rsidR="00F63818" w:rsidRPr="008A0E33" w:rsidRDefault="00F63818" w:rsidP="00F63818">
      <w:pPr>
        <w:pStyle w:val="EndNoteBibliography"/>
        <w:ind w:left="720" w:hanging="720"/>
      </w:pPr>
      <w:r w:rsidRPr="008A0E33">
        <w:t xml:space="preserve">Lavie, D., Stettner, U., &amp; Tushman, M. L. 2010. Exploration and Exploitation Within and Across Organizations. </w:t>
      </w:r>
      <w:r w:rsidRPr="008A0E33">
        <w:rPr>
          <w:b/>
          <w:i/>
        </w:rPr>
        <w:t>The Academy of Management Annals</w:t>
      </w:r>
      <w:r w:rsidRPr="008A0E33">
        <w:t>, 4(1): 109-155.</w:t>
      </w:r>
    </w:p>
    <w:p w14:paraId="3B830261" w14:textId="77777777" w:rsidR="00F63818" w:rsidRPr="008A0E33" w:rsidRDefault="00F63818" w:rsidP="00F63818">
      <w:pPr>
        <w:pStyle w:val="EndNoteBibliography"/>
        <w:ind w:left="720" w:hanging="720"/>
      </w:pPr>
      <w:r w:rsidRPr="008A0E33">
        <w:t xml:space="preserve">Leih, S., &amp; Teece, D. 2016. CAMPUS LEADERSHIP AND THE ENTREPRENEURIAL UNIVERSITY: A DYNAMIC CAPABILITIES PERSPECTIVE. </w:t>
      </w:r>
      <w:r w:rsidRPr="008A0E33">
        <w:rPr>
          <w:b/>
          <w:i/>
        </w:rPr>
        <w:t>Academy of Management Perspectives</w:t>
      </w:r>
      <w:r w:rsidRPr="008A0E33">
        <w:t>, 30(2): 182-210.</w:t>
      </w:r>
    </w:p>
    <w:p w14:paraId="7762AB74" w14:textId="77777777" w:rsidR="00F63818" w:rsidRPr="008A0E33" w:rsidRDefault="00F63818" w:rsidP="00F63818">
      <w:pPr>
        <w:pStyle w:val="EndNoteBibliography"/>
        <w:ind w:left="720" w:hanging="720"/>
      </w:pPr>
      <w:r w:rsidRPr="008A0E33">
        <w:t xml:space="preserve">Martin, B. R. 2012. Are universities and university research under threat? Towards an evolutionary model of university speciation. </w:t>
      </w:r>
      <w:r w:rsidRPr="008A0E33">
        <w:rPr>
          <w:b/>
          <w:i/>
        </w:rPr>
        <w:t>Cambridge Journal of Economics</w:t>
      </w:r>
      <w:r w:rsidRPr="008A0E33">
        <w:t>, 36(3): 543-565.</w:t>
      </w:r>
    </w:p>
    <w:p w14:paraId="229D50C0" w14:textId="77777777" w:rsidR="00F63818" w:rsidRPr="008A0E33" w:rsidRDefault="00F63818" w:rsidP="00F63818">
      <w:pPr>
        <w:pStyle w:val="EndNoteBibliography"/>
        <w:ind w:left="720" w:hanging="720"/>
      </w:pPr>
      <w:r w:rsidRPr="008A0E33">
        <w:t xml:space="preserve">Merton, R. K. 1968. The Matthew effect in science. </w:t>
      </w:r>
      <w:r w:rsidRPr="008A0E33">
        <w:rPr>
          <w:b/>
          <w:i/>
        </w:rPr>
        <w:t>Science</w:t>
      </w:r>
      <w:r w:rsidRPr="008A0E33">
        <w:t>, 159(3810): 56-63.</w:t>
      </w:r>
    </w:p>
    <w:p w14:paraId="39C77B99" w14:textId="77777777" w:rsidR="00F63818" w:rsidRPr="008A0E33" w:rsidRDefault="00F63818" w:rsidP="00F63818">
      <w:pPr>
        <w:pStyle w:val="EndNoteBibliography"/>
        <w:ind w:left="720" w:hanging="720"/>
      </w:pPr>
      <w:r w:rsidRPr="008A0E33">
        <w:t xml:space="preserve">Nelson, R. R. 2004. The market economy, and the scientific commons. </w:t>
      </w:r>
      <w:r w:rsidRPr="008A0E33">
        <w:rPr>
          <w:b/>
          <w:i/>
        </w:rPr>
        <w:t>Research Policy</w:t>
      </w:r>
      <w:r w:rsidRPr="008A0E33">
        <w:t>, 33(3): 455-471.</w:t>
      </w:r>
    </w:p>
    <w:p w14:paraId="2C6E7D6E" w14:textId="77777777" w:rsidR="00F63818" w:rsidRPr="008A0E33" w:rsidRDefault="00F63818" w:rsidP="00F63818">
      <w:pPr>
        <w:pStyle w:val="EndNoteBibliography"/>
        <w:ind w:left="720" w:hanging="720"/>
      </w:pPr>
      <w:r w:rsidRPr="008A0E33">
        <w:t xml:space="preserve">O’Reilly, C. A., &amp; Tushman, M. L. 2008. Ambidexterity as a dynamic capability: Resolving the innovator's dilemma. </w:t>
      </w:r>
      <w:r w:rsidRPr="008A0E33">
        <w:rPr>
          <w:b/>
          <w:i/>
        </w:rPr>
        <w:t>Research in organizational behavior</w:t>
      </w:r>
      <w:r w:rsidRPr="008A0E33">
        <w:t>, 28: 185-206.</w:t>
      </w:r>
    </w:p>
    <w:p w14:paraId="6B00E5C9" w14:textId="77777777" w:rsidR="00F63818" w:rsidRPr="008A0E33" w:rsidRDefault="00F63818" w:rsidP="00F63818">
      <w:pPr>
        <w:pStyle w:val="EndNoteBibliography"/>
        <w:ind w:left="720" w:hanging="720"/>
      </w:pPr>
      <w:r w:rsidRPr="008A0E33">
        <w:lastRenderedPageBreak/>
        <w:t xml:space="preserve">Owen-smith, J. 2005. Trends and transitions in the institutional environment for public and private science. </w:t>
      </w:r>
      <w:r w:rsidRPr="008A0E33">
        <w:rPr>
          <w:b/>
          <w:i/>
        </w:rPr>
        <w:t>Higher Education</w:t>
      </w:r>
      <w:r w:rsidRPr="008A0E33">
        <w:t>, 49(1-2): 91-117.</w:t>
      </w:r>
    </w:p>
    <w:p w14:paraId="64A6347D" w14:textId="77777777" w:rsidR="00F63818" w:rsidRPr="008A0E33" w:rsidRDefault="00F63818" w:rsidP="00F63818">
      <w:pPr>
        <w:pStyle w:val="EndNoteBibliography"/>
        <w:ind w:left="720" w:hanging="720"/>
      </w:pPr>
      <w:r w:rsidRPr="008A0E33">
        <w:t xml:space="preserve">Partha, D., &amp; David, P. A. 1994. Toward a new economics of science. </w:t>
      </w:r>
      <w:r w:rsidRPr="008A0E33">
        <w:rPr>
          <w:b/>
          <w:i/>
        </w:rPr>
        <w:t>Research Policy</w:t>
      </w:r>
      <w:r w:rsidRPr="008A0E33">
        <w:t>, 23(5): 487-521.</w:t>
      </w:r>
    </w:p>
    <w:p w14:paraId="682D679E" w14:textId="77777777" w:rsidR="00F63818" w:rsidRPr="008A0E33" w:rsidRDefault="00F63818" w:rsidP="00F63818">
      <w:pPr>
        <w:pStyle w:val="EndNoteBibliography"/>
        <w:ind w:left="720" w:hanging="720"/>
      </w:pPr>
      <w:r w:rsidRPr="008A0E33">
        <w:t xml:space="preserve">Perkmann, M., Tartari, V., McKelvey, M., Autio, E., Broström, A., D’Este, P., Fini, R., Geuna, A., Grimaldi, R., Hughes, A., Krabel, S., Kitson, M., Llerena, P., Lissoni, F., Salter, A., &amp; Sobrero, M. 2013. Academic engagement and commercialisation: A review of the literature on university–industry relations. </w:t>
      </w:r>
      <w:r w:rsidRPr="008A0E33">
        <w:rPr>
          <w:b/>
          <w:i/>
        </w:rPr>
        <w:t>Research Policy</w:t>
      </w:r>
      <w:r w:rsidRPr="008A0E33">
        <w:t>, 42(2): 423-442.</w:t>
      </w:r>
    </w:p>
    <w:p w14:paraId="26A22027" w14:textId="77777777" w:rsidR="00F63818" w:rsidRPr="008A0E33" w:rsidRDefault="00F63818" w:rsidP="00F63818">
      <w:pPr>
        <w:pStyle w:val="EndNoteBibliography"/>
        <w:ind w:left="720" w:hanging="720"/>
      </w:pPr>
      <w:r w:rsidRPr="008A0E33">
        <w:t xml:space="preserve">Philpott, K., Dooley, L., O'Reilly, C., &amp; Lupton, G. 2011. The entrepreneurial university: Examining the underlying academic tensions. </w:t>
      </w:r>
      <w:r w:rsidRPr="008A0E33">
        <w:rPr>
          <w:b/>
          <w:i/>
        </w:rPr>
        <w:t>Technovation</w:t>
      </w:r>
      <w:r w:rsidRPr="008A0E33">
        <w:t>, 31(4): 161-170.</w:t>
      </w:r>
    </w:p>
    <w:p w14:paraId="635B7744" w14:textId="77777777" w:rsidR="00F63818" w:rsidRPr="008A0E33" w:rsidRDefault="00F63818" w:rsidP="00F63818">
      <w:pPr>
        <w:pStyle w:val="EndNoteBibliography"/>
        <w:ind w:left="720" w:hanging="720"/>
      </w:pPr>
      <w:r w:rsidRPr="008A0E33">
        <w:t xml:space="preserve">Powers, J. B., &amp; McDougall, P. P. 2005. University start-up formation and technology licensing with firms that go public: a resource-based view of academic entrepreneurship. </w:t>
      </w:r>
      <w:r w:rsidRPr="008A0E33">
        <w:rPr>
          <w:b/>
          <w:i/>
        </w:rPr>
        <w:t>Journal of Business Venturing</w:t>
      </w:r>
      <w:r w:rsidRPr="008A0E33">
        <w:t>, 20(3): 291-311.</w:t>
      </w:r>
    </w:p>
    <w:p w14:paraId="4809791E" w14:textId="77777777" w:rsidR="00F63818" w:rsidRPr="008A0E33" w:rsidRDefault="00F63818" w:rsidP="00F63818">
      <w:pPr>
        <w:pStyle w:val="EndNoteBibliography"/>
        <w:ind w:left="720" w:hanging="720"/>
      </w:pPr>
      <w:r w:rsidRPr="008A0E33">
        <w:t xml:space="preserve">Raisch, S., &amp; Birkinshaw, J. 2008. Organizational ambidexterity: Antecedents, outcomes, and moderators. </w:t>
      </w:r>
      <w:r w:rsidRPr="008A0E33">
        <w:rPr>
          <w:b/>
          <w:i/>
        </w:rPr>
        <w:t>Journal of Management</w:t>
      </w:r>
      <w:r w:rsidRPr="008A0E33">
        <w:t>, 34(3): 375-409.</w:t>
      </w:r>
    </w:p>
    <w:p w14:paraId="5A4DA62E" w14:textId="77777777" w:rsidR="00F63818" w:rsidRPr="008A0E33" w:rsidRDefault="00F63818" w:rsidP="00F63818">
      <w:pPr>
        <w:pStyle w:val="EndNoteBibliography"/>
        <w:ind w:left="720" w:hanging="720"/>
      </w:pPr>
      <w:r w:rsidRPr="008A0E33">
        <w:t xml:space="preserve">Rasmussen, E., Mosey, S., &amp; Wright, M. 2014. The influence of university departments on the evolution of entrepreneurial competencies in spin-off ventures. </w:t>
      </w:r>
      <w:r w:rsidRPr="008A0E33">
        <w:rPr>
          <w:b/>
          <w:i/>
        </w:rPr>
        <w:t>Research Policy</w:t>
      </w:r>
      <w:r w:rsidRPr="008A0E33">
        <w:t>, 43(1): 92-106.</w:t>
      </w:r>
    </w:p>
    <w:p w14:paraId="6869681F" w14:textId="77777777" w:rsidR="00F63818" w:rsidRPr="008A0E33" w:rsidRDefault="00F63818" w:rsidP="00F63818">
      <w:pPr>
        <w:pStyle w:val="EndNoteBibliography"/>
        <w:ind w:left="720" w:hanging="720"/>
      </w:pPr>
      <w:r w:rsidRPr="008A0E33">
        <w:t xml:space="preserve">Riggs, M. L., Warka, J., Babasa, B., Betancourt, R., &amp; Hooker, S. 1994. Development and validation of self-efficacy and outcome expectancy scales for job-related applications. </w:t>
      </w:r>
      <w:r w:rsidRPr="008A0E33">
        <w:rPr>
          <w:b/>
          <w:i/>
        </w:rPr>
        <w:t>Educational and psychological measurement</w:t>
      </w:r>
      <w:r w:rsidRPr="008A0E33">
        <w:t>, 54(3): 793-802.</w:t>
      </w:r>
    </w:p>
    <w:p w14:paraId="5AD4843D" w14:textId="77777777" w:rsidR="00F63818" w:rsidRPr="008A0E33" w:rsidRDefault="00F63818" w:rsidP="00F63818">
      <w:pPr>
        <w:pStyle w:val="EndNoteBibliography"/>
        <w:ind w:left="720" w:hanging="720"/>
      </w:pPr>
      <w:r w:rsidRPr="008A0E33">
        <w:t xml:space="preserve">Sauermann, H., &amp; Stephan, P. 2013. Conflicting Logics? A Multidimensional View of Industrial and Academic Science. </w:t>
      </w:r>
      <w:r w:rsidRPr="008A0E33">
        <w:rPr>
          <w:b/>
          <w:i/>
        </w:rPr>
        <w:t>Organization Science</w:t>
      </w:r>
      <w:r w:rsidRPr="008A0E33">
        <w:t>, 24(3): 889-909.</w:t>
      </w:r>
    </w:p>
    <w:p w14:paraId="7BA63D67" w14:textId="77777777" w:rsidR="00F63818" w:rsidRPr="008A0E33" w:rsidRDefault="00F63818" w:rsidP="00F63818">
      <w:pPr>
        <w:pStyle w:val="EndNoteBibliography"/>
        <w:ind w:left="720" w:hanging="720"/>
      </w:pPr>
      <w:r w:rsidRPr="008A0E33">
        <w:t xml:space="preserve">Schildt, H., &amp; Perkmann, M. 2017. Organizational Settlements:Theorizing How Organizations Respond to Institutional Complexity. </w:t>
      </w:r>
      <w:r w:rsidRPr="008A0E33">
        <w:rPr>
          <w:b/>
          <w:i/>
        </w:rPr>
        <w:t>Journal of Management Inquiry</w:t>
      </w:r>
      <w:r w:rsidRPr="008A0E33">
        <w:t>, 26(2): 139-145.</w:t>
      </w:r>
    </w:p>
    <w:p w14:paraId="0192F14D" w14:textId="77777777" w:rsidR="00F63818" w:rsidRPr="008A0E33" w:rsidRDefault="00F63818" w:rsidP="00F63818">
      <w:pPr>
        <w:pStyle w:val="EndNoteBibliography"/>
        <w:ind w:left="720" w:hanging="720"/>
      </w:pPr>
      <w:r w:rsidRPr="008A0E33">
        <w:t xml:space="preserve">Sengupta, A., &amp; Ray, A. S. 2017. University research and knowledge transfer: A dynamic view of ambidexterity in british universities. </w:t>
      </w:r>
      <w:r w:rsidRPr="008A0E33">
        <w:rPr>
          <w:b/>
          <w:i/>
        </w:rPr>
        <w:t>Research Policy</w:t>
      </w:r>
      <w:r w:rsidRPr="008A0E33">
        <w:t>, 46(5): 881-897.</w:t>
      </w:r>
    </w:p>
    <w:p w14:paraId="5ECF7994" w14:textId="77777777" w:rsidR="00F63818" w:rsidRPr="008A0E33" w:rsidRDefault="00F63818" w:rsidP="00F63818">
      <w:pPr>
        <w:pStyle w:val="EndNoteBibliography"/>
        <w:ind w:left="720" w:hanging="720"/>
      </w:pPr>
      <w:r w:rsidRPr="008A0E33">
        <w:t xml:space="preserve">Shane, S. 2004. </w:t>
      </w:r>
      <w:r w:rsidRPr="008A0E33">
        <w:rPr>
          <w:b/>
          <w:i/>
        </w:rPr>
        <w:t xml:space="preserve">Academic entrepreneurship: university spinoffs and wealth </w:t>
      </w:r>
      <w:r w:rsidRPr="008A0E33">
        <w:rPr>
          <w:b/>
          <w:i/>
        </w:rPr>
        <w:lastRenderedPageBreak/>
        <w:t>creation</w:t>
      </w:r>
      <w:r w:rsidRPr="008A0E33">
        <w:t>. Cheltenham, UK: Edward Elgar.</w:t>
      </w:r>
    </w:p>
    <w:p w14:paraId="117E1151" w14:textId="77777777" w:rsidR="00F63818" w:rsidRPr="008A0E33" w:rsidRDefault="00F63818" w:rsidP="00F63818">
      <w:pPr>
        <w:pStyle w:val="EndNoteBibliography"/>
        <w:ind w:left="720" w:hanging="720"/>
      </w:pPr>
      <w:r w:rsidRPr="008A0E33">
        <w:t xml:space="preserve">Shibayama, S. 2012. Conflict between entrepreneurship and open science, and the transition of scientific norms. </w:t>
      </w:r>
      <w:r w:rsidRPr="008A0E33">
        <w:rPr>
          <w:b/>
          <w:i/>
        </w:rPr>
        <w:t>The Journal of Technology Transfer</w:t>
      </w:r>
      <w:r w:rsidRPr="008A0E33">
        <w:t>, 37(4): 508-531.</w:t>
      </w:r>
    </w:p>
    <w:p w14:paraId="47A77192" w14:textId="77777777" w:rsidR="00F63818" w:rsidRPr="008A0E33" w:rsidRDefault="00F63818" w:rsidP="00F63818">
      <w:pPr>
        <w:pStyle w:val="EndNoteBibliography"/>
        <w:ind w:left="720" w:hanging="720"/>
      </w:pPr>
      <w:r w:rsidRPr="008A0E33">
        <w:t xml:space="preserve">Siegel, D. S., Waldman, D., &amp; Link, A. 2003. Assessing the impact of organizational practices on the relative productivity of university technology transfer offices: an exploratory study. </w:t>
      </w:r>
      <w:r w:rsidRPr="008A0E33">
        <w:rPr>
          <w:b/>
          <w:i/>
        </w:rPr>
        <w:t>Research Policy</w:t>
      </w:r>
      <w:r w:rsidRPr="008A0E33">
        <w:t>, 32(1): 27-48.</w:t>
      </w:r>
    </w:p>
    <w:p w14:paraId="6E8AB320" w14:textId="77777777" w:rsidR="00F63818" w:rsidRPr="008A0E33" w:rsidRDefault="00F63818" w:rsidP="00F63818">
      <w:pPr>
        <w:pStyle w:val="EndNoteBibliography"/>
        <w:ind w:left="720" w:hanging="720"/>
      </w:pPr>
      <w:r w:rsidRPr="008A0E33">
        <w:t xml:space="preserve">Siegel, D. S., &amp; Wright, M. 2015. Academic Entrepreneurship: Time for a Rethink? </w:t>
      </w:r>
      <w:r w:rsidRPr="008A0E33">
        <w:rPr>
          <w:b/>
          <w:i/>
        </w:rPr>
        <w:t>British Journal of Management</w:t>
      </w:r>
      <w:r w:rsidRPr="008A0E33">
        <w:t>, 26(4): 582-595.</w:t>
      </w:r>
    </w:p>
    <w:p w14:paraId="1CA7BBFE" w14:textId="77777777" w:rsidR="00F63818" w:rsidRPr="008A0E33" w:rsidRDefault="00F63818" w:rsidP="00F63818">
      <w:pPr>
        <w:pStyle w:val="EndNoteBibliography"/>
        <w:ind w:left="720" w:hanging="720"/>
      </w:pPr>
      <w:r w:rsidRPr="008A0E33">
        <w:t xml:space="preserve">Smith, K. G., Mitchell, T. R., &amp; Summer, C. E. 1984. </w:t>
      </w:r>
      <w:r w:rsidRPr="008A0E33">
        <w:rPr>
          <w:b/>
          <w:i/>
        </w:rPr>
        <w:t>The Relationship Between Stages of Organizational Development and Strategic Decision Priorities: A Dual Methodological Investigation</w:t>
      </w:r>
      <w:r w:rsidRPr="008A0E33">
        <w:t>. Paper presented at the Academy of Management Proceedings.</w:t>
      </w:r>
    </w:p>
    <w:p w14:paraId="5F8C7E93" w14:textId="77777777" w:rsidR="00F63818" w:rsidRPr="008A0E33" w:rsidRDefault="00F63818" w:rsidP="00F63818">
      <w:pPr>
        <w:pStyle w:val="EndNoteBibliography"/>
        <w:ind w:left="720" w:hanging="720"/>
      </w:pPr>
      <w:r w:rsidRPr="008A0E33">
        <w:t xml:space="preserve">Smith, W. K., &amp; Tushman, M. L. 2005. Managing Strategic Contradictions: A Top Management Model for Managing Innovation Streams. </w:t>
      </w:r>
      <w:r w:rsidRPr="008A0E33">
        <w:rPr>
          <w:b/>
          <w:i/>
        </w:rPr>
        <w:t>Organization Science</w:t>
      </w:r>
      <w:r w:rsidRPr="008A0E33">
        <w:t>, 16(5): 522-536.</w:t>
      </w:r>
    </w:p>
    <w:p w14:paraId="79F6FF90" w14:textId="77777777" w:rsidR="00F63818" w:rsidRPr="008A0E33" w:rsidRDefault="00F63818" w:rsidP="00F63818">
      <w:pPr>
        <w:pStyle w:val="EndNoteBibliography"/>
        <w:ind w:left="720" w:hanging="720"/>
      </w:pPr>
      <w:r w:rsidRPr="008A0E33">
        <w:t xml:space="preserve">Stajkovic, A. D., Lee, D., &amp; Nyberg, A. J. 2009. Collective efficacy, group potency, and group performance: Meta-analyses of their relationships, and test of a mediation model. </w:t>
      </w:r>
      <w:r w:rsidRPr="008A0E33">
        <w:rPr>
          <w:b/>
          <w:i/>
        </w:rPr>
        <w:t>Journal of applied psychology</w:t>
      </w:r>
      <w:r w:rsidRPr="008A0E33">
        <w:t>, 94(3): 814-828.</w:t>
      </w:r>
    </w:p>
    <w:p w14:paraId="611FF376" w14:textId="77777777" w:rsidR="00F63818" w:rsidRPr="008A0E33" w:rsidRDefault="00F63818" w:rsidP="00F63818">
      <w:pPr>
        <w:pStyle w:val="EndNoteBibliography"/>
        <w:ind w:left="720" w:hanging="720"/>
      </w:pPr>
      <w:r w:rsidRPr="008A0E33">
        <w:t xml:space="preserve">Stankiewicz, R. 1986. </w:t>
      </w:r>
      <w:r w:rsidRPr="008A0E33">
        <w:rPr>
          <w:b/>
          <w:i/>
        </w:rPr>
        <w:t>Academics and entrepreneurs: developing university-industry relations</w:t>
      </w:r>
      <w:r w:rsidRPr="008A0E33">
        <w:t>. London, UK: St. Martin's Press.</w:t>
      </w:r>
    </w:p>
    <w:p w14:paraId="2797EEA1" w14:textId="77777777" w:rsidR="00F63818" w:rsidRPr="008A0E33" w:rsidRDefault="00F63818" w:rsidP="00F63818">
      <w:pPr>
        <w:pStyle w:val="EndNoteBibliography"/>
        <w:ind w:left="720" w:hanging="720"/>
      </w:pPr>
      <w:r w:rsidRPr="008A0E33">
        <w:t xml:space="preserve">Stokes, D. E. 1997. </w:t>
      </w:r>
      <w:r w:rsidRPr="008A0E33">
        <w:rPr>
          <w:b/>
          <w:i/>
        </w:rPr>
        <w:t>Pasteur's quadrant: basic science and technological innovation</w:t>
      </w:r>
      <w:r w:rsidRPr="008A0E33">
        <w:t>. Washington,D.C.: Brookings Institution Press.</w:t>
      </w:r>
    </w:p>
    <w:p w14:paraId="46C8ADF8" w14:textId="77777777" w:rsidR="00F63818" w:rsidRPr="008A0E33" w:rsidRDefault="00F63818" w:rsidP="00F63818">
      <w:pPr>
        <w:pStyle w:val="EndNoteBibliography"/>
        <w:ind w:left="720" w:hanging="720"/>
      </w:pPr>
      <w:r w:rsidRPr="008A0E33">
        <w:t xml:space="preserve">Tilcsik, A. 2014. Imprint–environment fit and performance: How organizational munificence at the time of hire affects subsequent job performance. </w:t>
      </w:r>
      <w:r w:rsidRPr="008A0E33">
        <w:rPr>
          <w:b/>
          <w:i/>
        </w:rPr>
        <w:t>Administrative Science Quarterly</w:t>
      </w:r>
      <w:r w:rsidRPr="008A0E33">
        <w:t>, 59(4): 639-668.</w:t>
      </w:r>
    </w:p>
    <w:p w14:paraId="383EA12D" w14:textId="77777777" w:rsidR="00F63818" w:rsidRPr="008A0E33" w:rsidRDefault="00F63818" w:rsidP="00F63818">
      <w:pPr>
        <w:pStyle w:val="EndNoteBibliography"/>
        <w:ind w:left="720" w:hanging="720"/>
      </w:pPr>
      <w:r w:rsidRPr="008A0E33">
        <w:t xml:space="preserve">Tushman, M. L., &amp; O'Reilly, C. A. 1996. Ambidextrous organizations: managing evolutionary and revolutionary change. </w:t>
      </w:r>
      <w:r w:rsidRPr="008A0E33">
        <w:rPr>
          <w:b/>
          <w:i/>
        </w:rPr>
        <w:t>California management review</w:t>
      </w:r>
      <w:r w:rsidRPr="008A0E33">
        <w:t>, 38(4): 8-30.</w:t>
      </w:r>
    </w:p>
    <w:p w14:paraId="5E5B8927" w14:textId="77777777" w:rsidR="00F63818" w:rsidRPr="008A0E33" w:rsidRDefault="00F63818" w:rsidP="00F63818">
      <w:pPr>
        <w:pStyle w:val="EndNoteBibliography"/>
        <w:ind w:left="720" w:hanging="720"/>
      </w:pPr>
      <w:r w:rsidRPr="008A0E33">
        <w:t xml:space="preserve">Tuunainen, J. 2005. Hybrid practices? Contributions to the debate on the mutation of science and university. </w:t>
      </w:r>
      <w:r w:rsidRPr="008A0E33">
        <w:rPr>
          <w:b/>
          <w:i/>
        </w:rPr>
        <w:t>Higher Education</w:t>
      </w:r>
      <w:r w:rsidRPr="008A0E33">
        <w:t>, 50(2): 275-298.</w:t>
      </w:r>
    </w:p>
    <w:p w14:paraId="37451B92" w14:textId="77777777" w:rsidR="00F63818" w:rsidRPr="008A0E33" w:rsidRDefault="00F63818" w:rsidP="00F63818">
      <w:pPr>
        <w:pStyle w:val="EndNoteBibliography"/>
        <w:ind w:left="720" w:hanging="720"/>
      </w:pPr>
      <w:r w:rsidRPr="008A0E33">
        <w:t xml:space="preserve">Van Looy, B., Landoni, P., Callaert, J., Van Pottelsberghe, B., Sapsalis, E., &amp; Debackere, K. 2011. Entrepreneurial effectiveness of European universities: An empirical assessment of antecedents and trade-offs. </w:t>
      </w:r>
      <w:r w:rsidRPr="008A0E33">
        <w:rPr>
          <w:b/>
          <w:i/>
        </w:rPr>
        <w:t>Research Policy</w:t>
      </w:r>
      <w:r w:rsidRPr="008A0E33">
        <w:t>, 40(4): 553-564.</w:t>
      </w:r>
    </w:p>
    <w:p w14:paraId="2AA6B29F" w14:textId="77777777" w:rsidR="00F63818" w:rsidRPr="008A0E33" w:rsidRDefault="00F63818" w:rsidP="00F63818">
      <w:pPr>
        <w:pStyle w:val="EndNoteBibliography"/>
        <w:ind w:left="720" w:hanging="720"/>
      </w:pPr>
      <w:r w:rsidRPr="008A0E33">
        <w:lastRenderedPageBreak/>
        <w:t xml:space="preserve">Vanaelst, I., Clarysse, B., Wright, M., Lockett, A., Moray, N., &amp; S'Jegers, R. 2006. Entrepreneurial Team Development in Academic Spinouts: An Examination of Team Heterogeneity. </w:t>
      </w:r>
      <w:r w:rsidRPr="008A0E33">
        <w:rPr>
          <w:b/>
          <w:i/>
        </w:rPr>
        <w:t>Entrepreneurship Theory and Practice</w:t>
      </w:r>
      <w:r w:rsidRPr="008A0E33">
        <w:t>, 30(2): 249-271.</w:t>
      </w:r>
    </w:p>
    <w:p w14:paraId="43CFB35F" w14:textId="77777777" w:rsidR="00F63818" w:rsidRPr="008A0E33" w:rsidRDefault="00F63818" w:rsidP="00F63818">
      <w:pPr>
        <w:pStyle w:val="EndNoteBibliography"/>
        <w:ind w:left="720" w:hanging="720"/>
      </w:pPr>
      <w:r w:rsidRPr="008A0E33">
        <w:t xml:space="preserve">Volberda, H. W. 1996. Toward the flexible form: how to remain vital in hypercompetitive environments. </w:t>
      </w:r>
      <w:r w:rsidRPr="008A0E33">
        <w:rPr>
          <w:b/>
          <w:i/>
        </w:rPr>
        <w:t>Organization Science</w:t>
      </w:r>
      <w:r w:rsidRPr="008A0E33">
        <w:t>, 7(4): 359-374.</w:t>
      </w:r>
    </w:p>
    <w:p w14:paraId="1D4FCCEC" w14:textId="77777777" w:rsidR="00F63818" w:rsidRPr="008A0E33" w:rsidRDefault="00F63818" w:rsidP="00F63818">
      <w:pPr>
        <w:pStyle w:val="EndNoteBibliography"/>
        <w:ind w:left="720" w:hanging="720"/>
      </w:pPr>
      <w:r w:rsidRPr="008A0E33">
        <w:t xml:space="preserve">Watson, C. B., Chemers, M. M., &amp; Preiser, N. 2001. Collective Efficacy: A Multilevel Analysis. </w:t>
      </w:r>
      <w:r w:rsidRPr="008A0E33">
        <w:rPr>
          <w:b/>
          <w:i/>
        </w:rPr>
        <w:t>Personality and Social Psychology Bulletin</w:t>
      </w:r>
      <w:r w:rsidRPr="008A0E33">
        <w:t>, 27(8): 1057-1068.</w:t>
      </w:r>
    </w:p>
    <w:p w14:paraId="33A9F131" w14:textId="77777777" w:rsidR="00F63818" w:rsidRPr="008A0E33" w:rsidRDefault="00F63818" w:rsidP="00F63818">
      <w:pPr>
        <w:pStyle w:val="EndNoteBibliography"/>
        <w:ind w:left="720" w:hanging="720"/>
      </w:pPr>
      <w:r w:rsidRPr="008A0E33">
        <w:t xml:space="preserve">Wu, H.-L. 2008. When does internal governance make firms innovative? </w:t>
      </w:r>
      <w:r w:rsidRPr="008A0E33">
        <w:rPr>
          <w:b/>
          <w:i/>
        </w:rPr>
        <w:t>Journal of Business Research</w:t>
      </w:r>
      <w:r w:rsidRPr="008A0E33">
        <w:t>, 61(2): 141-153.</w:t>
      </w:r>
    </w:p>
    <w:p w14:paraId="1682985B" w14:textId="4250DFE3" w:rsidR="000A27DC" w:rsidRPr="008A0E33" w:rsidRDefault="000A4882" w:rsidP="0057484E">
      <w:r w:rsidRPr="008A0E33">
        <w:fldChar w:fldCharType="end"/>
      </w:r>
    </w:p>
    <w:p w14:paraId="5A59BA95" w14:textId="494ECADE" w:rsidR="000A27DC" w:rsidRPr="008A0E33" w:rsidRDefault="000A27DC" w:rsidP="0057484E">
      <w:pPr>
        <w:widowControl/>
      </w:pPr>
      <w:r w:rsidRPr="008A0E33">
        <w:br w:type="page"/>
      </w:r>
    </w:p>
    <w:p w14:paraId="3F57D3F9" w14:textId="77777777" w:rsidR="000A27DC" w:rsidRPr="008A0E33" w:rsidRDefault="000A27DC" w:rsidP="0057484E">
      <w:pPr>
        <w:widowControl/>
        <w:jc w:val="center"/>
        <w:rPr>
          <w:rFonts w:ascii="Times New Roman" w:hAnsi="Times New Roman" w:cs="Times New Roman"/>
          <w:b/>
          <w:bCs/>
          <w:kern w:val="0"/>
        </w:rPr>
      </w:pPr>
      <w:r w:rsidRPr="008A0E33">
        <w:rPr>
          <w:noProof/>
        </w:rPr>
        <w:lastRenderedPageBreak/>
        <w:drawing>
          <wp:inline distT="0" distB="0" distL="0" distR="0" wp14:anchorId="031E7E84" wp14:editId="43E84F4A">
            <wp:extent cx="2943225" cy="298132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3225" cy="2981325"/>
                    </a:xfrm>
                    <a:prstGeom prst="rect">
                      <a:avLst/>
                    </a:prstGeom>
                    <a:noFill/>
                    <a:ln>
                      <a:noFill/>
                    </a:ln>
                  </pic:spPr>
                </pic:pic>
              </a:graphicData>
            </a:graphic>
          </wp:inline>
        </w:drawing>
      </w:r>
    </w:p>
    <w:p w14:paraId="276BDC3D" w14:textId="77777777" w:rsidR="000A27DC" w:rsidRPr="008A0E33" w:rsidRDefault="000A27DC" w:rsidP="0057484E">
      <w:pPr>
        <w:widowControl/>
        <w:jc w:val="center"/>
        <w:rPr>
          <w:rFonts w:ascii="Times" w:hAnsi="Times" w:cs="Times New Roman"/>
          <w:kern w:val="0"/>
          <w:sz w:val="20"/>
          <w:szCs w:val="20"/>
        </w:rPr>
      </w:pPr>
      <w:r w:rsidRPr="008A0E33">
        <w:rPr>
          <w:rFonts w:ascii="Times New Roman" w:hAnsi="Times New Roman" w:cs="Times New Roman"/>
          <w:b/>
          <w:bCs/>
          <w:kern w:val="0"/>
        </w:rPr>
        <w:t>Figure 1 Quadrant Model of Scientific Research</w:t>
      </w:r>
    </w:p>
    <w:p w14:paraId="6FECCF66" w14:textId="3F6390E1" w:rsidR="000A27DC" w:rsidRPr="008A0E33" w:rsidRDefault="000A27DC" w:rsidP="0057484E">
      <w:pPr>
        <w:widowControl/>
        <w:jc w:val="center"/>
        <w:rPr>
          <w:rFonts w:ascii="Times New Roman" w:hAnsi="Times New Roman" w:cs="Times New Roman"/>
          <w:kern w:val="0"/>
          <w:sz w:val="20"/>
          <w:szCs w:val="20"/>
        </w:rPr>
      </w:pPr>
      <w:r w:rsidRPr="008A0E33">
        <w:rPr>
          <w:rFonts w:ascii="Times New Roman" w:hAnsi="Times New Roman" w:cs="Times New Roman"/>
          <w:kern w:val="0"/>
          <w:sz w:val="20"/>
          <w:szCs w:val="20"/>
        </w:rPr>
        <w:t>Source: Adapted from Stokes (1997)</w:t>
      </w:r>
    </w:p>
    <w:p w14:paraId="69B9CF4B" w14:textId="77777777" w:rsidR="00BD1001" w:rsidRPr="008A0E33" w:rsidRDefault="00BD1001" w:rsidP="0057484E">
      <w:pPr>
        <w:widowControl/>
        <w:jc w:val="center"/>
        <w:rPr>
          <w:rFonts w:ascii="Times" w:hAnsi="Times" w:cs="Times New Roman"/>
          <w:kern w:val="0"/>
          <w:sz w:val="20"/>
          <w:szCs w:val="20"/>
        </w:rPr>
      </w:pPr>
    </w:p>
    <w:p w14:paraId="6ADD6195" w14:textId="74326ABB" w:rsidR="000A27DC" w:rsidRPr="008A0E33" w:rsidRDefault="00BD1001" w:rsidP="0057484E">
      <w:pPr>
        <w:jc w:val="center"/>
      </w:pPr>
      <w:r w:rsidRPr="008A0E33">
        <w:rPr>
          <w:noProof/>
        </w:rPr>
        <w:drawing>
          <wp:inline distT="0" distB="0" distL="0" distR="0" wp14:anchorId="370D7CD6" wp14:editId="24F01681">
            <wp:extent cx="4210050" cy="183769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214"/>
                    <a:stretch/>
                  </pic:blipFill>
                  <pic:spPr bwMode="auto">
                    <a:xfrm>
                      <a:off x="0" y="0"/>
                      <a:ext cx="4210978" cy="1838095"/>
                    </a:xfrm>
                    <a:prstGeom prst="rect">
                      <a:avLst/>
                    </a:prstGeom>
                    <a:ln>
                      <a:noFill/>
                    </a:ln>
                    <a:extLst>
                      <a:ext uri="{53640926-AAD7-44D8-BBD7-CCE9431645EC}">
                        <a14:shadowObscured xmlns:a14="http://schemas.microsoft.com/office/drawing/2010/main"/>
                      </a:ext>
                    </a:extLst>
                  </pic:spPr>
                </pic:pic>
              </a:graphicData>
            </a:graphic>
          </wp:inline>
        </w:drawing>
      </w:r>
      <w:r w:rsidR="000A27DC" w:rsidRPr="008A0E33">
        <w:rPr>
          <w:rFonts w:ascii="Times" w:eastAsia="Times New Roman" w:hAnsi="Times" w:cs="Times New Roman"/>
          <w:kern w:val="0"/>
          <w:sz w:val="20"/>
          <w:szCs w:val="20"/>
        </w:rPr>
        <w:br/>
      </w:r>
      <w:r w:rsidRPr="008A0E33">
        <w:rPr>
          <w:rFonts w:ascii="Times New Roman" w:hAnsi="Times New Roman" w:cs="Times New Roman"/>
          <w:b/>
          <w:bCs/>
          <w:kern w:val="0"/>
        </w:rPr>
        <w:t>Figure 2 Decomposition of Pasteurian orientation</w:t>
      </w:r>
    </w:p>
    <w:p w14:paraId="49F56FC3" w14:textId="77777777" w:rsidR="000A27DC" w:rsidRPr="008A0E33" w:rsidRDefault="000A27DC" w:rsidP="0057484E"/>
    <w:p w14:paraId="67CD7590" w14:textId="3F8C866C" w:rsidR="000A27DC" w:rsidRPr="008A0E33" w:rsidRDefault="00841ACD" w:rsidP="0057484E">
      <w:r w:rsidRPr="008A0E33">
        <w:object w:dxaOrig="11940" w:dyaOrig="3930" w14:anchorId="392EFA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05pt;height:138.4pt" o:ole="">
            <v:imagedata r:id="rId10" o:title=""/>
          </v:shape>
          <o:OLEObject Type="Embed" ProgID="Visio.Drawing.15" ShapeID="_x0000_i1025" DrawAspect="Content" ObjectID="_1651242132" r:id="rId11"/>
        </w:object>
      </w:r>
    </w:p>
    <w:p w14:paraId="5023FA77" w14:textId="65C2A4E5" w:rsidR="000A27DC" w:rsidRPr="008A0E33" w:rsidRDefault="000A27DC" w:rsidP="0057484E">
      <w:pPr>
        <w:widowControl/>
        <w:jc w:val="center"/>
        <w:rPr>
          <w:b/>
        </w:rPr>
      </w:pPr>
      <w:r w:rsidRPr="008A0E33">
        <w:rPr>
          <w:rFonts w:ascii="Times New Roman" w:hAnsi="Times New Roman" w:cs="Times New Roman"/>
          <w:b/>
          <w:bCs/>
          <w:kern w:val="0"/>
        </w:rPr>
        <w:t xml:space="preserve">Figure </w:t>
      </w:r>
      <w:r w:rsidR="00B71C96" w:rsidRPr="008A0E33">
        <w:rPr>
          <w:rFonts w:ascii="Times New Roman" w:hAnsi="Times New Roman" w:cs="Times New Roman"/>
          <w:b/>
          <w:bCs/>
          <w:kern w:val="0"/>
        </w:rPr>
        <w:t>3</w:t>
      </w:r>
      <w:r w:rsidRPr="008A0E33">
        <w:rPr>
          <w:rFonts w:ascii="Times New Roman" w:hAnsi="Times New Roman" w:cs="Times New Roman"/>
          <w:b/>
          <w:bCs/>
          <w:kern w:val="0"/>
        </w:rPr>
        <w:t xml:space="preserve"> Pasteurian Orientation: Antecedents, Mediation and</w:t>
      </w:r>
      <w:r w:rsidR="00C01744" w:rsidRPr="008A0E33">
        <w:rPr>
          <w:rFonts w:ascii="Times New Roman" w:hAnsi="Times New Roman" w:cs="Times New Roman"/>
          <w:b/>
          <w:bCs/>
          <w:kern w:val="0"/>
        </w:rPr>
        <w:t xml:space="preserve"> Collective Efficacy</w:t>
      </w:r>
    </w:p>
    <w:p w14:paraId="0F4C8951" w14:textId="77777777" w:rsidR="000A27DC" w:rsidRPr="008A0E33" w:rsidRDefault="000A27DC" w:rsidP="0057484E">
      <w:pPr>
        <w:widowControl/>
        <w:jc w:val="center"/>
        <w:rPr>
          <w:b/>
        </w:rPr>
      </w:pPr>
      <w:r w:rsidRPr="008A0E33">
        <w:rPr>
          <w:b/>
        </w:rPr>
        <w:br w:type="page"/>
      </w:r>
    </w:p>
    <w:p w14:paraId="063C92FD" w14:textId="77777777" w:rsidR="000A27DC" w:rsidRPr="008A0E33" w:rsidRDefault="000A27DC" w:rsidP="0057484E">
      <w:pPr>
        <w:widowControl/>
        <w:rPr>
          <w:rFonts w:ascii="Times" w:hAnsi="Times" w:cs="Times New Roman"/>
          <w:kern w:val="0"/>
          <w:sz w:val="20"/>
          <w:szCs w:val="20"/>
        </w:rPr>
      </w:pPr>
      <w:r w:rsidRPr="008A0E33">
        <w:rPr>
          <w:rFonts w:ascii="Times New Roman" w:hAnsi="Times New Roman" w:cs="Times New Roman"/>
          <w:b/>
          <w:bCs/>
          <w:kern w:val="0"/>
          <w:sz w:val="22"/>
          <w:szCs w:val="22"/>
        </w:rPr>
        <w:lastRenderedPageBreak/>
        <w:t>Table 1 Top Ten Universities in Patent Grants (2004~2009)</w:t>
      </w:r>
    </w:p>
    <w:tbl>
      <w:tblPr>
        <w:tblW w:w="5000" w:type="pct"/>
        <w:tblBorders>
          <w:top w:val="single" w:sz="4" w:space="0" w:color="000000"/>
          <w:bottom w:val="single" w:sz="4" w:space="0" w:color="000000"/>
        </w:tblBorders>
        <w:tblLook w:val="04A0" w:firstRow="1" w:lastRow="0" w:firstColumn="1" w:lastColumn="0" w:noHBand="0" w:noVBand="1"/>
      </w:tblPr>
      <w:tblGrid>
        <w:gridCol w:w="798"/>
        <w:gridCol w:w="3275"/>
        <w:gridCol w:w="1451"/>
        <w:gridCol w:w="1451"/>
        <w:gridCol w:w="1325"/>
      </w:tblGrid>
      <w:tr w:rsidR="008A0E33" w:rsidRPr="008A0E33" w14:paraId="62C79F6C" w14:textId="77777777" w:rsidTr="00B40DF7">
        <w:tc>
          <w:tcPr>
            <w:tcW w:w="481" w:type="pct"/>
            <w:tcBorders>
              <w:top w:val="single" w:sz="12" w:space="0" w:color="000000"/>
              <w:bottom w:val="single" w:sz="4" w:space="0" w:color="000000"/>
            </w:tcBorders>
            <w:shd w:val="clear" w:color="auto" w:fill="auto"/>
          </w:tcPr>
          <w:p w14:paraId="5CDFADFA" w14:textId="77777777" w:rsidR="000A27DC" w:rsidRPr="008A0E33" w:rsidRDefault="000A27DC" w:rsidP="0057484E">
            <w:pPr>
              <w:widowControl/>
              <w:jc w:val="center"/>
              <w:rPr>
                <w:b/>
                <w:kern w:val="0"/>
                <w:sz w:val="22"/>
              </w:rPr>
            </w:pPr>
            <w:r w:rsidRPr="008A0E33">
              <w:rPr>
                <w:b/>
                <w:kern w:val="0"/>
                <w:sz w:val="22"/>
                <w:szCs w:val="22"/>
              </w:rPr>
              <w:t>Rank</w:t>
            </w:r>
          </w:p>
        </w:tc>
        <w:tc>
          <w:tcPr>
            <w:tcW w:w="1973" w:type="pct"/>
            <w:tcBorders>
              <w:top w:val="single" w:sz="12" w:space="0" w:color="000000"/>
              <w:bottom w:val="single" w:sz="4" w:space="0" w:color="000000"/>
            </w:tcBorders>
            <w:shd w:val="clear" w:color="auto" w:fill="auto"/>
          </w:tcPr>
          <w:p w14:paraId="0C224742" w14:textId="77777777" w:rsidR="000A27DC" w:rsidRPr="008A0E33" w:rsidRDefault="000A27DC" w:rsidP="0057484E">
            <w:pPr>
              <w:widowControl/>
              <w:rPr>
                <w:b/>
                <w:kern w:val="0"/>
                <w:sz w:val="22"/>
              </w:rPr>
            </w:pPr>
            <w:r w:rsidRPr="008A0E33">
              <w:rPr>
                <w:rFonts w:hint="eastAsia"/>
                <w:b/>
                <w:sz w:val="22"/>
                <w:szCs w:val="22"/>
              </w:rPr>
              <w:t>University</w:t>
            </w:r>
          </w:p>
        </w:tc>
        <w:tc>
          <w:tcPr>
            <w:tcW w:w="874" w:type="pct"/>
            <w:tcBorders>
              <w:top w:val="single" w:sz="12" w:space="0" w:color="000000"/>
              <w:bottom w:val="single" w:sz="4" w:space="0" w:color="000000"/>
            </w:tcBorders>
            <w:shd w:val="clear" w:color="auto" w:fill="auto"/>
          </w:tcPr>
          <w:p w14:paraId="1A1476FC" w14:textId="77777777" w:rsidR="000A27DC" w:rsidRPr="008A0E33" w:rsidRDefault="000A27DC" w:rsidP="0057484E">
            <w:pPr>
              <w:widowControl/>
              <w:jc w:val="center"/>
              <w:rPr>
                <w:b/>
                <w:kern w:val="0"/>
                <w:sz w:val="22"/>
              </w:rPr>
            </w:pPr>
            <w:r w:rsidRPr="008A0E33">
              <w:rPr>
                <w:b/>
                <w:kern w:val="0"/>
                <w:sz w:val="22"/>
                <w:szCs w:val="22"/>
              </w:rPr>
              <w:t>Utility</w:t>
            </w:r>
            <w:r w:rsidRPr="008A0E33">
              <w:rPr>
                <w:rFonts w:hint="eastAsia"/>
                <w:b/>
                <w:kern w:val="0"/>
                <w:sz w:val="22"/>
                <w:szCs w:val="22"/>
              </w:rPr>
              <w:t xml:space="preserve"> </w:t>
            </w:r>
            <w:r w:rsidRPr="008A0E33">
              <w:rPr>
                <w:b/>
                <w:kern w:val="0"/>
                <w:sz w:val="22"/>
                <w:szCs w:val="22"/>
              </w:rPr>
              <w:t>Patent</w:t>
            </w:r>
          </w:p>
        </w:tc>
        <w:tc>
          <w:tcPr>
            <w:tcW w:w="874" w:type="pct"/>
            <w:tcBorders>
              <w:top w:val="single" w:sz="12" w:space="0" w:color="000000"/>
              <w:bottom w:val="single" w:sz="4" w:space="0" w:color="000000"/>
            </w:tcBorders>
            <w:shd w:val="clear" w:color="auto" w:fill="auto"/>
          </w:tcPr>
          <w:p w14:paraId="1E256A61" w14:textId="77777777" w:rsidR="000A27DC" w:rsidRPr="008A0E33" w:rsidRDefault="000A27DC" w:rsidP="0057484E">
            <w:pPr>
              <w:widowControl/>
              <w:jc w:val="center"/>
              <w:rPr>
                <w:b/>
                <w:kern w:val="0"/>
                <w:sz w:val="22"/>
              </w:rPr>
            </w:pPr>
            <w:r w:rsidRPr="008A0E33">
              <w:rPr>
                <w:b/>
                <w:kern w:val="0"/>
                <w:sz w:val="22"/>
                <w:szCs w:val="22"/>
              </w:rPr>
              <w:t>Design Patent</w:t>
            </w:r>
          </w:p>
        </w:tc>
        <w:tc>
          <w:tcPr>
            <w:tcW w:w="799" w:type="pct"/>
            <w:tcBorders>
              <w:top w:val="single" w:sz="12" w:space="0" w:color="000000"/>
              <w:bottom w:val="single" w:sz="4" w:space="0" w:color="000000"/>
            </w:tcBorders>
            <w:shd w:val="clear" w:color="auto" w:fill="auto"/>
          </w:tcPr>
          <w:p w14:paraId="1C6ED3FF" w14:textId="77777777" w:rsidR="000A27DC" w:rsidRPr="008A0E33" w:rsidRDefault="000A27DC" w:rsidP="0057484E">
            <w:pPr>
              <w:widowControl/>
              <w:jc w:val="center"/>
              <w:rPr>
                <w:b/>
                <w:kern w:val="0"/>
                <w:sz w:val="22"/>
              </w:rPr>
            </w:pPr>
            <w:r w:rsidRPr="008A0E33">
              <w:rPr>
                <w:b/>
                <w:kern w:val="0"/>
                <w:sz w:val="22"/>
                <w:szCs w:val="22"/>
              </w:rPr>
              <w:t>Total Patent</w:t>
            </w:r>
          </w:p>
        </w:tc>
      </w:tr>
      <w:tr w:rsidR="008A0E33" w:rsidRPr="008A0E33" w14:paraId="4BC421A7" w14:textId="77777777" w:rsidTr="00B40DF7">
        <w:tc>
          <w:tcPr>
            <w:tcW w:w="481" w:type="pct"/>
            <w:tcBorders>
              <w:top w:val="single" w:sz="4" w:space="0" w:color="000000"/>
            </w:tcBorders>
            <w:shd w:val="clear" w:color="auto" w:fill="auto"/>
          </w:tcPr>
          <w:p w14:paraId="1F3BDE82" w14:textId="77777777" w:rsidR="000A27DC" w:rsidRPr="008A0E33" w:rsidRDefault="000A27DC" w:rsidP="0057484E">
            <w:pPr>
              <w:widowControl/>
              <w:jc w:val="center"/>
              <w:rPr>
                <w:kern w:val="0"/>
                <w:sz w:val="22"/>
              </w:rPr>
            </w:pPr>
            <w:r w:rsidRPr="008A0E33">
              <w:rPr>
                <w:kern w:val="0"/>
                <w:sz w:val="22"/>
                <w:szCs w:val="22"/>
              </w:rPr>
              <w:t>1</w:t>
            </w:r>
          </w:p>
        </w:tc>
        <w:tc>
          <w:tcPr>
            <w:tcW w:w="1973" w:type="pct"/>
            <w:tcBorders>
              <w:top w:val="single" w:sz="4" w:space="0" w:color="000000"/>
            </w:tcBorders>
            <w:shd w:val="clear" w:color="auto" w:fill="auto"/>
            <w:vAlign w:val="center"/>
          </w:tcPr>
          <w:p w14:paraId="56D3E6C2" w14:textId="77777777" w:rsidR="000A27DC" w:rsidRPr="008A0E33" w:rsidRDefault="000A27DC" w:rsidP="0057484E">
            <w:pPr>
              <w:autoSpaceDE w:val="0"/>
              <w:autoSpaceDN w:val="0"/>
              <w:adjustRightInd w:val="0"/>
              <w:rPr>
                <w:kern w:val="0"/>
                <w:sz w:val="22"/>
              </w:rPr>
            </w:pPr>
            <w:r w:rsidRPr="008A0E33">
              <w:rPr>
                <w:rFonts w:cs="Arial"/>
                <w:kern w:val="0"/>
                <w:sz w:val="22"/>
                <w:szCs w:val="22"/>
              </w:rPr>
              <w:t>Far East University</w:t>
            </w:r>
          </w:p>
        </w:tc>
        <w:tc>
          <w:tcPr>
            <w:tcW w:w="874" w:type="pct"/>
            <w:tcBorders>
              <w:top w:val="single" w:sz="4" w:space="0" w:color="000000"/>
            </w:tcBorders>
            <w:shd w:val="clear" w:color="auto" w:fill="auto"/>
            <w:vAlign w:val="center"/>
          </w:tcPr>
          <w:p w14:paraId="1A488FE6" w14:textId="77777777" w:rsidR="000A27DC" w:rsidRPr="008A0E33" w:rsidRDefault="000A27DC" w:rsidP="0057484E">
            <w:pPr>
              <w:autoSpaceDE w:val="0"/>
              <w:autoSpaceDN w:val="0"/>
              <w:adjustRightInd w:val="0"/>
              <w:jc w:val="center"/>
              <w:rPr>
                <w:kern w:val="0"/>
                <w:sz w:val="22"/>
              </w:rPr>
            </w:pPr>
            <w:r w:rsidRPr="008A0E33">
              <w:rPr>
                <w:kern w:val="0"/>
                <w:sz w:val="22"/>
                <w:szCs w:val="22"/>
              </w:rPr>
              <w:t>117</w:t>
            </w:r>
          </w:p>
        </w:tc>
        <w:tc>
          <w:tcPr>
            <w:tcW w:w="874" w:type="pct"/>
            <w:tcBorders>
              <w:top w:val="single" w:sz="4" w:space="0" w:color="000000"/>
            </w:tcBorders>
            <w:shd w:val="clear" w:color="auto" w:fill="auto"/>
            <w:vAlign w:val="center"/>
          </w:tcPr>
          <w:p w14:paraId="6CC521D9" w14:textId="77777777" w:rsidR="000A27DC" w:rsidRPr="008A0E33" w:rsidRDefault="000A27DC" w:rsidP="0057484E">
            <w:pPr>
              <w:autoSpaceDE w:val="0"/>
              <w:autoSpaceDN w:val="0"/>
              <w:adjustRightInd w:val="0"/>
              <w:jc w:val="center"/>
              <w:rPr>
                <w:kern w:val="0"/>
                <w:sz w:val="22"/>
              </w:rPr>
            </w:pPr>
            <w:r w:rsidRPr="008A0E33">
              <w:rPr>
                <w:kern w:val="0"/>
                <w:sz w:val="22"/>
                <w:szCs w:val="22"/>
              </w:rPr>
              <w:t>848</w:t>
            </w:r>
          </w:p>
        </w:tc>
        <w:tc>
          <w:tcPr>
            <w:tcW w:w="799" w:type="pct"/>
            <w:tcBorders>
              <w:top w:val="single" w:sz="4" w:space="0" w:color="000000"/>
            </w:tcBorders>
            <w:shd w:val="clear" w:color="auto" w:fill="auto"/>
            <w:vAlign w:val="center"/>
          </w:tcPr>
          <w:p w14:paraId="61B083FB" w14:textId="77777777" w:rsidR="000A27DC" w:rsidRPr="008A0E33" w:rsidRDefault="000A27DC" w:rsidP="0057484E">
            <w:pPr>
              <w:autoSpaceDE w:val="0"/>
              <w:autoSpaceDN w:val="0"/>
              <w:adjustRightInd w:val="0"/>
              <w:jc w:val="center"/>
              <w:rPr>
                <w:kern w:val="0"/>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965</w:t>
            </w:r>
            <w:r w:rsidRPr="008A0E33">
              <w:rPr>
                <w:kern w:val="0"/>
                <w:sz w:val="22"/>
                <w:szCs w:val="22"/>
              </w:rPr>
              <w:fldChar w:fldCharType="end"/>
            </w:r>
          </w:p>
        </w:tc>
      </w:tr>
      <w:tr w:rsidR="008A0E33" w:rsidRPr="008A0E33" w14:paraId="67712B7C" w14:textId="77777777" w:rsidTr="00B40DF7">
        <w:tc>
          <w:tcPr>
            <w:tcW w:w="481" w:type="pct"/>
            <w:shd w:val="clear" w:color="auto" w:fill="auto"/>
          </w:tcPr>
          <w:p w14:paraId="3E4BEBF8" w14:textId="77777777" w:rsidR="000A27DC" w:rsidRPr="008A0E33" w:rsidRDefault="000A27DC" w:rsidP="0057484E">
            <w:pPr>
              <w:widowControl/>
              <w:jc w:val="center"/>
              <w:rPr>
                <w:kern w:val="0"/>
                <w:sz w:val="22"/>
              </w:rPr>
            </w:pPr>
            <w:r w:rsidRPr="008A0E33">
              <w:rPr>
                <w:kern w:val="0"/>
                <w:sz w:val="22"/>
                <w:szCs w:val="22"/>
              </w:rPr>
              <w:t>2</w:t>
            </w:r>
          </w:p>
        </w:tc>
        <w:tc>
          <w:tcPr>
            <w:tcW w:w="1973" w:type="pct"/>
            <w:shd w:val="clear" w:color="auto" w:fill="auto"/>
            <w:vAlign w:val="center"/>
          </w:tcPr>
          <w:p w14:paraId="01A85CF1" w14:textId="77777777" w:rsidR="000A27DC" w:rsidRPr="008A0E33" w:rsidRDefault="000A27DC" w:rsidP="0057484E">
            <w:pPr>
              <w:autoSpaceDE w:val="0"/>
              <w:autoSpaceDN w:val="0"/>
              <w:adjustRightInd w:val="0"/>
              <w:rPr>
                <w:kern w:val="0"/>
                <w:sz w:val="22"/>
              </w:rPr>
            </w:pPr>
            <w:r w:rsidRPr="008A0E33">
              <w:rPr>
                <w:rFonts w:cs="Arial"/>
                <w:kern w:val="0"/>
                <w:sz w:val="22"/>
                <w:szCs w:val="22"/>
              </w:rPr>
              <w:t>National Cheng Kung University</w:t>
            </w:r>
          </w:p>
        </w:tc>
        <w:tc>
          <w:tcPr>
            <w:tcW w:w="874" w:type="pct"/>
            <w:shd w:val="clear" w:color="auto" w:fill="auto"/>
            <w:vAlign w:val="center"/>
          </w:tcPr>
          <w:p w14:paraId="330246D8" w14:textId="77777777" w:rsidR="000A27DC" w:rsidRPr="008A0E33" w:rsidRDefault="000A27DC" w:rsidP="0057484E">
            <w:pPr>
              <w:autoSpaceDE w:val="0"/>
              <w:autoSpaceDN w:val="0"/>
              <w:adjustRightInd w:val="0"/>
              <w:jc w:val="center"/>
              <w:rPr>
                <w:kern w:val="0"/>
                <w:sz w:val="22"/>
              </w:rPr>
            </w:pPr>
            <w:r w:rsidRPr="008A0E33">
              <w:rPr>
                <w:kern w:val="0"/>
                <w:sz w:val="22"/>
                <w:szCs w:val="22"/>
              </w:rPr>
              <w:t>283</w:t>
            </w:r>
          </w:p>
        </w:tc>
        <w:tc>
          <w:tcPr>
            <w:tcW w:w="874" w:type="pct"/>
            <w:shd w:val="clear" w:color="auto" w:fill="auto"/>
            <w:vAlign w:val="center"/>
          </w:tcPr>
          <w:p w14:paraId="79649645" w14:textId="77777777" w:rsidR="000A27DC" w:rsidRPr="008A0E33" w:rsidRDefault="000A27DC" w:rsidP="0057484E">
            <w:pPr>
              <w:autoSpaceDE w:val="0"/>
              <w:autoSpaceDN w:val="0"/>
              <w:adjustRightInd w:val="0"/>
              <w:jc w:val="center"/>
              <w:rPr>
                <w:kern w:val="0"/>
                <w:sz w:val="22"/>
              </w:rPr>
            </w:pPr>
            <w:r w:rsidRPr="008A0E33">
              <w:rPr>
                <w:kern w:val="0"/>
                <w:sz w:val="22"/>
                <w:szCs w:val="22"/>
              </w:rPr>
              <w:t>31</w:t>
            </w:r>
          </w:p>
        </w:tc>
        <w:tc>
          <w:tcPr>
            <w:tcW w:w="799" w:type="pct"/>
            <w:shd w:val="clear" w:color="auto" w:fill="auto"/>
            <w:vAlign w:val="center"/>
          </w:tcPr>
          <w:p w14:paraId="22E5DD8D" w14:textId="77777777" w:rsidR="000A27DC" w:rsidRPr="008A0E33" w:rsidRDefault="000A27DC" w:rsidP="0057484E">
            <w:pPr>
              <w:autoSpaceDE w:val="0"/>
              <w:autoSpaceDN w:val="0"/>
              <w:adjustRightInd w:val="0"/>
              <w:jc w:val="center"/>
              <w:rPr>
                <w:kern w:val="0"/>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314</w:t>
            </w:r>
            <w:r w:rsidRPr="008A0E33">
              <w:rPr>
                <w:kern w:val="0"/>
                <w:sz w:val="22"/>
                <w:szCs w:val="22"/>
              </w:rPr>
              <w:fldChar w:fldCharType="end"/>
            </w:r>
          </w:p>
        </w:tc>
      </w:tr>
      <w:tr w:rsidR="008A0E33" w:rsidRPr="008A0E33" w14:paraId="287F151D" w14:textId="77777777" w:rsidTr="00B40DF7">
        <w:tc>
          <w:tcPr>
            <w:tcW w:w="481" w:type="pct"/>
            <w:shd w:val="clear" w:color="auto" w:fill="auto"/>
          </w:tcPr>
          <w:p w14:paraId="7B9E15E6" w14:textId="77777777" w:rsidR="000A27DC" w:rsidRPr="008A0E33" w:rsidRDefault="000A27DC" w:rsidP="0057484E">
            <w:pPr>
              <w:widowControl/>
              <w:jc w:val="center"/>
              <w:rPr>
                <w:kern w:val="0"/>
                <w:sz w:val="22"/>
              </w:rPr>
            </w:pPr>
            <w:r w:rsidRPr="008A0E33">
              <w:rPr>
                <w:kern w:val="0"/>
                <w:sz w:val="22"/>
                <w:szCs w:val="22"/>
              </w:rPr>
              <w:t>3</w:t>
            </w:r>
          </w:p>
        </w:tc>
        <w:tc>
          <w:tcPr>
            <w:tcW w:w="1973" w:type="pct"/>
            <w:shd w:val="clear" w:color="auto" w:fill="auto"/>
            <w:vAlign w:val="center"/>
          </w:tcPr>
          <w:p w14:paraId="7ABB214C" w14:textId="77777777" w:rsidR="000A27DC" w:rsidRPr="008A0E33" w:rsidRDefault="000A27DC" w:rsidP="0057484E">
            <w:pPr>
              <w:autoSpaceDE w:val="0"/>
              <w:autoSpaceDN w:val="0"/>
              <w:adjustRightInd w:val="0"/>
              <w:rPr>
                <w:kern w:val="0"/>
                <w:sz w:val="22"/>
              </w:rPr>
            </w:pPr>
            <w:r w:rsidRPr="008A0E33">
              <w:rPr>
                <w:rFonts w:cs="Arial"/>
                <w:kern w:val="0"/>
                <w:sz w:val="22"/>
                <w:szCs w:val="22"/>
              </w:rPr>
              <w:t xml:space="preserve">National </w:t>
            </w:r>
            <w:proofErr w:type="spellStart"/>
            <w:r w:rsidRPr="008A0E33">
              <w:rPr>
                <w:rFonts w:cs="Arial"/>
                <w:kern w:val="0"/>
                <w:sz w:val="22"/>
                <w:szCs w:val="22"/>
              </w:rPr>
              <w:t>Chiao</w:t>
            </w:r>
            <w:proofErr w:type="spellEnd"/>
            <w:r w:rsidRPr="008A0E33">
              <w:rPr>
                <w:rFonts w:cs="Arial"/>
                <w:kern w:val="0"/>
                <w:sz w:val="22"/>
                <w:szCs w:val="22"/>
              </w:rPr>
              <w:t xml:space="preserve"> Tung University</w:t>
            </w:r>
          </w:p>
        </w:tc>
        <w:tc>
          <w:tcPr>
            <w:tcW w:w="874" w:type="pct"/>
            <w:shd w:val="clear" w:color="auto" w:fill="auto"/>
            <w:vAlign w:val="center"/>
          </w:tcPr>
          <w:p w14:paraId="77F94D7A" w14:textId="77777777" w:rsidR="000A27DC" w:rsidRPr="008A0E33" w:rsidRDefault="000A27DC" w:rsidP="0057484E">
            <w:pPr>
              <w:autoSpaceDE w:val="0"/>
              <w:autoSpaceDN w:val="0"/>
              <w:adjustRightInd w:val="0"/>
              <w:jc w:val="center"/>
              <w:rPr>
                <w:kern w:val="0"/>
                <w:sz w:val="22"/>
              </w:rPr>
            </w:pPr>
            <w:r w:rsidRPr="008A0E33">
              <w:rPr>
                <w:kern w:val="0"/>
                <w:sz w:val="22"/>
                <w:szCs w:val="22"/>
              </w:rPr>
              <w:t>272</w:t>
            </w:r>
          </w:p>
        </w:tc>
        <w:tc>
          <w:tcPr>
            <w:tcW w:w="874" w:type="pct"/>
            <w:shd w:val="clear" w:color="auto" w:fill="auto"/>
            <w:vAlign w:val="center"/>
          </w:tcPr>
          <w:p w14:paraId="321E3EAD" w14:textId="77777777" w:rsidR="000A27DC" w:rsidRPr="008A0E33" w:rsidRDefault="000A27DC" w:rsidP="0057484E">
            <w:pPr>
              <w:autoSpaceDE w:val="0"/>
              <w:autoSpaceDN w:val="0"/>
              <w:adjustRightInd w:val="0"/>
              <w:jc w:val="center"/>
              <w:rPr>
                <w:kern w:val="0"/>
                <w:sz w:val="22"/>
              </w:rPr>
            </w:pPr>
            <w:r w:rsidRPr="008A0E33">
              <w:rPr>
                <w:kern w:val="0"/>
                <w:sz w:val="22"/>
                <w:szCs w:val="22"/>
              </w:rPr>
              <w:t>3</w:t>
            </w:r>
          </w:p>
        </w:tc>
        <w:tc>
          <w:tcPr>
            <w:tcW w:w="799" w:type="pct"/>
            <w:shd w:val="clear" w:color="auto" w:fill="auto"/>
            <w:vAlign w:val="center"/>
          </w:tcPr>
          <w:p w14:paraId="4D574857" w14:textId="77777777" w:rsidR="000A27DC" w:rsidRPr="008A0E33" w:rsidRDefault="000A27DC" w:rsidP="0057484E">
            <w:pPr>
              <w:autoSpaceDE w:val="0"/>
              <w:autoSpaceDN w:val="0"/>
              <w:adjustRightInd w:val="0"/>
              <w:jc w:val="center"/>
              <w:rPr>
                <w:kern w:val="0"/>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275</w:t>
            </w:r>
            <w:r w:rsidRPr="008A0E33">
              <w:rPr>
                <w:kern w:val="0"/>
                <w:sz w:val="22"/>
                <w:szCs w:val="22"/>
              </w:rPr>
              <w:fldChar w:fldCharType="end"/>
            </w:r>
          </w:p>
        </w:tc>
      </w:tr>
      <w:tr w:rsidR="008A0E33" w:rsidRPr="008A0E33" w14:paraId="29369A61" w14:textId="77777777" w:rsidTr="00B40DF7">
        <w:tc>
          <w:tcPr>
            <w:tcW w:w="481" w:type="pct"/>
            <w:shd w:val="clear" w:color="auto" w:fill="auto"/>
          </w:tcPr>
          <w:p w14:paraId="2E59B567" w14:textId="77777777" w:rsidR="000A27DC" w:rsidRPr="008A0E33" w:rsidRDefault="000A27DC" w:rsidP="0057484E">
            <w:pPr>
              <w:widowControl/>
              <w:jc w:val="center"/>
              <w:rPr>
                <w:kern w:val="0"/>
                <w:sz w:val="22"/>
              </w:rPr>
            </w:pPr>
            <w:r w:rsidRPr="008A0E33">
              <w:rPr>
                <w:kern w:val="0"/>
                <w:sz w:val="22"/>
                <w:szCs w:val="22"/>
              </w:rPr>
              <w:t>4</w:t>
            </w:r>
          </w:p>
        </w:tc>
        <w:tc>
          <w:tcPr>
            <w:tcW w:w="1973" w:type="pct"/>
            <w:shd w:val="clear" w:color="auto" w:fill="auto"/>
            <w:vAlign w:val="center"/>
          </w:tcPr>
          <w:p w14:paraId="42910F47" w14:textId="77777777" w:rsidR="000A27DC" w:rsidRPr="008A0E33" w:rsidRDefault="000A27DC" w:rsidP="0057484E">
            <w:pPr>
              <w:autoSpaceDE w:val="0"/>
              <w:autoSpaceDN w:val="0"/>
              <w:adjustRightInd w:val="0"/>
              <w:rPr>
                <w:kern w:val="0"/>
                <w:sz w:val="22"/>
              </w:rPr>
            </w:pPr>
            <w:r w:rsidRPr="008A0E33">
              <w:rPr>
                <w:rFonts w:cs="Arial"/>
                <w:kern w:val="0"/>
                <w:sz w:val="22"/>
                <w:szCs w:val="22"/>
              </w:rPr>
              <w:t>Southern Taiwan University of Science and Technology</w:t>
            </w:r>
          </w:p>
        </w:tc>
        <w:tc>
          <w:tcPr>
            <w:tcW w:w="874" w:type="pct"/>
            <w:shd w:val="clear" w:color="auto" w:fill="auto"/>
            <w:vAlign w:val="center"/>
          </w:tcPr>
          <w:p w14:paraId="5203EEFC" w14:textId="77777777" w:rsidR="000A27DC" w:rsidRPr="008A0E33" w:rsidRDefault="000A27DC" w:rsidP="0057484E">
            <w:pPr>
              <w:autoSpaceDE w:val="0"/>
              <w:autoSpaceDN w:val="0"/>
              <w:adjustRightInd w:val="0"/>
              <w:jc w:val="center"/>
              <w:rPr>
                <w:kern w:val="0"/>
                <w:sz w:val="22"/>
              </w:rPr>
            </w:pPr>
            <w:r w:rsidRPr="008A0E33">
              <w:rPr>
                <w:kern w:val="0"/>
                <w:sz w:val="22"/>
                <w:szCs w:val="22"/>
              </w:rPr>
              <w:t>49</w:t>
            </w:r>
          </w:p>
        </w:tc>
        <w:tc>
          <w:tcPr>
            <w:tcW w:w="874" w:type="pct"/>
            <w:shd w:val="clear" w:color="auto" w:fill="auto"/>
            <w:vAlign w:val="center"/>
          </w:tcPr>
          <w:p w14:paraId="7BF40B5E" w14:textId="77777777" w:rsidR="000A27DC" w:rsidRPr="008A0E33" w:rsidRDefault="000A27DC" w:rsidP="0057484E">
            <w:pPr>
              <w:autoSpaceDE w:val="0"/>
              <w:autoSpaceDN w:val="0"/>
              <w:adjustRightInd w:val="0"/>
              <w:jc w:val="center"/>
              <w:rPr>
                <w:kern w:val="0"/>
                <w:sz w:val="22"/>
              </w:rPr>
            </w:pPr>
            <w:r w:rsidRPr="008A0E33">
              <w:rPr>
                <w:kern w:val="0"/>
                <w:sz w:val="22"/>
                <w:szCs w:val="22"/>
              </w:rPr>
              <w:t>194</w:t>
            </w:r>
          </w:p>
        </w:tc>
        <w:tc>
          <w:tcPr>
            <w:tcW w:w="799" w:type="pct"/>
            <w:shd w:val="clear" w:color="auto" w:fill="auto"/>
            <w:vAlign w:val="center"/>
          </w:tcPr>
          <w:p w14:paraId="5C64FC79"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243</w:t>
            </w:r>
            <w:r w:rsidRPr="008A0E33">
              <w:rPr>
                <w:kern w:val="0"/>
                <w:sz w:val="22"/>
                <w:szCs w:val="22"/>
              </w:rPr>
              <w:fldChar w:fldCharType="end"/>
            </w:r>
          </w:p>
        </w:tc>
      </w:tr>
      <w:tr w:rsidR="008A0E33" w:rsidRPr="008A0E33" w14:paraId="59951158" w14:textId="77777777" w:rsidTr="00B40DF7">
        <w:tc>
          <w:tcPr>
            <w:tcW w:w="481" w:type="pct"/>
            <w:shd w:val="clear" w:color="auto" w:fill="auto"/>
          </w:tcPr>
          <w:p w14:paraId="2ECD4EB6" w14:textId="77777777" w:rsidR="000A27DC" w:rsidRPr="008A0E33" w:rsidRDefault="000A27DC" w:rsidP="0057484E">
            <w:pPr>
              <w:widowControl/>
              <w:jc w:val="center"/>
              <w:rPr>
                <w:kern w:val="0"/>
                <w:sz w:val="22"/>
              </w:rPr>
            </w:pPr>
            <w:r w:rsidRPr="008A0E33">
              <w:rPr>
                <w:kern w:val="0"/>
                <w:sz w:val="22"/>
                <w:szCs w:val="22"/>
              </w:rPr>
              <w:t>5</w:t>
            </w:r>
          </w:p>
        </w:tc>
        <w:tc>
          <w:tcPr>
            <w:tcW w:w="1973" w:type="pct"/>
            <w:shd w:val="clear" w:color="auto" w:fill="auto"/>
            <w:vAlign w:val="center"/>
          </w:tcPr>
          <w:p w14:paraId="15515CEF" w14:textId="77777777" w:rsidR="000A27DC" w:rsidRPr="008A0E33" w:rsidRDefault="000A27DC" w:rsidP="0057484E">
            <w:pPr>
              <w:autoSpaceDE w:val="0"/>
              <w:autoSpaceDN w:val="0"/>
              <w:adjustRightInd w:val="0"/>
              <w:rPr>
                <w:kern w:val="0"/>
                <w:sz w:val="22"/>
              </w:rPr>
            </w:pPr>
            <w:r w:rsidRPr="008A0E33">
              <w:rPr>
                <w:rFonts w:cs="Arial"/>
                <w:kern w:val="0"/>
                <w:sz w:val="22"/>
                <w:szCs w:val="22"/>
              </w:rPr>
              <w:t>National Taiwan University</w:t>
            </w:r>
          </w:p>
        </w:tc>
        <w:tc>
          <w:tcPr>
            <w:tcW w:w="874" w:type="pct"/>
            <w:shd w:val="clear" w:color="auto" w:fill="auto"/>
            <w:vAlign w:val="center"/>
          </w:tcPr>
          <w:p w14:paraId="6D66F4DE" w14:textId="77777777" w:rsidR="000A27DC" w:rsidRPr="008A0E33" w:rsidRDefault="000A27DC" w:rsidP="0057484E">
            <w:pPr>
              <w:autoSpaceDE w:val="0"/>
              <w:autoSpaceDN w:val="0"/>
              <w:adjustRightInd w:val="0"/>
              <w:jc w:val="center"/>
              <w:rPr>
                <w:kern w:val="0"/>
                <w:sz w:val="22"/>
              </w:rPr>
            </w:pPr>
            <w:r w:rsidRPr="008A0E33">
              <w:rPr>
                <w:kern w:val="0"/>
                <w:sz w:val="22"/>
                <w:szCs w:val="22"/>
              </w:rPr>
              <w:t>221</w:t>
            </w:r>
          </w:p>
        </w:tc>
        <w:tc>
          <w:tcPr>
            <w:tcW w:w="874" w:type="pct"/>
            <w:shd w:val="clear" w:color="auto" w:fill="auto"/>
            <w:vAlign w:val="center"/>
          </w:tcPr>
          <w:p w14:paraId="21CCE3C2" w14:textId="77777777" w:rsidR="000A27DC" w:rsidRPr="008A0E33" w:rsidRDefault="000A27DC" w:rsidP="0057484E">
            <w:pPr>
              <w:autoSpaceDE w:val="0"/>
              <w:autoSpaceDN w:val="0"/>
              <w:adjustRightInd w:val="0"/>
              <w:jc w:val="center"/>
              <w:rPr>
                <w:kern w:val="0"/>
                <w:sz w:val="22"/>
              </w:rPr>
            </w:pPr>
            <w:r w:rsidRPr="008A0E33">
              <w:rPr>
                <w:kern w:val="0"/>
                <w:sz w:val="22"/>
                <w:szCs w:val="22"/>
              </w:rPr>
              <w:t>19</w:t>
            </w:r>
          </w:p>
        </w:tc>
        <w:tc>
          <w:tcPr>
            <w:tcW w:w="799" w:type="pct"/>
            <w:shd w:val="clear" w:color="auto" w:fill="auto"/>
            <w:vAlign w:val="center"/>
          </w:tcPr>
          <w:p w14:paraId="4C4A4DBC"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240</w:t>
            </w:r>
            <w:r w:rsidRPr="008A0E33">
              <w:rPr>
                <w:kern w:val="0"/>
                <w:sz w:val="22"/>
                <w:szCs w:val="22"/>
              </w:rPr>
              <w:fldChar w:fldCharType="end"/>
            </w:r>
          </w:p>
        </w:tc>
      </w:tr>
      <w:tr w:rsidR="008A0E33" w:rsidRPr="008A0E33" w14:paraId="408DC832" w14:textId="77777777" w:rsidTr="00B40DF7">
        <w:tc>
          <w:tcPr>
            <w:tcW w:w="481" w:type="pct"/>
            <w:shd w:val="clear" w:color="auto" w:fill="auto"/>
          </w:tcPr>
          <w:p w14:paraId="46C733F6" w14:textId="77777777" w:rsidR="000A27DC" w:rsidRPr="008A0E33" w:rsidRDefault="000A27DC" w:rsidP="0057484E">
            <w:pPr>
              <w:widowControl/>
              <w:jc w:val="center"/>
              <w:rPr>
                <w:kern w:val="0"/>
                <w:sz w:val="22"/>
              </w:rPr>
            </w:pPr>
            <w:r w:rsidRPr="008A0E33">
              <w:rPr>
                <w:kern w:val="0"/>
                <w:sz w:val="22"/>
                <w:szCs w:val="22"/>
              </w:rPr>
              <w:t>6</w:t>
            </w:r>
          </w:p>
        </w:tc>
        <w:tc>
          <w:tcPr>
            <w:tcW w:w="1973" w:type="pct"/>
            <w:shd w:val="clear" w:color="auto" w:fill="auto"/>
            <w:vAlign w:val="center"/>
          </w:tcPr>
          <w:p w14:paraId="632139C9" w14:textId="77777777" w:rsidR="000A27DC" w:rsidRPr="008A0E33" w:rsidRDefault="000A27DC" w:rsidP="0057484E">
            <w:pPr>
              <w:autoSpaceDE w:val="0"/>
              <w:autoSpaceDN w:val="0"/>
              <w:adjustRightInd w:val="0"/>
              <w:rPr>
                <w:kern w:val="0"/>
                <w:sz w:val="22"/>
              </w:rPr>
            </w:pPr>
            <w:r w:rsidRPr="008A0E33">
              <w:rPr>
                <w:rFonts w:cs="Arial"/>
                <w:kern w:val="0"/>
                <w:sz w:val="22"/>
                <w:szCs w:val="22"/>
              </w:rPr>
              <w:t xml:space="preserve">National Sun </w:t>
            </w:r>
            <w:proofErr w:type="spellStart"/>
            <w:r w:rsidRPr="008A0E33">
              <w:rPr>
                <w:rFonts w:cs="Arial"/>
                <w:kern w:val="0"/>
                <w:sz w:val="22"/>
                <w:szCs w:val="22"/>
              </w:rPr>
              <w:t>Yat</w:t>
            </w:r>
            <w:proofErr w:type="spellEnd"/>
            <w:r w:rsidRPr="008A0E33">
              <w:rPr>
                <w:rFonts w:cs="Arial"/>
                <w:kern w:val="0"/>
                <w:sz w:val="22"/>
                <w:szCs w:val="22"/>
              </w:rPr>
              <w:t>-Sen University</w:t>
            </w:r>
          </w:p>
        </w:tc>
        <w:tc>
          <w:tcPr>
            <w:tcW w:w="874" w:type="pct"/>
            <w:shd w:val="clear" w:color="auto" w:fill="auto"/>
            <w:vAlign w:val="center"/>
          </w:tcPr>
          <w:p w14:paraId="0CB2B08F" w14:textId="77777777" w:rsidR="000A27DC" w:rsidRPr="008A0E33" w:rsidRDefault="000A27DC" w:rsidP="0057484E">
            <w:pPr>
              <w:autoSpaceDE w:val="0"/>
              <w:autoSpaceDN w:val="0"/>
              <w:adjustRightInd w:val="0"/>
              <w:jc w:val="center"/>
              <w:rPr>
                <w:kern w:val="0"/>
                <w:sz w:val="22"/>
              </w:rPr>
            </w:pPr>
            <w:r w:rsidRPr="008A0E33">
              <w:rPr>
                <w:kern w:val="0"/>
                <w:sz w:val="22"/>
                <w:szCs w:val="22"/>
              </w:rPr>
              <w:t>213</w:t>
            </w:r>
          </w:p>
        </w:tc>
        <w:tc>
          <w:tcPr>
            <w:tcW w:w="874" w:type="pct"/>
            <w:shd w:val="clear" w:color="auto" w:fill="auto"/>
            <w:vAlign w:val="center"/>
          </w:tcPr>
          <w:p w14:paraId="3E2C1DF0" w14:textId="77777777" w:rsidR="000A27DC" w:rsidRPr="008A0E33" w:rsidRDefault="000A27DC" w:rsidP="0057484E">
            <w:pPr>
              <w:autoSpaceDE w:val="0"/>
              <w:autoSpaceDN w:val="0"/>
              <w:adjustRightInd w:val="0"/>
              <w:jc w:val="center"/>
              <w:rPr>
                <w:kern w:val="0"/>
                <w:sz w:val="22"/>
              </w:rPr>
            </w:pPr>
            <w:r w:rsidRPr="008A0E33">
              <w:rPr>
                <w:kern w:val="0"/>
                <w:sz w:val="22"/>
                <w:szCs w:val="22"/>
              </w:rPr>
              <w:t>5</w:t>
            </w:r>
          </w:p>
        </w:tc>
        <w:tc>
          <w:tcPr>
            <w:tcW w:w="799" w:type="pct"/>
            <w:shd w:val="clear" w:color="auto" w:fill="auto"/>
            <w:vAlign w:val="center"/>
          </w:tcPr>
          <w:p w14:paraId="3D855EAC"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218</w:t>
            </w:r>
            <w:r w:rsidRPr="008A0E33">
              <w:rPr>
                <w:kern w:val="0"/>
                <w:sz w:val="22"/>
                <w:szCs w:val="22"/>
              </w:rPr>
              <w:fldChar w:fldCharType="end"/>
            </w:r>
          </w:p>
        </w:tc>
      </w:tr>
      <w:tr w:rsidR="008A0E33" w:rsidRPr="008A0E33" w14:paraId="5CF49A36" w14:textId="77777777" w:rsidTr="00B40DF7">
        <w:tc>
          <w:tcPr>
            <w:tcW w:w="481" w:type="pct"/>
            <w:shd w:val="clear" w:color="auto" w:fill="auto"/>
          </w:tcPr>
          <w:p w14:paraId="1A460C98" w14:textId="77777777" w:rsidR="000A27DC" w:rsidRPr="008A0E33" w:rsidRDefault="000A27DC" w:rsidP="0057484E">
            <w:pPr>
              <w:widowControl/>
              <w:jc w:val="center"/>
              <w:rPr>
                <w:kern w:val="0"/>
                <w:sz w:val="22"/>
              </w:rPr>
            </w:pPr>
            <w:r w:rsidRPr="008A0E33">
              <w:rPr>
                <w:kern w:val="0"/>
                <w:sz w:val="22"/>
                <w:szCs w:val="22"/>
              </w:rPr>
              <w:t>7</w:t>
            </w:r>
          </w:p>
        </w:tc>
        <w:tc>
          <w:tcPr>
            <w:tcW w:w="1973" w:type="pct"/>
            <w:shd w:val="clear" w:color="auto" w:fill="auto"/>
            <w:vAlign w:val="center"/>
          </w:tcPr>
          <w:p w14:paraId="0C5DE250" w14:textId="77777777" w:rsidR="000A27DC" w:rsidRPr="008A0E33" w:rsidRDefault="000A27DC" w:rsidP="0057484E">
            <w:pPr>
              <w:autoSpaceDE w:val="0"/>
              <w:autoSpaceDN w:val="0"/>
              <w:adjustRightInd w:val="0"/>
              <w:rPr>
                <w:kern w:val="0"/>
                <w:sz w:val="22"/>
              </w:rPr>
            </w:pPr>
            <w:r w:rsidRPr="008A0E33">
              <w:rPr>
                <w:rFonts w:cs="Arial"/>
                <w:kern w:val="0"/>
                <w:sz w:val="22"/>
                <w:szCs w:val="22"/>
              </w:rPr>
              <w:t xml:space="preserve">National Chung </w:t>
            </w:r>
            <w:proofErr w:type="spellStart"/>
            <w:r w:rsidRPr="008A0E33">
              <w:rPr>
                <w:rFonts w:cs="Arial"/>
                <w:kern w:val="0"/>
                <w:sz w:val="22"/>
                <w:szCs w:val="22"/>
              </w:rPr>
              <w:t>Hsing</w:t>
            </w:r>
            <w:proofErr w:type="spellEnd"/>
            <w:r w:rsidRPr="008A0E33">
              <w:rPr>
                <w:rFonts w:cs="Arial"/>
                <w:kern w:val="0"/>
                <w:sz w:val="22"/>
                <w:szCs w:val="22"/>
              </w:rPr>
              <w:t xml:space="preserve"> University</w:t>
            </w:r>
          </w:p>
        </w:tc>
        <w:tc>
          <w:tcPr>
            <w:tcW w:w="874" w:type="pct"/>
            <w:shd w:val="clear" w:color="auto" w:fill="auto"/>
            <w:vAlign w:val="center"/>
          </w:tcPr>
          <w:p w14:paraId="08BFC84B" w14:textId="77777777" w:rsidR="000A27DC" w:rsidRPr="008A0E33" w:rsidRDefault="000A27DC" w:rsidP="0057484E">
            <w:pPr>
              <w:autoSpaceDE w:val="0"/>
              <w:autoSpaceDN w:val="0"/>
              <w:adjustRightInd w:val="0"/>
              <w:jc w:val="center"/>
              <w:rPr>
                <w:kern w:val="0"/>
                <w:sz w:val="22"/>
              </w:rPr>
            </w:pPr>
            <w:r w:rsidRPr="008A0E33">
              <w:rPr>
                <w:kern w:val="0"/>
                <w:sz w:val="22"/>
                <w:szCs w:val="22"/>
              </w:rPr>
              <w:t>183</w:t>
            </w:r>
          </w:p>
        </w:tc>
        <w:tc>
          <w:tcPr>
            <w:tcW w:w="874" w:type="pct"/>
            <w:shd w:val="clear" w:color="auto" w:fill="auto"/>
            <w:vAlign w:val="center"/>
          </w:tcPr>
          <w:p w14:paraId="4073A5AF" w14:textId="77777777" w:rsidR="000A27DC" w:rsidRPr="008A0E33" w:rsidRDefault="000A27DC" w:rsidP="0057484E">
            <w:pPr>
              <w:autoSpaceDE w:val="0"/>
              <w:autoSpaceDN w:val="0"/>
              <w:adjustRightInd w:val="0"/>
              <w:jc w:val="center"/>
              <w:rPr>
                <w:kern w:val="0"/>
                <w:sz w:val="22"/>
              </w:rPr>
            </w:pPr>
            <w:r w:rsidRPr="008A0E33">
              <w:rPr>
                <w:kern w:val="0"/>
                <w:sz w:val="22"/>
                <w:szCs w:val="22"/>
              </w:rPr>
              <w:t>6</w:t>
            </w:r>
          </w:p>
        </w:tc>
        <w:tc>
          <w:tcPr>
            <w:tcW w:w="799" w:type="pct"/>
            <w:shd w:val="clear" w:color="auto" w:fill="auto"/>
            <w:vAlign w:val="center"/>
          </w:tcPr>
          <w:p w14:paraId="2FA80C82"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189</w:t>
            </w:r>
            <w:r w:rsidRPr="008A0E33">
              <w:rPr>
                <w:kern w:val="0"/>
                <w:sz w:val="22"/>
                <w:szCs w:val="22"/>
              </w:rPr>
              <w:fldChar w:fldCharType="end"/>
            </w:r>
          </w:p>
        </w:tc>
      </w:tr>
      <w:tr w:rsidR="008A0E33" w:rsidRPr="008A0E33" w14:paraId="75B233CB" w14:textId="77777777" w:rsidTr="00B40DF7">
        <w:tc>
          <w:tcPr>
            <w:tcW w:w="481" w:type="pct"/>
            <w:shd w:val="clear" w:color="auto" w:fill="auto"/>
          </w:tcPr>
          <w:p w14:paraId="2ECCF24B" w14:textId="77777777" w:rsidR="000A27DC" w:rsidRPr="008A0E33" w:rsidRDefault="000A27DC" w:rsidP="0057484E">
            <w:pPr>
              <w:widowControl/>
              <w:jc w:val="center"/>
              <w:rPr>
                <w:kern w:val="0"/>
                <w:sz w:val="22"/>
              </w:rPr>
            </w:pPr>
            <w:r w:rsidRPr="008A0E33">
              <w:rPr>
                <w:kern w:val="0"/>
                <w:sz w:val="22"/>
                <w:szCs w:val="22"/>
              </w:rPr>
              <w:t>8</w:t>
            </w:r>
          </w:p>
        </w:tc>
        <w:tc>
          <w:tcPr>
            <w:tcW w:w="1973" w:type="pct"/>
            <w:shd w:val="clear" w:color="auto" w:fill="auto"/>
            <w:vAlign w:val="center"/>
          </w:tcPr>
          <w:p w14:paraId="0777F793" w14:textId="77777777" w:rsidR="000A27DC" w:rsidRPr="008A0E33" w:rsidRDefault="000A27DC" w:rsidP="0057484E">
            <w:pPr>
              <w:autoSpaceDE w:val="0"/>
              <w:autoSpaceDN w:val="0"/>
              <w:adjustRightInd w:val="0"/>
              <w:rPr>
                <w:kern w:val="0"/>
                <w:sz w:val="22"/>
              </w:rPr>
            </w:pPr>
            <w:r w:rsidRPr="008A0E33">
              <w:rPr>
                <w:rFonts w:cs="Arial"/>
                <w:kern w:val="0"/>
                <w:sz w:val="22"/>
                <w:szCs w:val="22"/>
              </w:rPr>
              <w:t>National Formosa University</w:t>
            </w:r>
          </w:p>
        </w:tc>
        <w:tc>
          <w:tcPr>
            <w:tcW w:w="874" w:type="pct"/>
            <w:shd w:val="clear" w:color="auto" w:fill="auto"/>
            <w:vAlign w:val="center"/>
          </w:tcPr>
          <w:p w14:paraId="20616B17" w14:textId="77777777" w:rsidR="000A27DC" w:rsidRPr="008A0E33" w:rsidRDefault="000A27DC" w:rsidP="0057484E">
            <w:pPr>
              <w:autoSpaceDE w:val="0"/>
              <w:autoSpaceDN w:val="0"/>
              <w:adjustRightInd w:val="0"/>
              <w:jc w:val="center"/>
              <w:rPr>
                <w:kern w:val="0"/>
                <w:sz w:val="22"/>
              </w:rPr>
            </w:pPr>
            <w:r w:rsidRPr="008A0E33">
              <w:rPr>
                <w:kern w:val="0"/>
                <w:sz w:val="22"/>
                <w:szCs w:val="22"/>
              </w:rPr>
              <w:t>177</w:t>
            </w:r>
          </w:p>
        </w:tc>
        <w:tc>
          <w:tcPr>
            <w:tcW w:w="874" w:type="pct"/>
            <w:shd w:val="clear" w:color="auto" w:fill="auto"/>
            <w:vAlign w:val="center"/>
          </w:tcPr>
          <w:p w14:paraId="54561D08" w14:textId="77777777" w:rsidR="000A27DC" w:rsidRPr="008A0E33" w:rsidRDefault="000A27DC" w:rsidP="0057484E">
            <w:pPr>
              <w:autoSpaceDE w:val="0"/>
              <w:autoSpaceDN w:val="0"/>
              <w:adjustRightInd w:val="0"/>
              <w:jc w:val="center"/>
              <w:rPr>
                <w:kern w:val="0"/>
                <w:sz w:val="22"/>
              </w:rPr>
            </w:pPr>
            <w:r w:rsidRPr="008A0E33">
              <w:rPr>
                <w:kern w:val="0"/>
                <w:sz w:val="22"/>
                <w:szCs w:val="22"/>
              </w:rPr>
              <w:t>11</w:t>
            </w:r>
          </w:p>
        </w:tc>
        <w:tc>
          <w:tcPr>
            <w:tcW w:w="799" w:type="pct"/>
            <w:shd w:val="clear" w:color="auto" w:fill="auto"/>
            <w:vAlign w:val="center"/>
          </w:tcPr>
          <w:p w14:paraId="06A4A748"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188</w:t>
            </w:r>
            <w:r w:rsidRPr="008A0E33">
              <w:rPr>
                <w:kern w:val="0"/>
                <w:sz w:val="22"/>
                <w:szCs w:val="22"/>
              </w:rPr>
              <w:fldChar w:fldCharType="end"/>
            </w:r>
          </w:p>
        </w:tc>
      </w:tr>
      <w:tr w:rsidR="008A0E33" w:rsidRPr="008A0E33" w14:paraId="25A8223B" w14:textId="77777777" w:rsidTr="00B40DF7">
        <w:tc>
          <w:tcPr>
            <w:tcW w:w="481" w:type="pct"/>
            <w:tcBorders>
              <w:bottom w:val="nil"/>
            </w:tcBorders>
            <w:shd w:val="clear" w:color="auto" w:fill="auto"/>
          </w:tcPr>
          <w:p w14:paraId="5079ED41" w14:textId="77777777" w:rsidR="000A27DC" w:rsidRPr="008A0E33" w:rsidRDefault="000A27DC" w:rsidP="0057484E">
            <w:pPr>
              <w:widowControl/>
              <w:jc w:val="center"/>
              <w:rPr>
                <w:kern w:val="0"/>
                <w:sz w:val="22"/>
              </w:rPr>
            </w:pPr>
            <w:r w:rsidRPr="008A0E33">
              <w:rPr>
                <w:kern w:val="0"/>
                <w:sz w:val="22"/>
                <w:szCs w:val="22"/>
              </w:rPr>
              <w:t>9</w:t>
            </w:r>
          </w:p>
        </w:tc>
        <w:tc>
          <w:tcPr>
            <w:tcW w:w="1973" w:type="pct"/>
            <w:tcBorders>
              <w:bottom w:val="nil"/>
            </w:tcBorders>
            <w:shd w:val="clear" w:color="auto" w:fill="auto"/>
            <w:vAlign w:val="center"/>
          </w:tcPr>
          <w:p w14:paraId="708FAFDA" w14:textId="77777777" w:rsidR="000A27DC" w:rsidRPr="008A0E33" w:rsidRDefault="000A27DC" w:rsidP="0057484E">
            <w:pPr>
              <w:autoSpaceDE w:val="0"/>
              <w:autoSpaceDN w:val="0"/>
              <w:adjustRightInd w:val="0"/>
              <w:rPr>
                <w:kern w:val="0"/>
                <w:sz w:val="22"/>
              </w:rPr>
            </w:pPr>
            <w:r w:rsidRPr="008A0E33">
              <w:rPr>
                <w:rFonts w:cs="Arial"/>
                <w:kern w:val="0"/>
                <w:sz w:val="22"/>
                <w:szCs w:val="22"/>
              </w:rPr>
              <w:t>National Tsing Hua University</w:t>
            </w:r>
          </w:p>
        </w:tc>
        <w:tc>
          <w:tcPr>
            <w:tcW w:w="874" w:type="pct"/>
            <w:tcBorders>
              <w:bottom w:val="nil"/>
            </w:tcBorders>
            <w:shd w:val="clear" w:color="auto" w:fill="auto"/>
            <w:vAlign w:val="center"/>
          </w:tcPr>
          <w:p w14:paraId="535A24D9" w14:textId="77777777" w:rsidR="000A27DC" w:rsidRPr="008A0E33" w:rsidRDefault="000A27DC" w:rsidP="0057484E">
            <w:pPr>
              <w:autoSpaceDE w:val="0"/>
              <w:autoSpaceDN w:val="0"/>
              <w:adjustRightInd w:val="0"/>
              <w:jc w:val="center"/>
              <w:rPr>
                <w:kern w:val="0"/>
                <w:sz w:val="22"/>
              </w:rPr>
            </w:pPr>
            <w:r w:rsidRPr="008A0E33">
              <w:rPr>
                <w:kern w:val="0"/>
                <w:sz w:val="22"/>
                <w:szCs w:val="22"/>
              </w:rPr>
              <w:t>178</w:t>
            </w:r>
          </w:p>
        </w:tc>
        <w:tc>
          <w:tcPr>
            <w:tcW w:w="874" w:type="pct"/>
            <w:tcBorders>
              <w:bottom w:val="nil"/>
            </w:tcBorders>
            <w:shd w:val="clear" w:color="auto" w:fill="auto"/>
            <w:vAlign w:val="center"/>
          </w:tcPr>
          <w:p w14:paraId="44446CFA" w14:textId="77777777" w:rsidR="000A27DC" w:rsidRPr="008A0E33" w:rsidRDefault="000A27DC" w:rsidP="0057484E">
            <w:pPr>
              <w:autoSpaceDE w:val="0"/>
              <w:autoSpaceDN w:val="0"/>
              <w:adjustRightInd w:val="0"/>
              <w:jc w:val="center"/>
              <w:rPr>
                <w:kern w:val="0"/>
                <w:sz w:val="22"/>
              </w:rPr>
            </w:pPr>
            <w:r w:rsidRPr="008A0E33">
              <w:rPr>
                <w:kern w:val="0"/>
                <w:sz w:val="22"/>
                <w:szCs w:val="22"/>
              </w:rPr>
              <w:t>4</w:t>
            </w:r>
          </w:p>
        </w:tc>
        <w:tc>
          <w:tcPr>
            <w:tcW w:w="799" w:type="pct"/>
            <w:tcBorders>
              <w:bottom w:val="nil"/>
            </w:tcBorders>
            <w:shd w:val="clear" w:color="auto" w:fill="auto"/>
            <w:vAlign w:val="center"/>
          </w:tcPr>
          <w:p w14:paraId="10158BFD"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182</w:t>
            </w:r>
            <w:r w:rsidRPr="008A0E33">
              <w:rPr>
                <w:kern w:val="0"/>
                <w:sz w:val="22"/>
                <w:szCs w:val="22"/>
              </w:rPr>
              <w:fldChar w:fldCharType="end"/>
            </w:r>
          </w:p>
        </w:tc>
      </w:tr>
      <w:tr w:rsidR="008A0E33" w:rsidRPr="008A0E33" w14:paraId="1412A9D6" w14:textId="77777777" w:rsidTr="00B40DF7">
        <w:tc>
          <w:tcPr>
            <w:tcW w:w="481" w:type="pct"/>
            <w:tcBorders>
              <w:top w:val="nil"/>
              <w:bottom w:val="single" w:sz="12" w:space="0" w:color="000000"/>
            </w:tcBorders>
            <w:shd w:val="clear" w:color="auto" w:fill="auto"/>
          </w:tcPr>
          <w:p w14:paraId="3E36098D" w14:textId="77777777" w:rsidR="000A27DC" w:rsidRPr="008A0E33" w:rsidRDefault="000A27DC" w:rsidP="0057484E">
            <w:pPr>
              <w:widowControl/>
              <w:jc w:val="center"/>
              <w:rPr>
                <w:kern w:val="0"/>
                <w:sz w:val="22"/>
              </w:rPr>
            </w:pPr>
            <w:r w:rsidRPr="008A0E33">
              <w:rPr>
                <w:kern w:val="0"/>
                <w:sz w:val="22"/>
                <w:szCs w:val="22"/>
              </w:rPr>
              <w:t>10</w:t>
            </w:r>
          </w:p>
        </w:tc>
        <w:tc>
          <w:tcPr>
            <w:tcW w:w="1973" w:type="pct"/>
            <w:tcBorders>
              <w:top w:val="nil"/>
              <w:bottom w:val="single" w:sz="12" w:space="0" w:color="000000"/>
            </w:tcBorders>
            <w:shd w:val="clear" w:color="auto" w:fill="auto"/>
            <w:vAlign w:val="center"/>
          </w:tcPr>
          <w:p w14:paraId="3A193114" w14:textId="77777777" w:rsidR="000A27DC" w:rsidRPr="008A0E33" w:rsidRDefault="000A27DC" w:rsidP="0057484E">
            <w:pPr>
              <w:autoSpaceDE w:val="0"/>
              <w:autoSpaceDN w:val="0"/>
              <w:adjustRightInd w:val="0"/>
              <w:rPr>
                <w:kern w:val="0"/>
                <w:sz w:val="22"/>
              </w:rPr>
            </w:pPr>
            <w:r w:rsidRPr="008A0E33">
              <w:rPr>
                <w:rFonts w:cs="Arial"/>
                <w:kern w:val="0"/>
                <w:sz w:val="22"/>
                <w:szCs w:val="22"/>
              </w:rPr>
              <w:t>National Central University</w:t>
            </w:r>
          </w:p>
        </w:tc>
        <w:tc>
          <w:tcPr>
            <w:tcW w:w="874" w:type="pct"/>
            <w:tcBorders>
              <w:top w:val="nil"/>
              <w:bottom w:val="single" w:sz="12" w:space="0" w:color="000000"/>
            </w:tcBorders>
            <w:shd w:val="clear" w:color="auto" w:fill="auto"/>
            <w:vAlign w:val="center"/>
          </w:tcPr>
          <w:p w14:paraId="737C9159" w14:textId="77777777" w:rsidR="000A27DC" w:rsidRPr="008A0E33" w:rsidRDefault="000A27DC" w:rsidP="0057484E">
            <w:pPr>
              <w:autoSpaceDE w:val="0"/>
              <w:autoSpaceDN w:val="0"/>
              <w:adjustRightInd w:val="0"/>
              <w:jc w:val="center"/>
              <w:rPr>
                <w:kern w:val="0"/>
                <w:sz w:val="22"/>
              </w:rPr>
            </w:pPr>
            <w:r w:rsidRPr="008A0E33">
              <w:rPr>
                <w:kern w:val="0"/>
                <w:sz w:val="22"/>
                <w:szCs w:val="22"/>
              </w:rPr>
              <w:t>163</w:t>
            </w:r>
          </w:p>
        </w:tc>
        <w:tc>
          <w:tcPr>
            <w:tcW w:w="874" w:type="pct"/>
            <w:tcBorders>
              <w:top w:val="nil"/>
              <w:bottom w:val="single" w:sz="12" w:space="0" w:color="000000"/>
            </w:tcBorders>
            <w:shd w:val="clear" w:color="auto" w:fill="auto"/>
            <w:vAlign w:val="center"/>
          </w:tcPr>
          <w:p w14:paraId="0CE0EF4F" w14:textId="77777777" w:rsidR="000A27DC" w:rsidRPr="008A0E33" w:rsidRDefault="000A27DC" w:rsidP="0057484E">
            <w:pPr>
              <w:autoSpaceDE w:val="0"/>
              <w:autoSpaceDN w:val="0"/>
              <w:adjustRightInd w:val="0"/>
              <w:jc w:val="center"/>
              <w:rPr>
                <w:kern w:val="0"/>
                <w:sz w:val="22"/>
              </w:rPr>
            </w:pPr>
            <w:r w:rsidRPr="008A0E33">
              <w:rPr>
                <w:kern w:val="0"/>
                <w:sz w:val="22"/>
                <w:szCs w:val="22"/>
              </w:rPr>
              <w:t>4</w:t>
            </w:r>
          </w:p>
        </w:tc>
        <w:tc>
          <w:tcPr>
            <w:tcW w:w="799" w:type="pct"/>
            <w:tcBorders>
              <w:top w:val="nil"/>
              <w:bottom w:val="single" w:sz="12" w:space="0" w:color="000000"/>
            </w:tcBorders>
            <w:shd w:val="clear" w:color="auto" w:fill="auto"/>
            <w:vAlign w:val="center"/>
          </w:tcPr>
          <w:p w14:paraId="2C495370" w14:textId="77777777" w:rsidR="000A27DC" w:rsidRPr="008A0E33" w:rsidRDefault="000A27DC" w:rsidP="0057484E">
            <w:pPr>
              <w:jc w:val="center"/>
              <w:rPr>
                <w:sz w:val="22"/>
              </w:rPr>
            </w:pPr>
            <w:r w:rsidRPr="008A0E33">
              <w:rPr>
                <w:kern w:val="0"/>
                <w:sz w:val="22"/>
                <w:szCs w:val="22"/>
              </w:rPr>
              <w:fldChar w:fldCharType="begin"/>
            </w:r>
            <w:r w:rsidRPr="008A0E33">
              <w:rPr>
                <w:kern w:val="0"/>
                <w:sz w:val="22"/>
                <w:szCs w:val="22"/>
              </w:rPr>
              <w:instrText xml:space="preserve"> =SUM(left) </w:instrText>
            </w:r>
            <w:r w:rsidRPr="008A0E33">
              <w:rPr>
                <w:kern w:val="0"/>
                <w:sz w:val="22"/>
                <w:szCs w:val="22"/>
              </w:rPr>
              <w:fldChar w:fldCharType="separate"/>
            </w:r>
            <w:r w:rsidRPr="008A0E33">
              <w:rPr>
                <w:noProof/>
                <w:kern w:val="0"/>
                <w:sz w:val="22"/>
                <w:szCs w:val="22"/>
              </w:rPr>
              <w:t>167</w:t>
            </w:r>
            <w:r w:rsidRPr="008A0E33">
              <w:rPr>
                <w:kern w:val="0"/>
                <w:sz w:val="22"/>
                <w:szCs w:val="22"/>
              </w:rPr>
              <w:fldChar w:fldCharType="end"/>
            </w:r>
          </w:p>
        </w:tc>
      </w:tr>
    </w:tbl>
    <w:p w14:paraId="2B0A286C" w14:textId="77777777" w:rsidR="000A27DC" w:rsidRPr="008A0E33" w:rsidRDefault="000A27DC" w:rsidP="0057484E">
      <w:pPr>
        <w:widowControl/>
        <w:rPr>
          <w:kern w:val="0"/>
          <w:sz w:val="22"/>
          <w:szCs w:val="22"/>
        </w:rPr>
      </w:pPr>
      <w:r w:rsidRPr="008A0E33">
        <w:rPr>
          <w:kern w:val="0"/>
          <w:sz w:val="22"/>
          <w:szCs w:val="22"/>
        </w:rPr>
        <w:t xml:space="preserve"> Source: Lo (2010)</w:t>
      </w:r>
    </w:p>
    <w:p w14:paraId="3FBD7B1F" w14:textId="77777777" w:rsidR="000A27DC" w:rsidRPr="008A0E33" w:rsidRDefault="000A27DC" w:rsidP="0057484E">
      <w:pPr>
        <w:widowControl/>
        <w:rPr>
          <w:kern w:val="0"/>
          <w:sz w:val="22"/>
          <w:szCs w:val="22"/>
        </w:rPr>
      </w:pPr>
    </w:p>
    <w:p w14:paraId="63291D77" w14:textId="77777777" w:rsidR="000A27DC" w:rsidRPr="008A0E33" w:rsidRDefault="000A27DC" w:rsidP="0057484E">
      <w:pPr>
        <w:widowControl/>
        <w:rPr>
          <w:rFonts w:ascii="Times" w:hAnsi="Times" w:cs="Times New Roman"/>
          <w:kern w:val="0"/>
          <w:sz w:val="20"/>
          <w:szCs w:val="20"/>
        </w:rPr>
      </w:pPr>
      <w:r w:rsidRPr="008A0E33">
        <w:rPr>
          <w:rFonts w:ascii="Times New Roman" w:hAnsi="Times New Roman" w:cs="Times New Roman"/>
          <w:b/>
          <w:bCs/>
          <w:kern w:val="0"/>
        </w:rPr>
        <w:t>Table 2 Universities’ Publication and Research Commercialization Performance (2006-2010)</w:t>
      </w:r>
    </w:p>
    <w:tbl>
      <w:tblPr>
        <w:tblW w:w="5000" w:type="pct"/>
        <w:jc w:val="center"/>
        <w:tblLayout w:type="fixed"/>
        <w:tblCellMar>
          <w:left w:w="28" w:type="dxa"/>
          <w:right w:w="28" w:type="dxa"/>
        </w:tblCellMar>
        <w:tblLook w:val="0000" w:firstRow="0" w:lastRow="0" w:firstColumn="0" w:lastColumn="0" w:noHBand="0" w:noVBand="0"/>
      </w:tblPr>
      <w:tblGrid>
        <w:gridCol w:w="1427"/>
        <w:gridCol w:w="2121"/>
        <w:gridCol w:w="1584"/>
        <w:gridCol w:w="1584"/>
        <w:gridCol w:w="1584"/>
      </w:tblGrid>
      <w:tr w:rsidR="008A0E33" w:rsidRPr="008A0E33" w14:paraId="16516BA9" w14:textId="77777777" w:rsidTr="00B40DF7">
        <w:trPr>
          <w:cantSplit/>
          <w:trHeight w:val="966"/>
          <w:jc w:val="center"/>
        </w:trPr>
        <w:tc>
          <w:tcPr>
            <w:tcW w:w="859" w:type="pct"/>
            <w:tcBorders>
              <w:top w:val="single" w:sz="12" w:space="0" w:color="auto"/>
              <w:bottom w:val="single" w:sz="4" w:space="0" w:color="auto"/>
              <w:tl2br w:val="single" w:sz="4" w:space="0" w:color="auto"/>
            </w:tcBorders>
          </w:tcPr>
          <w:p w14:paraId="3B5C49D4" w14:textId="77777777" w:rsidR="000A27DC" w:rsidRPr="008A0E33" w:rsidRDefault="000A27DC" w:rsidP="0057484E">
            <w:pPr>
              <w:jc w:val="center"/>
              <w:rPr>
                <w:b/>
                <w:sz w:val="22"/>
              </w:rPr>
            </w:pPr>
            <w:r w:rsidRPr="008A0E33">
              <w:rPr>
                <w:b/>
                <w:sz w:val="22"/>
                <w:szCs w:val="22"/>
              </w:rPr>
              <w:t xml:space="preserve">     Item</w:t>
            </w:r>
          </w:p>
          <w:p w14:paraId="5E891D8F" w14:textId="77777777" w:rsidR="000A27DC" w:rsidRPr="008A0E33" w:rsidRDefault="000A27DC" w:rsidP="0057484E">
            <w:pPr>
              <w:rPr>
                <w:b/>
                <w:sz w:val="22"/>
              </w:rPr>
            </w:pPr>
            <w:r w:rsidRPr="008A0E33">
              <w:rPr>
                <w:rFonts w:hint="eastAsia"/>
                <w:b/>
                <w:sz w:val="22"/>
                <w:szCs w:val="22"/>
              </w:rPr>
              <w:t>Year</w:t>
            </w:r>
          </w:p>
        </w:tc>
        <w:tc>
          <w:tcPr>
            <w:tcW w:w="1278" w:type="pct"/>
            <w:tcBorders>
              <w:top w:val="single" w:sz="12" w:space="0" w:color="auto"/>
              <w:bottom w:val="single" w:sz="4" w:space="0" w:color="auto"/>
            </w:tcBorders>
            <w:vAlign w:val="center"/>
          </w:tcPr>
          <w:p w14:paraId="4D3FE518" w14:textId="77777777" w:rsidR="000A27DC" w:rsidRPr="008A0E33" w:rsidRDefault="000A27DC" w:rsidP="0057484E">
            <w:pPr>
              <w:jc w:val="center"/>
              <w:rPr>
                <w:b/>
                <w:sz w:val="22"/>
              </w:rPr>
            </w:pPr>
            <w:r w:rsidRPr="008A0E33">
              <w:rPr>
                <w:rFonts w:hint="eastAsia"/>
                <w:b/>
                <w:sz w:val="22"/>
                <w:szCs w:val="22"/>
              </w:rPr>
              <w:t>P</w:t>
            </w:r>
            <w:r w:rsidRPr="008A0E33">
              <w:rPr>
                <w:b/>
                <w:sz w:val="22"/>
                <w:szCs w:val="22"/>
              </w:rPr>
              <w:t>apers published</w:t>
            </w:r>
          </w:p>
          <w:p w14:paraId="2744A402" w14:textId="77777777" w:rsidR="000A27DC" w:rsidRPr="008A0E33" w:rsidRDefault="000A27DC" w:rsidP="0057484E">
            <w:pPr>
              <w:jc w:val="center"/>
              <w:rPr>
                <w:b/>
                <w:sz w:val="22"/>
              </w:rPr>
            </w:pPr>
            <w:r w:rsidRPr="008A0E33">
              <w:rPr>
                <w:b/>
                <w:sz w:val="22"/>
                <w:szCs w:val="22"/>
              </w:rPr>
              <w:t>(SCI journals)</w:t>
            </w:r>
          </w:p>
        </w:tc>
        <w:tc>
          <w:tcPr>
            <w:tcW w:w="954" w:type="pct"/>
            <w:tcBorders>
              <w:top w:val="single" w:sz="12" w:space="0" w:color="auto"/>
              <w:bottom w:val="single" w:sz="4" w:space="0" w:color="auto"/>
            </w:tcBorders>
            <w:vAlign w:val="center"/>
          </w:tcPr>
          <w:p w14:paraId="0F54B5D9" w14:textId="77777777" w:rsidR="000A27DC" w:rsidRPr="008A0E33" w:rsidRDefault="000A27DC" w:rsidP="0057484E">
            <w:pPr>
              <w:jc w:val="center"/>
              <w:rPr>
                <w:b/>
                <w:sz w:val="22"/>
              </w:rPr>
            </w:pPr>
            <w:r w:rsidRPr="008A0E33">
              <w:rPr>
                <w:rFonts w:hint="eastAsia"/>
                <w:b/>
                <w:sz w:val="22"/>
                <w:szCs w:val="22"/>
              </w:rPr>
              <w:t xml:space="preserve">Patent </w:t>
            </w:r>
            <w:r w:rsidRPr="008A0E33">
              <w:rPr>
                <w:b/>
                <w:sz w:val="22"/>
                <w:szCs w:val="22"/>
              </w:rPr>
              <w:t>grants</w:t>
            </w:r>
          </w:p>
        </w:tc>
        <w:tc>
          <w:tcPr>
            <w:tcW w:w="954" w:type="pct"/>
            <w:tcBorders>
              <w:top w:val="single" w:sz="12" w:space="0" w:color="auto"/>
              <w:bottom w:val="single" w:sz="4" w:space="0" w:color="auto"/>
            </w:tcBorders>
            <w:vAlign w:val="center"/>
          </w:tcPr>
          <w:p w14:paraId="3FD1067F" w14:textId="77777777" w:rsidR="000A27DC" w:rsidRPr="008A0E33" w:rsidRDefault="000A27DC" w:rsidP="0057484E">
            <w:pPr>
              <w:jc w:val="center"/>
              <w:rPr>
                <w:b/>
                <w:sz w:val="22"/>
              </w:rPr>
            </w:pPr>
            <w:r w:rsidRPr="008A0E33">
              <w:rPr>
                <w:rFonts w:hint="eastAsia"/>
                <w:b/>
                <w:sz w:val="22"/>
                <w:szCs w:val="22"/>
              </w:rPr>
              <w:t>Licensing income</w:t>
            </w:r>
          </w:p>
        </w:tc>
        <w:tc>
          <w:tcPr>
            <w:tcW w:w="954" w:type="pct"/>
            <w:tcBorders>
              <w:top w:val="single" w:sz="12" w:space="0" w:color="auto"/>
              <w:bottom w:val="single" w:sz="4" w:space="0" w:color="auto"/>
            </w:tcBorders>
            <w:vAlign w:val="center"/>
          </w:tcPr>
          <w:p w14:paraId="50F3069C" w14:textId="77777777" w:rsidR="000A27DC" w:rsidRPr="008A0E33" w:rsidRDefault="000A27DC" w:rsidP="0057484E">
            <w:pPr>
              <w:jc w:val="center"/>
              <w:rPr>
                <w:b/>
                <w:sz w:val="22"/>
              </w:rPr>
            </w:pPr>
            <w:r w:rsidRPr="008A0E33">
              <w:rPr>
                <w:rFonts w:eastAsia="AdvEPSTIM" w:hint="eastAsia"/>
                <w:b/>
                <w:kern w:val="0"/>
                <w:sz w:val="22"/>
                <w:szCs w:val="22"/>
              </w:rPr>
              <w:t>Venture incubation</w:t>
            </w:r>
          </w:p>
        </w:tc>
      </w:tr>
      <w:tr w:rsidR="008A0E33" w:rsidRPr="008A0E33" w14:paraId="60273386" w14:textId="77777777" w:rsidTr="00B40DF7">
        <w:trPr>
          <w:trHeight w:val="320"/>
          <w:jc w:val="center"/>
        </w:trPr>
        <w:tc>
          <w:tcPr>
            <w:tcW w:w="859" w:type="pct"/>
          </w:tcPr>
          <w:p w14:paraId="4C9BF5D4" w14:textId="77777777" w:rsidR="000A27DC" w:rsidRPr="008A0E33" w:rsidRDefault="000A27DC" w:rsidP="0057484E">
            <w:pPr>
              <w:jc w:val="center"/>
              <w:rPr>
                <w:sz w:val="22"/>
              </w:rPr>
            </w:pPr>
            <w:r w:rsidRPr="008A0E33">
              <w:rPr>
                <w:rFonts w:hint="eastAsia"/>
                <w:sz w:val="22"/>
                <w:szCs w:val="22"/>
              </w:rPr>
              <w:t>2006</w:t>
            </w:r>
          </w:p>
        </w:tc>
        <w:tc>
          <w:tcPr>
            <w:tcW w:w="1278" w:type="pct"/>
          </w:tcPr>
          <w:p w14:paraId="1632B224" w14:textId="77777777" w:rsidR="000A27DC" w:rsidRPr="008A0E33" w:rsidRDefault="000A27DC" w:rsidP="0057484E">
            <w:pPr>
              <w:jc w:val="center"/>
              <w:rPr>
                <w:sz w:val="22"/>
              </w:rPr>
            </w:pPr>
            <w:r w:rsidRPr="008A0E33">
              <w:rPr>
                <w:sz w:val="22"/>
                <w:szCs w:val="22"/>
              </w:rPr>
              <w:t>17,963</w:t>
            </w:r>
          </w:p>
        </w:tc>
        <w:tc>
          <w:tcPr>
            <w:tcW w:w="954" w:type="pct"/>
          </w:tcPr>
          <w:p w14:paraId="31E8C6AD" w14:textId="77777777" w:rsidR="000A27DC" w:rsidRPr="008A0E33" w:rsidRDefault="000A27DC" w:rsidP="0057484E">
            <w:pPr>
              <w:jc w:val="center"/>
              <w:rPr>
                <w:sz w:val="22"/>
              </w:rPr>
            </w:pPr>
            <w:r w:rsidRPr="008A0E33">
              <w:rPr>
                <w:rFonts w:hint="eastAsia"/>
                <w:sz w:val="22"/>
                <w:szCs w:val="22"/>
              </w:rPr>
              <w:t>933</w:t>
            </w:r>
          </w:p>
        </w:tc>
        <w:tc>
          <w:tcPr>
            <w:tcW w:w="954" w:type="pct"/>
          </w:tcPr>
          <w:p w14:paraId="4A1AAC25" w14:textId="77777777" w:rsidR="000A27DC" w:rsidRPr="008A0E33" w:rsidRDefault="000A27DC" w:rsidP="0057484E">
            <w:pPr>
              <w:jc w:val="center"/>
            </w:pPr>
            <w:r w:rsidRPr="008A0E33">
              <w:rPr>
                <w:rFonts w:hint="eastAsia"/>
                <w:sz w:val="22"/>
                <w:szCs w:val="22"/>
              </w:rPr>
              <w:t>NT$215.0 mil.</w:t>
            </w:r>
          </w:p>
        </w:tc>
        <w:tc>
          <w:tcPr>
            <w:tcW w:w="954" w:type="pct"/>
            <w:vAlign w:val="center"/>
          </w:tcPr>
          <w:p w14:paraId="7C4AE459" w14:textId="77777777" w:rsidR="000A27DC" w:rsidRPr="008A0E33" w:rsidRDefault="000A27DC" w:rsidP="0057484E">
            <w:pPr>
              <w:jc w:val="center"/>
              <w:rPr>
                <w:sz w:val="22"/>
              </w:rPr>
            </w:pPr>
            <w:r w:rsidRPr="008A0E33">
              <w:rPr>
                <w:sz w:val="22"/>
                <w:szCs w:val="22"/>
              </w:rPr>
              <w:t>446</w:t>
            </w:r>
          </w:p>
        </w:tc>
      </w:tr>
      <w:tr w:rsidR="008A0E33" w:rsidRPr="008A0E33" w14:paraId="2182D525" w14:textId="77777777" w:rsidTr="00B40DF7">
        <w:trPr>
          <w:trHeight w:val="320"/>
          <w:jc w:val="center"/>
        </w:trPr>
        <w:tc>
          <w:tcPr>
            <w:tcW w:w="859" w:type="pct"/>
          </w:tcPr>
          <w:p w14:paraId="5AF08BFF" w14:textId="77777777" w:rsidR="000A27DC" w:rsidRPr="008A0E33" w:rsidRDefault="000A27DC" w:rsidP="0057484E">
            <w:pPr>
              <w:jc w:val="center"/>
              <w:rPr>
                <w:sz w:val="22"/>
              </w:rPr>
            </w:pPr>
            <w:r w:rsidRPr="008A0E33">
              <w:rPr>
                <w:rFonts w:hint="eastAsia"/>
                <w:sz w:val="22"/>
                <w:szCs w:val="22"/>
              </w:rPr>
              <w:t>2007</w:t>
            </w:r>
          </w:p>
        </w:tc>
        <w:tc>
          <w:tcPr>
            <w:tcW w:w="1278" w:type="pct"/>
          </w:tcPr>
          <w:p w14:paraId="59379A30" w14:textId="77777777" w:rsidR="000A27DC" w:rsidRPr="008A0E33" w:rsidRDefault="000A27DC" w:rsidP="0057484E">
            <w:pPr>
              <w:jc w:val="center"/>
              <w:rPr>
                <w:sz w:val="22"/>
              </w:rPr>
            </w:pPr>
            <w:r w:rsidRPr="008A0E33">
              <w:rPr>
                <w:sz w:val="22"/>
                <w:szCs w:val="22"/>
              </w:rPr>
              <w:t>18,746</w:t>
            </w:r>
          </w:p>
        </w:tc>
        <w:tc>
          <w:tcPr>
            <w:tcW w:w="954" w:type="pct"/>
          </w:tcPr>
          <w:p w14:paraId="45231A80" w14:textId="77777777" w:rsidR="000A27DC" w:rsidRPr="008A0E33" w:rsidRDefault="000A27DC" w:rsidP="0057484E">
            <w:pPr>
              <w:jc w:val="center"/>
              <w:rPr>
                <w:sz w:val="22"/>
              </w:rPr>
            </w:pPr>
            <w:r w:rsidRPr="008A0E33">
              <w:rPr>
                <w:rFonts w:hint="eastAsia"/>
                <w:sz w:val="22"/>
                <w:szCs w:val="22"/>
              </w:rPr>
              <w:t>975</w:t>
            </w:r>
          </w:p>
        </w:tc>
        <w:tc>
          <w:tcPr>
            <w:tcW w:w="954" w:type="pct"/>
          </w:tcPr>
          <w:p w14:paraId="6EBC6C06" w14:textId="77777777" w:rsidR="000A27DC" w:rsidRPr="008A0E33" w:rsidRDefault="000A27DC" w:rsidP="0057484E">
            <w:pPr>
              <w:jc w:val="center"/>
            </w:pPr>
            <w:r w:rsidRPr="008A0E33">
              <w:rPr>
                <w:rFonts w:hint="eastAsia"/>
                <w:sz w:val="22"/>
                <w:szCs w:val="22"/>
              </w:rPr>
              <w:t>NT$277.7 mil.</w:t>
            </w:r>
          </w:p>
        </w:tc>
        <w:tc>
          <w:tcPr>
            <w:tcW w:w="954" w:type="pct"/>
            <w:vAlign w:val="center"/>
          </w:tcPr>
          <w:p w14:paraId="4D8925FA" w14:textId="77777777" w:rsidR="000A27DC" w:rsidRPr="008A0E33" w:rsidRDefault="000A27DC" w:rsidP="0057484E">
            <w:pPr>
              <w:jc w:val="center"/>
              <w:rPr>
                <w:sz w:val="22"/>
              </w:rPr>
            </w:pPr>
            <w:r w:rsidRPr="008A0E33">
              <w:rPr>
                <w:rFonts w:hint="eastAsia"/>
                <w:sz w:val="22"/>
                <w:szCs w:val="22"/>
              </w:rPr>
              <w:t>633</w:t>
            </w:r>
          </w:p>
        </w:tc>
      </w:tr>
      <w:tr w:rsidR="008A0E33" w:rsidRPr="008A0E33" w14:paraId="78D169E8" w14:textId="77777777" w:rsidTr="00B40DF7">
        <w:trPr>
          <w:trHeight w:val="320"/>
          <w:jc w:val="center"/>
        </w:trPr>
        <w:tc>
          <w:tcPr>
            <w:tcW w:w="859" w:type="pct"/>
          </w:tcPr>
          <w:p w14:paraId="3337A071" w14:textId="77777777" w:rsidR="000A27DC" w:rsidRPr="008A0E33" w:rsidRDefault="000A27DC" w:rsidP="0057484E">
            <w:pPr>
              <w:jc w:val="center"/>
              <w:rPr>
                <w:sz w:val="22"/>
              </w:rPr>
            </w:pPr>
            <w:r w:rsidRPr="008A0E33">
              <w:rPr>
                <w:rFonts w:hint="eastAsia"/>
                <w:sz w:val="22"/>
                <w:szCs w:val="22"/>
              </w:rPr>
              <w:t>2008</w:t>
            </w:r>
          </w:p>
        </w:tc>
        <w:tc>
          <w:tcPr>
            <w:tcW w:w="1278" w:type="pct"/>
          </w:tcPr>
          <w:p w14:paraId="7812EB22" w14:textId="77777777" w:rsidR="000A27DC" w:rsidRPr="008A0E33" w:rsidRDefault="000A27DC" w:rsidP="0057484E">
            <w:pPr>
              <w:jc w:val="center"/>
              <w:rPr>
                <w:sz w:val="22"/>
              </w:rPr>
            </w:pPr>
            <w:r w:rsidRPr="008A0E33">
              <w:rPr>
                <w:sz w:val="22"/>
                <w:szCs w:val="22"/>
              </w:rPr>
              <w:t>22,636</w:t>
            </w:r>
          </w:p>
        </w:tc>
        <w:tc>
          <w:tcPr>
            <w:tcW w:w="954" w:type="pct"/>
          </w:tcPr>
          <w:p w14:paraId="08D380A0" w14:textId="77777777" w:rsidR="000A27DC" w:rsidRPr="008A0E33" w:rsidRDefault="000A27DC" w:rsidP="0057484E">
            <w:pPr>
              <w:jc w:val="center"/>
              <w:rPr>
                <w:sz w:val="22"/>
              </w:rPr>
            </w:pPr>
            <w:r w:rsidRPr="008A0E33">
              <w:rPr>
                <w:rFonts w:hint="eastAsia"/>
                <w:sz w:val="22"/>
                <w:szCs w:val="22"/>
              </w:rPr>
              <w:t>752</w:t>
            </w:r>
          </w:p>
        </w:tc>
        <w:tc>
          <w:tcPr>
            <w:tcW w:w="954" w:type="pct"/>
          </w:tcPr>
          <w:p w14:paraId="34FA249C" w14:textId="77777777" w:rsidR="000A27DC" w:rsidRPr="008A0E33" w:rsidRDefault="000A27DC" w:rsidP="0057484E">
            <w:pPr>
              <w:jc w:val="center"/>
            </w:pPr>
            <w:r w:rsidRPr="008A0E33">
              <w:rPr>
                <w:rFonts w:hint="eastAsia"/>
                <w:sz w:val="22"/>
                <w:szCs w:val="22"/>
              </w:rPr>
              <w:t>NT$456.2 mil.</w:t>
            </w:r>
          </w:p>
        </w:tc>
        <w:tc>
          <w:tcPr>
            <w:tcW w:w="954" w:type="pct"/>
            <w:vAlign w:val="center"/>
          </w:tcPr>
          <w:p w14:paraId="7B5B4E22" w14:textId="77777777" w:rsidR="000A27DC" w:rsidRPr="008A0E33" w:rsidRDefault="000A27DC" w:rsidP="0057484E">
            <w:pPr>
              <w:jc w:val="center"/>
              <w:rPr>
                <w:sz w:val="22"/>
              </w:rPr>
            </w:pPr>
            <w:r w:rsidRPr="008A0E33">
              <w:rPr>
                <w:rFonts w:hint="eastAsia"/>
                <w:sz w:val="22"/>
                <w:szCs w:val="22"/>
              </w:rPr>
              <w:t>7</w:t>
            </w:r>
            <w:r w:rsidRPr="008A0E33">
              <w:rPr>
                <w:sz w:val="22"/>
                <w:szCs w:val="22"/>
              </w:rPr>
              <w:t>12</w:t>
            </w:r>
          </w:p>
        </w:tc>
      </w:tr>
      <w:tr w:rsidR="008A0E33" w:rsidRPr="008A0E33" w14:paraId="39E0C4D0" w14:textId="77777777" w:rsidTr="00B40DF7">
        <w:trPr>
          <w:trHeight w:val="320"/>
          <w:jc w:val="center"/>
        </w:trPr>
        <w:tc>
          <w:tcPr>
            <w:tcW w:w="859" w:type="pct"/>
          </w:tcPr>
          <w:p w14:paraId="14D8D75B" w14:textId="77777777" w:rsidR="000A27DC" w:rsidRPr="008A0E33" w:rsidRDefault="000A27DC" w:rsidP="0057484E">
            <w:pPr>
              <w:jc w:val="center"/>
              <w:rPr>
                <w:sz w:val="22"/>
              </w:rPr>
            </w:pPr>
            <w:r w:rsidRPr="008A0E33">
              <w:rPr>
                <w:rFonts w:hint="eastAsia"/>
                <w:sz w:val="22"/>
                <w:szCs w:val="22"/>
              </w:rPr>
              <w:t>2009</w:t>
            </w:r>
          </w:p>
        </w:tc>
        <w:tc>
          <w:tcPr>
            <w:tcW w:w="1278" w:type="pct"/>
          </w:tcPr>
          <w:p w14:paraId="5DCA6B17" w14:textId="77777777" w:rsidR="000A27DC" w:rsidRPr="008A0E33" w:rsidRDefault="000A27DC" w:rsidP="0057484E">
            <w:pPr>
              <w:jc w:val="center"/>
              <w:rPr>
                <w:sz w:val="22"/>
              </w:rPr>
            </w:pPr>
            <w:r w:rsidRPr="008A0E33">
              <w:rPr>
                <w:sz w:val="22"/>
                <w:szCs w:val="22"/>
              </w:rPr>
              <w:t>24,315</w:t>
            </w:r>
          </w:p>
        </w:tc>
        <w:tc>
          <w:tcPr>
            <w:tcW w:w="954" w:type="pct"/>
          </w:tcPr>
          <w:p w14:paraId="397B3190" w14:textId="77777777" w:rsidR="000A27DC" w:rsidRPr="008A0E33" w:rsidRDefault="000A27DC" w:rsidP="0057484E">
            <w:pPr>
              <w:jc w:val="center"/>
              <w:rPr>
                <w:sz w:val="22"/>
              </w:rPr>
            </w:pPr>
            <w:r w:rsidRPr="008A0E33">
              <w:rPr>
                <w:rFonts w:hint="eastAsia"/>
                <w:sz w:val="22"/>
                <w:szCs w:val="22"/>
              </w:rPr>
              <w:t>946</w:t>
            </w:r>
          </w:p>
        </w:tc>
        <w:tc>
          <w:tcPr>
            <w:tcW w:w="954" w:type="pct"/>
          </w:tcPr>
          <w:p w14:paraId="462943D8" w14:textId="77777777" w:rsidR="000A27DC" w:rsidRPr="008A0E33" w:rsidRDefault="000A27DC" w:rsidP="0057484E">
            <w:pPr>
              <w:jc w:val="center"/>
            </w:pPr>
            <w:r w:rsidRPr="008A0E33">
              <w:rPr>
                <w:rFonts w:hint="eastAsia"/>
                <w:sz w:val="22"/>
                <w:szCs w:val="22"/>
              </w:rPr>
              <w:t>NT$474.0 mil.</w:t>
            </w:r>
          </w:p>
        </w:tc>
        <w:tc>
          <w:tcPr>
            <w:tcW w:w="954" w:type="pct"/>
            <w:vAlign w:val="center"/>
          </w:tcPr>
          <w:p w14:paraId="381C89D7" w14:textId="77777777" w:rsidR="000A27DC" w:rsidRPr="008A0E33" w:rsidRDefault="000A27DC" w:rsidP="0057484E">
            <w:pPr>
              <w:jc w:val="center"/>
              <w:rPr>
                <w:sz w:val="22"/>
              </w:rPr>
            </w:pPr>
            <w:r w:rsidRPr="008A0E33">
              <w:rPr>
                <w:rFonts w:hint="eastAsia"/>
                <w:sz w:val="22"/>
                <w:szCs w:val="22"/>
              </w:rPr>
              <w:t>840</w:t>
            </w:r>
          </w:p>
        </w:tc>
      </w:tr>
      <w:tr w:rsidR="008A0E33" w:rsidRPr="008A0E33" w14:paraId="2ED567B5" w14:textId="77777777" w:rsidTr="00B40DF7">
        <w:trPr>
          <w:trHeight w:val="320"/>
          <w:jc w:val="center"/>
        </w:trPr>
        <w:tc>
          <w:tcPr>
            <w:tcW w:w="859" w:type="pct"/>
            <w:tcBorders>
              <w:bottom w:val="single" w:sz="12" w:space="0" w:color="auto"/>
            </w:tcBorders>
          </w:tcPr>
          <w:p w14:paraId="7EEB32E1" w14:textId="77777777" w:rsidR="000A27DC" w:rsidRPr="008A0E33" w:rsidRDefault="000A27DC" w:rsidP="0057484E">
            <w:pPr>
              <w:jc w:val="center"/>
              <w:rPr>
                <w:sz w:val="22"/>
              </w:rPr>
            </w:pPr>
            <w:r w:rsidRPr="008A0E33">
              <w:rPr>
                <w:rFonts w:hint="eastAsia"/>
                <w:sz w:val="22"/>
                <w:szCs w:val="22"/>
              </w:rPr>
              <w:t>2010</w:t>
            </w:r>
          </w:p>
        </w:tc>
        <w:tc>
          <w:tcPr>
            <w:tcW w:w="1278" w:type="pct"/>
            <w:tcBorders>
              <w:bottom w:val="single" w:sz="12" w:space="0" w:color="auto"/>
            </w:tcBorders>
          </w:tcPr>
          <w:p w14:paraId="200BE158" w14:textId="77777777" w:rsidR="000A27DC" w:rsidRPr="008A0E33" w:rsidRDefault="000A27DC" w:rsidP="0057484E">
            <w:pPr>
              <w:jc w:val="center"/>
              <w:rPr>
                <w:sz w:val="22"/>
              </w:rPr>
            </w:pPr>
            <w:r w:rsidRPr="008A0E33">
              <w:rPr>
                <w:sz w:val="22"/>
                <w:szCs w:val="22"/>
              </w:rPr>
              <w:t>23,715</w:t>
            </w:r>
          </w:p>
        </w:tc>
        <w:tc>
          <w:tcPr>
            <w:tcW w:w="954" w:type="pct"/>
            <w:tcBorders>
              <w:bottom w:val="single" w:sz="12" w:space="0" w:color="auto"/>
            </w:tcBorders>
          </w:tcPr>
          <w:p w14:paraId="02D0AD56" w14:textId="77777777" w:rsidR="000A27DC" w:rsidRPr="008A0E33" w:rsidRDefault="000A27DC" w:rsidP="0057484E">
            <w:pPr>
              <w:jc w:val="center"/>
              <w:rPr>
                <w:sz w:val="22"/>
              </w:rPr>
            </w:pPr>
            <w:r w:rsidRPr="008A0E33">
              <w:rPr>
                <w:rFonts w:hint="eastAsia"/>
                <w:sz w:val="22"/>
                <w:szCs w:val="22"/>
              </w:rPr>
              <w:t>1,</w:t>
            </w:r>
            <w:r w:rsidRPr="008A0E33">
              <w:rPr>
                <w:sz w:val="22"/>
                <w:szCs w:val="22"/>
              </w:rPr>
              <w:t>192</w:t>
            </w:r>
          </w:p>
        </w:tc>
        <w:tc>
          <w:tcPr>
            <w:tcW w:w="954" w:type="pct"/>
            <w:tcBorders>
              <w:bottom w:val="single" w:sz="12" w:space="0" w:color="auto"/>
            </w:tcBorders>
          </w:tcPr>
          <w:p w14:paraId="1A9670D8" w14:textId="77777777" w:rsidR="000A27DC" w:rsidRPr="008A0E33" w:rsidRDefault="000A27DC" w:rsidP="0057484E">
            <w:pPr>
              <w:jc w:val="center"/>
            </w:pPr>
            <w:r w:rsidRPr="008A0E33">
              <w:rPr>
                <w:rFonts w:hint="eastAsia"/>
                <w:sz w:val="22"/>
                <w:szCs w:val="22"/>
              </w:rPr>
              <w:t>NT$676.3 mil.</w:t>
            </w:r>
          </w:p>
        </w:tc>
        <w:tc>
          <w:tcPr>
            <w:tcW w:w="954" w:type="pct"/>
            <w:tcBorders>
              <w:bottom w:val="single" w:sz="12" w:space="0" w:color="auto"/>
            </w:tcBorders>
            <w:vAlign w:val="center"/>
          </w:tcPr>
          <w:p w14:paraId="1873D595" w14:textId="77777777" w:rsidR="000A27DC" w:rsidRPr="008A0E33" w:rsidRDefault="000A27DC" w:rsidP="0057484E">
            <w:pPr>
              <w:jc w:val="center"/>
              <w:rPr>
                <w:sz w:val="22"/>
              </w:rPr>
            </w:pPr>
            <w:r w:rsidRPr="008A0E33">
              <w:rPr>
                <w:rFonts w:hint="eastAsia"/>
                <w:sz w:val="22"/>
                <w:szCs w:val="22"/>
              </w:rPr>
              <w:t>1</w:t>
            </w:r>
            <w:r w:rsidRPr="008A0E33">
              <w:rPr>
                <w:sz w:val="22"/>
                <w:szCs w:val="22"/>
              </w:rPr>
              <w:t>,</w:t>
            </w:r>
            <w:r w:rsidRPr="008A0E33">
              <w:rPr>
                <w:rFonts w:hint="eastAsia"/>
                <w:sz w:val="22"/>
                <w:szCs w:val="22"/>
              </w:rPr>
              <w:t>066</w:t>
            </w:r>
          </w:p>
        </w:tc>
      </w:tr>
    </w:tbl>
    <w:p w14:paraId="4BF85588" w14:textId="77777777" w:rsidR="000A27DC" w:rsidRPr="008A0E33" w:rsidRDefault="000A27DC" w:rsidP="0057484E">
      <w:pPr>
        <w:adjustRightInd w:val="0"/>
        <w:snapToGrid w:val="0"/>
        <w:rPr>
          <w:sz w:val="20"/>
        </w:rPr>
      </w:pPr>
      <w:r w:rsidRPr="008A0E33">
        <w:rPr>
          <w:sz w:val="20"/>
        </w:rPr>
        <w:t>Source: Lo (2010) and Chen (2011)</w:t>
      </w:r>
    </w:p>
    <w:p w14:paraId="10F626E3" w14:textId="77777777" w:rsidR="000A27DC" w:rsidRPr="008A0E33" w:rsidRDefault="000A27DC" w:rsidP="0057484E">
      <w:pPr>
        <w:adjustRightInd w:val="0"/>
        <w:snapToGrid w:val="0"/>
        <w:rPr>
          <w:sz w:val="20"/>
        </w:rPr>
      </w:pPr>
    </w:p>
    <w:p w14:paraId="144DFBFA" w14:textId="77777777" w:rsidR="000C4050" w:rsidRPr="008A0E33" w:rsidRDefault="000C4050">
      <w:pPr>
        <w:widowControl/>
        <w:rPr>
          <w:rFonts w:ascii="Times New Roman" w:hAnsi="Times New Roman" w:cs="Times New Roman"/>
          <w:b/>
          <w:bCs/>
          <w:kern w:val="0"/>
        </w:rPr>
      </w:pPr>
      <w:r w:rsidRPr="008A0E33">
        <w:rPr>
          <w:rFonts w:ascii="Times New Roman" w:hAnsi="Times New Roman" w:cs="Times New Roman"/>
          <w:b/>
          <w:bCs/>
          <w:kern w:val="0"/>
        </w:rPr>
        <w:br w:type="page"/>
      </w:r>
    </w:p>
    <w:p w14:paraId="78379017" w14:textId="77777777" w:rsidR="009B6FA9" w:rsidRDefault="009B6FA9" w:rsidP="0057484E">
      <w:pPr>
        <w:widowControl/>
        <w:rPr>
          <w:rFonts w:ascii="Times New Roman" w:hAnsi="Times New Roman" w:cs="Times New Roman"/>
          <w:b/>
          <w:bCs/>
          <w:kern w:val="0"/>
        </w:rPr>
      </w:pPr>
    </w:p>
    <w:p w14:paraId="4E3E9C32" w14:textId="0BF36A9F" w:rsidR="000A27DC" w:rsidRPr="008A0E33" w:rsidRDefault="000A27DC" w:rsidP="0057484E">
      <w:pPr>
        <w:widowControl/>
        <w:rPr>
          <w:rFonts w:ascii="Times" w:hAnsi="Times" w:cs="Times New Roman"/>
          <w:kern w:val="0"/>
          <w:sz w:val="20"/>
          <w:szCs w:val="20"/>
        </w:rPr>
      </w:pPr>
      <w:r w:rsidRPr="008A0E33">
        <w:rPr>
          <w:rFonts w:ascii="Times New Roman" w:hAnsi="Times New Roman" w:cs="Times New Roman"/>
          <w:b/>
          <w:bCs/>
          <w:kern w:val="0"/>
        </w:rPr>
        <w:t>Table 3 Characteristics of the Universities and Respondents</w:t>
      </w:r>
    </w:p>
    <w:tbl>
      <w:tblPr>
        <w:tblW w:w="5557" w:type="pct"/>
        <w:tblLayout w:type="fixed"/>
        <w:tblLook w:val="04A0" w:firstRow="1" w:lastRow="0" w:firstColumn="1" w:lastColumn="0" w:noHBand="0" w:noVBand="1"/>
      </w:tblPr>
      <w:tblGrid>
        <w:gridCol w:w="1181"/>
        <w:gridCol w:w="1234"/>
        <w:gridCol w:w="1244"/>
        <w:gridCol w:w="917"/>
        <w:gridCol w:w="1083"/>
        <w:gridCol w:w="1131"/>
        <w:gridCol w:w="1389"/>
        <w:gridCol w:w="1046"/>
      </w:tblGrid>
      <w:tr w:rsidR="008A0E33" w:rsidRPr="008A0E33" w14:paraId="5E808D65" w14:textId="77777777" w:rsidTr="00B40DF7">
        <w:trPr>
          <w:trHeight w:val="798"/>
        </w:trPr>
        <w:tc>
          <w:tcPr>
            <w:tcW w:w="640" w:type="pct"/>
            <w:tcBorders>
              <w:top w:val="single" w:sz="12" w:space="0" w:color="000000"/>
              <w:left w:val="nil"/>
              <w:bottom w:val="single" w:sz="4" w:space="0" w:color="000000"/>
              <w:right w:val="nil"/>
            </w:tcBorders>
            <w:vAlign w:val="center"/>
          </w:tcPr>
          <w:p w14:paraId="52FAF9D0" w14:textId="77777777" w:rsidR="000A27DC" w:rsidRPr="008A0E33" w:rsidRDefault="000A27DC" w:rsidP="0057484E">
            <w:pPr>
              <w:autoSpaceDE w:val="0"/>
              <w:autoSpaceDN w:val="0"/>
              <w:adjustRightInd w:val="0"/>
              <w:snapToGrid w:val="0"/>
              <w:jc w:val="center"/>
              <w:rPr>
                <w:rFonts w:eastAsia="AdvEPSTIM"/>
                <w:b/>
                <w:kern w:val="0"/>
                <w:sz w:val="20"/>
                <w:szCs w:val="20"/>
              </w:rPr>
            </w:pPr>
            <w:r w:rsidRPr="008A0E33">
              <w:rPr>
                <w:rFonts w:eastAsia="AdvEPSTIM"/>
                <w:b/>
                <w:kern w:val="0"/>
                <w:sz w:val="20"/>
                <w:szCs w:val="20"/>
              </w:rPr>
              <w:t>University</w:t>
            </w:r>
          </w:p>
        </w:tc>
        <w:tc>
          <w:tcPr>
            <w:tcW w:w="669" w:type="pct"/>
            <w:tcBorders>
              <w:top w:val="single" w:sz="12" w:space="0" w:color="000000"/>
              <w:left w:val="nil"/>
              <w:bottom w:val="single" w:sz="4" w:space="0" w:color="000000"/>
              <w:right w:val="nil"/>
            </w:tcBorders>
            <w:vAlign w:val="center"/>
          </w:tcPr>
          <w:p w14:paraId="014E7DA1" w14:textId="77777777" w:rsidR="000A27DC" w:rsidRPr="008A0E33" w:rsidRDefault="000A27DC" w:rsidP="0057484E">
            <w:pPr>
              <w:autoSpaceDE w:val="0"/>
              <w:autoSpaceDN w:val="0"/>
              <w:adjustRightInd w:val="0"/>
              <w:snapToGrid w:val="0"/>
              <w:jc w:val="center"/>
              <w:rPr>
                <w:rFonts w:eastAsia="AdvEPSTIM"/>
                <w:b/>
                <w:kern w:val="0"/>
                <w:sz w:val="20"/>
                <w:szCs w:val="20"/>
              </w:rPr>
            </w:pPr>
            <w:r w:rsidRPr="008A0E33">
              <w:rPr>
                <w:rFonts w:eastAsia="AdvEPSTIM"/>
                <w:b/>
                <w:kern w:val="0"/>
                <w:sz w:val="20"/>
                <w:szCs w:val="20"/>
              </w:rPr>
              <w:t>Ownership</w:t>
            </w:r>
          </w:p>
        </w:tc>
        <w:tc>
          <w:tcPr>
            <w:tcW w:w="674" w:type="pct"/>
            <w:tcBorders>
              <w:top w:val="single" w:sz="12" w:space="0" w:color="000000"/>
              <w:left w:val="nil"/>
              <w:bottom w:val="single" w:sz="4" w:space="0" w:color="000000"/>
              <w:right w:val="nil"/>
            </w:tcBorders>
            <w:vAlign w:val="center"/>
          </w:tcPr>
          <w:p w14:paraId="3B362D88" w14:textId="77777777" w:rsidR="000A27DC" w:rsidRPr="008A0E33" w:rsidRDefault="000A27DC" w:rsidP="0057484E">
            <w:pPr>
              <w:autoSpaceDE w:val="0"/>
              <w:autoSpaceDN w:val="0"/>
              <w:adjustRightInd w:val="0"/>
              <w:snapToGrid w:val="0"/>
              <w:jc w:val="center"/>
              <w:rPr>
                <w:rFonts w:eastAsia="AdvEPSTIM"/>
                <w:b/>
                <w:kern w:val="0"/>
                <w:sz w:val="20"/>
                <w:szCs w:val="20"/>
              </w:rPr>
            </w:pPr>
            <w:r w:rsidRPr="008A0E33">
              <w:rPr>
                <w:rFonts w:eastAsia="AdvEPSTIM"/>
                <w:b/>
                <w:kern w:val="0"/>
                <w:sz w:val="20"/>
                <w:szCs w:val="20"/>
              </w:rPr>
              <w:t>Type</w:t>
            </w:r>
          </w:p>
        </w:tc>
        <w:tc>
          <w:tcPr>
            <w:tcW w:w="497" w:type="pct"/>
            <w:tcBorders>
              <w:top w:val="single" w:sz="12" w:space="0" w:color="000000"/>
              <w:left w:val="nil"/>
              <w:bottom w:val="single" w:sz="4" w:space="0" w:color="000000"/>
              <w:right w:val="nil"/>
            </w:tcBorders>
            <w:vAlign w:val="center"/>
          </w:tcPr>
          <w:p w14:paraId="287D7C0C" w14:textId="77777777" w:rsidR="000A27DC" w:rsidRPr="008A0E33" w:rsidRDefault="000A27DC" w:rsidP="0057484E">
            <w:pPr>
              <w:autoSpaceDE w:val="0"/>
              <w:autoSpaceDN w:val="0"/>
              <w:adjustRightInd w:val="0"/>
              <w:snapToGrid w:val="0"/>
              <w:ind w:leftChars="-49" w:hangingChars="59" w:hanging="118"/>
              <w:jc w:val="center"/>
              <w:rPr>
                <w:rFonts w:eastAsia="AdvEPSTIM"/>
                <w:b/>
                <w:kern w:val="0"/>
                <w:sz w:val="20"/>
                <w:szCs w:val="20"/>
              </w:rPr>
            </w:pPr>
            <w:r w:rsidRPr="008A0E33">
              <w:rPr>
                <w:rFonts w:eastAsia="AdvEPSTIM"/>
                <w:b/>
                <w:kern w:val="0"/>
                <w:sz w:val="20"/>
                <w:szCs w:val="20"/>
              </w:rPr>
              <w:t>No. of</w:t>
            </w:r>
          </w:p>
          <w:p w14:paraId="710C9BCB" w14:textId="77777777" w:rsidR="000A27DC" w:rsidRPr="008A0E33" w:rsidRDefault="000A27DC" w:rsidP="0057484E">
            <w:pPr>
              <w:autoSpaceDE w:val="0"/>
              <w:autoSpaceDN w:val="0"/>
              <w:adjustRightInd w:val="0"/>
              <w:snapToGrid w:val="0"/>
              <w:ind w:leftChars="-43" w:left="-103"/>
              <w:jc w:val="center"/>
              <w:rPr>
                <w:rFonts w:eastAsia="AdvEPSTIM"/>
                <w:b/>
                <w:kern w:val="0"/>
                <w:sz w:val="20"/>
                <w:szCs w:val="20"/>
              </w:rPr>
            </w:pPr>
            <w:r w:rsidRPr="008A0E33">
              <w:rPr>
                <w:rFonts w:eastAsia="AdvEPSTIM"/>
                <w:b/>
                <w:kern w:val="0"/>
                <w:sz w:val="20"/>
                <w:szCs w:val="20"/>
              </w:rPr>
              <w:t>schools</w:t>
            </w:r>
          </w:p>
        </w:tc>
        <w:tc>
          <w:tcPr>
            <w:tcW w:w="587" w:type="pct"/>
            <w:tcBorders>
              <w:top w:val="single" w:sz="12" w:space="0" w:color="000000"/>
              <w:left w:val="nil"/>
              <w:bottom w:val="single" w:sz="4" w:space="0" w:color="000000"/>
              <w:right w:val="nil"/>
            </w:tcBorders>
            <w:vAlign w:val="center"/>
          </w:tcPr>
          <w:p w14:paraId="0BC1A6DF" w14:textId="77777777" w:rsidR="000A27DC" w:rsidRPr="008A0E33" w:rsidRDefault="000A27DC" w:rsidP="0057484E">
            <w:pPr>
              <w:autoSpaceDE w:val="0"/>
              <w:autoSpaceDN w:val="0"/>
              <w:adjustRightInd w:val="0"/>
              <w:snapToGrid w:val="0"/>
              <w:ind w:leftChars="-56" w:left="-120" w:hangingChars="7" w:hanging="14"/>
              <w:jc w:val="center"/>
              <w:rPr>
                <w:rFonts w:eastAsia="AdvEPSTIM"/>
                <w:b/>
                <w:kern w:val="0"/>
                <w:sz w:val="20"/>
                <w:szCs w:val="20"/>
              </w:rPr>
            </w:pPr>
            <w:r w:rsidRPr="008A0E33">
              <w:rPr>
                <w:rFonts w:eastAsia="AdvEPSTIM"/>
                <w:b/>
                <w:kern w:val="0"/>
                <w:sz w:val="20"/>
                <w:szCs w:val="20"/>
              </w:rPr>
              <w:t>No. of   departments</w:t>
            </w:r>
          </w:p>
        </w:tc>
        <w:tc>
          <w:tcPr>
            <w:tcW w:w="613" w:type="pct"/>
            <w:tcBorders>
              <w:top w:val="single" w:sz="12" w:space="0" w:color="000000"/>
              <w:left w:val="nil"/>
              <w:bottom w:val="single" w:sz="4" w:space="0" w:color="000000"/>
              <w:right w:val="nil"/>
            </w:tcBorders>
            <w:vAlign w:val="center"/>
          </w:tcPr>
          <w:p w14:paraId="1F2B70B0" w14:textId="77777777" w:rsidR="000A27DC" w:rsidRPr="008A0E33" w:rsidRDefault="000A27DC" w:rsidP="0057484E">
            <w:pPr>
              <w:autoSpaceDE w:val="0"/>
              <w:autoSpaceDN w:val="0"/>
              <w:adjustRightInd w:val="0"/>
              <w:snapToGrid w:val="0"/>
              <w:ind w:leftChars="-52" w:left="-125" w:rightChars="-24" w:right="-58" w:firstLineChars="7" w:firstLine="14"/>
              <w:jc w:val="center"/>
              <w:rPr>
                <w:rFonts w:eastAsia="AdvEPSTIM"/>
                <w:b/>
                <w:bCs/>
                <w:kern w:val="0"/>
                <w:sz w:val="20"/>
                <w:szCs w:val="20"/>
              </w:rPr>
            </w:pPr>
            <w:r w:rsidRPr="008A0E33">
              <w:rPr>
                <w:rFonts w:eastAsia="AdvEPSTIM"/>
                <w:b/>
                <w:kern w:val="0"/>
                <w:sz w:val="20"/>
                <w:szCs w:val="20"/>
              </w:rPr>
              <w:t>Total respondents</w:t>
            </w:r>
          </w:p>
        </w:tc>
        <w:tc>
          <w:tcPr>
            <w:tcW w:w="753" w:type="pct"/>
            <w:tcBorders>
              <w:top w:val="single" w:sz="12" w:space="0" w:color="000000"/>
              <w:left w:val="nil"/>
              <w:bottom w:val="single" w:sz="4" w:space="0" w:color="000000"/>
              <w:right w:val="nil"/>
            </w:tcBorders>
            <w:vAlign w:val="center"/>
          </w:tcPr>
          <w:p w14:paraId="608EC1D7" w14:textId="77777777" w:rsidR="000A27DC" w:rsidRPr="008A0E33" w:rsidRDefault="000A27DC" w:rsidP="0057484E">
            <w:pPr>
              <w:autoSpaceDE w:val="0"/>
              <w:autoSpaceDN w:val="0"/>
              <w:adjustRightInd w:val="0"/>
              <w:snapToGrid w:val="0"/>
              <w:ind w:leftChars="-48" w:left="1" w:hangingChars="58" w:hanging="116"/>
              <w:jc w:val="center"/>
              <w:rPr>
                <w:rFonts w:eastAsia="AdvEPSTIM"/>
                <w:b/>
                <w:bCs/>
                <w:kern w:val="0"/>
                <w:sz w:val="20"/>
                <w:szCs w:val="20"/>
              </w:rPr>
            </w:pPr>
            <w:r w:rsidRPr="008A0E33">
              <w:rPr>
                <w:rFonts w:eastAsia="AdvEPSTIM"/>
                <w:b/>
                <w:kern w:val="0"/>
                <w:sz w:val="20"/>
                <w:szCs w:val="20"/>
              </w:rPr>
              <w:t>Non-administrative faculty</w:t>
            </w:r>
          </w:p>
        </w:tc>
        <w:tc>
          <w:tcPr>
            <w:tcW w:w="567" w:type="pct"/>
            <w:tcBorders>
              <w:top w:val="single" w:sz="12" w:space="0" w:color="000000"/>
              <w:left w:val="nil"/>
              <w:bottom w:val="single" w:sz="4" w:space="0" w:color="000000"/>
              <w:right w:val="nil"/>
            </w:tcBorders>
            <w:vAlign w:val="center"/>
          </w:tcPr>
          <w:p w14:paraId="5FAF2DE5" w14:textId="77777777" w:rsidR="000A27DC" w:rsidRPr="008A0E33" w:rsidRDefault="000A27DC" w:rsidP="0057484E">
            <w:pPr>
              <w:autoSpaceDE w:val="0"/>
              <w:autoSpaceDN w:val="0"/>
              <w:adjustRightInd w:val="0"/>
              <w:snapToGrid w:val="0"/>
              <w:ind w:leftChars="-55" w:hangingChars="66" w:hanging="132"/>
              <w:jc w:val="center"/>
              <w:rPr>
                <w:rFonts w:eastAsia="AdvEPSTIM"/>
                <w:b/>
                <w:bCs/>
                <w:kern w:val="0"/>
                <w:sz w:val="20"/>
                <w:szCs w:val="20"/>
              </w:rPr>
            </w:pPr>
            <w:r w:rsidRPr="008A0E33">
              <w:rPr>
                <w:rFonts w:eastAsia="AdvEPSTIM"/>
                <w:b/>
                <w:kern w:val="0"/>
                <w:sz w:val="20"/>
                <w:szCs w:val="20"/>
              </w:rPr>
              <w:t>Administrator</w:t>
            </w:r>
          </w:p>
        </w:tc>
      </w:tr>
      <w:tr w:rsidR="008A0E33" w:rsidRPr="008A0E33" w14:paraId="6654A6EA" w14:textId="77777777" w:rsidTr="00B40DF7">
        <w:trPr>
          <w:trHeight w:val="364"/>
        </w:trPr>
        <w:tc>
          <w:tcPr>
            <w:tcW w:w="640" w:type="pct"/>
            <w:tcBorders>
              <w:top w:val="single" w:sz="4" w:space="0" w:color="000000"/>
              <w:left w:val="nil"/>
              <w:bottom w:val="nil"/>
              <w:right w:val="nil"/>
            </w:tcBorders>
          </w:tcPr>
          <w:p w14:paraId="04BD486B"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A</w:t>
            </w:r>
          </w:p>
        </w:tc>
        <w:tc>
          <w:tcPr>
            <w:tcW w:w="669" w:type="pct"/>
            <w:tcBorders>
              <w:top w:val="single" w:sz="4" w:space="0" w:color="000000"/>
              <w:left w:val="nil"/>
              <w:bottom w:val="nil"/>
              <w:right w:val="nil"/>
            </w:tcBorders>
          </w:tcPr>
          <w:p w14:paraId="6C8FD37C"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Public</w:t>
            </w:r>
          </w:p>
        </w:tc>
        <w:tc>
          <w:tcPr>
            <w:tcW w:w="674" w:type="pct"/>
            <w:tcBorders>
              <w:top w:val="single" w:sz="4" w:space="0" w:color="000000"/>
              <w:left w:val="nil"/>
              <w:bottom w:val="nil"/>
              <w:right w:val="nil"/>
            </w:tcBorders>
          </w:tcPr>
          <w:p w14:paraId="64B1391A"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General</w:t>
            </w:r>
          </w:p>
        </w:tc>
        <w:tc>
          <w:tcPr>
            <w:tcW w:w="497" w:type="pct"/>
            <w:tcBorders>
              <w:top w:val="single" w:sz="4" w:space="0" w:color="000000"/>
              <w:left w:val="nil"/>
              <w:bottom w:val="nil"/>
              <w:right w:val="nil"/>
            </w:tcBorders>
          </w:tcPr>
          <w:p w14:paraId="7DE87A6D"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8</w:t>
            </w:r>
          </w:p>
        </w:tc>
        <w:tc>
          <w:tcPr>
            <w:tcW w:w="587" w:type="pct"/>
            <w:tcBorders>
              <w:top w:val="single" w:sz="4" w:space="0" w:color="000000"/>
              <w:left w:val="nil"/>
              <w:bottom w:val="nil"/>
              <w:right w:val="nil"/>
            </w:tcBorders>
          </w:tcPr>
          <w:p w14:paraId="5AAD9B96"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42</w:t>
            </w:r>
          </w:p>
        </w:tc>
        <w:tc>
          <w:tcPr>
            <w:tcW w:w="613" w:type="pct"/>
            <w:tcBorders>
              <w:top w:val="single" w:sz="4" w:space="0" w:color="000000"/>
              <w:left w:val="nil"/>
              <w:bottom w:val="nil"/>
              <w:right w:val="nil"/>
            </w:tcBorders>
          </w:tcPr>
          <w:p w14:paraId="5136AA39"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256</w:t>
            </w:r>
          </w:p>
        </w:tc>
        <w:tc>
          <w:tcPr>
            <w:tcW w:w="753" w:type="pct"/>
            <w:tcBorders>
              <w:top w:val="single" w:sz="4" w:space="0" w:color="000000"/>
              <w:left w:val="nil"/>
              <w:bottom w:val="nil"/>
              <w:right w:val="nil"/>
            </w:tcBorders>
          </w:tcPr>
          <w:p w14:paraId="392D39A7"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214</w:t>
            </w:r>
          </w:p>
        </w:tc>
        <w:tc>
          <w:tcPr>
            <w:tcW w:w="567" w:type="pct"/>
            <w:tcBorders>
              <w:top w:val="single" w:sz="4" w:space="0" w:color="000000"/>
              <w:left w:val="nil"/>
              <w:bottom w:val="nil"/>
              <w:right w:val="nil"/>
            </w:tcBorders>
          </w:tcPr>
          <w:p w14:paraId="1709998E"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42</w:t>
            </w:r>
          </w:p>
        </w:tc>
      </w:tr>
      <w:tr w:rsidR="008A0E33" w:rsidRPr="008A0E33" w14:paraId="3D0D9D45" w14:textId="77777777" w:rsidTr="00B40DF7">
        <w:trPr>
          <w:trHeight w:val="378"/>
        </w:trPr>
        <w:tc>
          <w:tcPr>
            <w:tcW w:w="640" w:type="pct"/>
            <w:tcBorders>
              <w:top w:val="nil"/>
              <w:left w:val="nil"/>
              <w:bottom w:val="nil"/>
              <w:right w:val="nil"/>
            </w:tcBorders>
          </w:tcPr>
          <w:p w14:paraId="5894400A"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B</w:t>
            </w:r>
          </w:p>
        </w:tc>
        <w:tc>
          <w:tcPr>
            <w:tcW w:w="669" w:type="pct"/>
            <w:tcBorders>
              <w:top w:val="nil"/>
              <w:left w:val="nil"/>
              <w:bottom w:val="nil"/>
              <w:right w:val="nil"/>
            </w:tcBorders>
          </w:tcPr>
          <w:p w14:paraId="4A69A217"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Public</w:t>
            </w:r>
          </w:p>
        </w:tc>
        <w:tc>
          <w:tcPr>
            <w:tcW w:w="674" w:type="pct"/>
            <w:tcBorders>
              <w:top w:val="nil"/>
              <w:left w:val="nil"/>
              <w:bottom w:val="nil"/>
              <w:right w:val="nil"/>
            </w:tcBorders>
          </w:tcPr>
          <w:p w14:paraId="517C19C1"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General</w:t>
            </w:r>
          </w:p>
        </w:tc>
        <w:tc>
          <w:tcPr>
            <w:tcW w:w="497" w:type="pct"/>
            <w:tcBorders>
              <w:top w:val="nil"/>
              <w:left w:val="nil"/>
              <w:bottom w:val="nil"/>
              <w:right w:val="nil"/>
            </w:tcBorders>
          </w:tcPr>
          <w:p w14:paraId="20F4F34E"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5</w:t>
            </w:r>
          </w:p>
        </w:tc>
        <w:tc>
          <w:tcPr>
            <w:tcW w:w="587" w:type="pct"/>
            <w:tcBorders>
              <w:top w:val="nil"/>
              <w:left w:val="nil"/>
              <w:bottom w:val="nil"/>
              <w:right w:val="nil"/>
            </w:tcBorders>
          </w:tcPr>
          <w:p w14:paraId="7026CA47"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19</w:t>
            </w:r>
          </w:p>
        </w:tc>
        <w:tc>
          <w:tcPr>
            <w:tcW w:w="613" w:type="pct"/>
            <w:tcBorders>
              <w:top w:val="nil"/>
              <w:left w:val="nil"/>
              <w:bottom w:val="nil"/>
              <w:right w:val="nil"/>
            </w:tcBorders>
          </w:tcPr>
          <w:p w14:paraId="1B2B08EC"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114</w:t>
            </w:r>
          </w:p>
        </w:tc>
        <w:tc>
          <w:tcPr>
            <w:tcW w:w="753" w:type="pct"/>
            <w:tcBorders>
              <w:top w:val="nil"/>
              <w:left w:val="nil"/>
              <w:bottom w:val="nil"/>
              <w:right w:val="nil"/>
            </w:tcBorders>
          </w:tcPr>
          <w:p w14:paraId="5D01F46A"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84</w:t>
            </w:r>
          </w:p>
        </w:tc>
        <w:tc>
          <w:tcPr>
            <w:tcW w:w="567" w:type="pct"/>
            <w:tcBorders>
              <w:top w:val="nil"/>
              <w:left w:val="nil"/>
              <w:bottom w:val="nil"/>
              <w:right w:val="nil"/>
            </w:tcBorders>
          </w:tcPr>
          <w:p w14:paraId="2F0A6691"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30</w:t>
            </w:r>
          </w:p>
        </w:tc>
      </w:tr>
      <w:tr w:rsidR="008A0E33" w:rsidRPr="008A0E33" w14:paraId="0AD725EE" w14:textId="77777777" w:rsidTr="00B40DF7">
        <w:trPr>
          <w:trHeight w:val="378"/>
        </w:trPr>
        <w:tc>
          <w:tcPr>
            <w:tcW w:w="640" w:type="pct"/>
            <w:tcBorders>
              <w:top w:val="nil"/>
              <w:left w:val="nil"/>
              <w:bottom w:val="nil"/>
              <w:right w:val="nil"/>
            </w:tcBorders>
          </w:tcPr>
          <w:p w14:paraId="4E573CAD"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C</w:t>
            </w:r>
          </w:p>
        </w:tc>
        <w:tc>
          <w:tcPr>
            <w:tcW w:w="669" w:type="pct"/>
            <w:tcBorders>
              <w:top w:val="nil"/>
              <w:left w:val="nil"/>
              <w:bottom w:val="nil"/>
              <w:right w:val="nil"/>
            </w:tcBorders>
          </w:tcPr>
          <w:p w14:paraId="03BFA62C"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Public</w:t>
            </w:r>
          </w:p>
        </w:tc>
        <w:tc>
          <w:tcPr>
            <w:tcW w:w="674" w:type="pct"/>
            <w:tcBorders>
              <w:top w:val="nil"/>
              <w:left w:val="nil"/>
              <w:bottom w:val="nil"/>
              <w:right w:val="nil"/>
            </w:tcBorders>
          </w:tcPr>
          <w:p w14:paraId="6A5699FB"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General</w:t>
            </w:r>
          </w:p>
        </w:tc>
        <w:tc>
          <w:tcPr>
            <w:tcW w:w="497" w:type="pct"/>
            <w:tcBorders>
              <w:top w:val="nil"/>
              <w:left w:val="nil"/>
              <w:bottom w:val="nil"/>
              <w:right w:val="nil"/>
            </w:tcBorders>
          </w:tcPr>
          <w:p w14:paraId="175E34A3"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5</w:t>
            </w:r>
          </w:p>
        </w:tc>
        <w:tc>
          <w:tcPr>
            <w:tcW w:w="587" w:type="pct"/>
            <w:tcBorders>
              <w:top w:val="nil"/>
              <w:left w:val="nil"/>
              <w:bottom w:val="nil"/>
              <w:right w:val="nil"/>
            </w:tcBorders>
          </w:tcPr>
          <w:p w14:paraId="14160DC3" w14:textId="77777777" w:rsidR="000A27DC" w:rsidRPr="008A0E33" w:rsidRDefault="000A27DC" w:rsidP="0057484E">
            <w:pPr>
              <w:autoSpaceDE w:val="0"/>
              <w:autoSpaceDN w:val="0"/>
              <w:adjustRightInd w:val="0"/>
              <w:snapToGrid w:val="0"/>
              <w:ind w:firstLineChars="250" w:firstLine="500"/>
              <w:rPr>
                <w:rFonts w:eastAsia="AdvEPSTIM"/>
                <w:kern w:val="0"/>
                <w:sz w:val="20"/>
                <w:szCs w:val="20"/>
              </w:rPr>
            </w:pPr>
            <w:r w:rsidRPr="008A0E33">
              <w:rPr>
                <w:rFonts w:eastAsia="AdvEPSTIM"/>
                <w:kern w:val="0"/>
                <w:sz w:val="20"/>
                <w:szCs w:val="20"/>
              </w:rPr>
              <w:t>9</w:t>
            </w:r>
          </w:p>
        </w:tc>
        <w:tc>
          <w:tcPr>
            <w:tcW w:w="613" w:type="pct"/>
            <w:tcBorders>
              <w:top w:val="nil"/>
              <w:left w:val="nil"/>
              <w:bottom w:val="nil"/>
              <w:right w:val="nil"/>
            </w:tcBorders>
          </w:tcPr>
          <w:p w14:paraId="2D1A9C53"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66</w:t>
            </w:r>
          </w:p>
        </w:tc>
        <w:tc>
          <w:tcPr>
            <w:tcW w:w="753" w:type="pct"/>
            <w:tcBorders>
              <w:top w:val="nil"/>
              <w:left w:val="nil"/>
              <w:bottom w:val="nil"/>
              <w:right w:val="nil"/>
            </w:tcBorders>
          </w:tcPr>
          <w:p w14:paraId="70EBF59D"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46</w:t>
            </w:r>
          </w:p>
        </w:tc>
        <w:tc>
          <w:tcPr>
            <w:tcW w:w="567" w:type="pct"/>
            <w:tcBorders>
              <w:top w:val="nil"/>
              <w:left w:val="nil"/>
              <w:bottom w:val="nil"/>
              <w:right w:val="nil"/>
            </w:tcBorders>
          </w:tcPr>
          <w:p w14:paraId="273A8398"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20</w:t>
            </w:r>
          </w:p>
        </w:tc>
      </w:tr>
      <w:tr w:rsidR="008A0E33" w:rsidRPr="008A0E33" w14:paraId="2FF1BFD8" w14:textId="77777777" w:rsidTr="00B40DF7">
        <w:trPr>
          <w:trHeight w:val="378"/>
        </w:trPr>
        <w:tc>
          <w:tcPr>
            <w:tcW w:w="640" w:type="pct"/>
            <w:tcBorders>
              <w:top w:val="nil"/>
              <w:left w:val="nil"/>
              <w:bottom w:val="nil"/>
              <w:right w:val="nil"/>
            </w:tcBorders>
          </w:tcPr>
          <w:p w14:paraId="7AD6C86A"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D</w:t>
            </w:r>
          </w:p>
        </w:tc>
        <w:tc>
          <w:tcPr>
            <w:tcW w:w="669" w:type="pct"/>
            <w:tcBorders>
              <w:top w:val="nil"/>
              <w:left w:val="nil"/>
              <w:bottom w:val="nil"/>
              <w:right w:val="nil"/>
            </w:tcBorders>
          </w:tcPr>
          <w:p w14:paraId="1CD38A1D"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Public</w:t>
            </w:r>
          </w:p>
        </w:tc>
        <w:tc>
          <w:tcPr>
            <w:tcW w:w="674" w:type="pct"/>
            <w:tcBorders>
              <w:top w:val="nil"/>
              <w:left w:val="nil"/>
              <w:bottom w:val="nil"/>
              <w:right w:val="nil"/>
            </w:tcBorders>
          </w:tcPr>
          <w:p w14:paraId="7A663AE5"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Medical</w:t>
            </w:r>
          </w:p>
        </w:tc>
        <w:tc>
          <w:tcPr>
            <w:tcW w:w="497" w:type="pct"/>
            <w:tcBorders>
              <w:top w:val="nil"/>
              <w:left w:val="nil"/>
              <w:bottom w:val="nil"/>
              <w:right w:val="nil"/>
            </w:tcBorders>
          </w:tcPr>
          <w:p w14:paraId="3EEE6485"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4</w:t>
            </w:r>
          </w:p>
        </w:tc>
        <w:tc>
          <w:tcPr>
            <w:tcW w:w="587" w:type="pct"/>
            <w:tcBorders>
              <w:top w:val="nil"/>
              <w:left w:val="nil"/>
              <w:bottom w:val="nil"/>
              <w:right w:val="nil"/>
            </w:tcBorders>
          </w:tcPr>
          <w:p w14:paraId="5A930992" w14:textId="77777777" w:rsidR="000A27DC" w:rsidRPr="008A0E33" w:rsidRDefault="000A27DC" w:rsidP="0057484E">
            <w:pPr>
              <w:autoSpaceDE w:val="0"/>
              <w:autoSpaceDN w:val="0"/>
              <w:adjustRightInd w:val="0"/>
              <w:snapToGrid w:val="0"/>
              <w:ind w:firstLineChars="250" w:firstLine="500"/>
              <w:rPr>
                <w:rFonts w:eastAsia="AdvEPSTIM"/>
                <w:kern w:val="0"/>
                <w:sz w:val="20"/>
                <w:szCs w:val="20"/>
              </w:rPr>
            </w:pPr>
            <w:r w:rsidRPr="008A0E33">
              <w:rPr>
                <w:rFonts w:eastAsia="AdvEPSTIM"/>
                <w:kern w:val="0"/>
                <w:sz w:val="20"/>
                <w:szCs w:val="20"/>
              </w:rPr>
              <w:t>9</w:t>
            </w:r>
          </w:p>
        </w:tc>
        <w:tc>
          <w:tcPr>
            <w:tcW w:w="613" w:type="pct"/>
            <w:tcBorders>
              <w:top w:val="nil"/>
              <w:left w:val="nil"/>
              <w:bottom w:val="nil"/>
              <w:right w:val="nil"/>
            </w:tcBorders>
          </w:tcPr>
          <w:p w14:paraId="55E31C46"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63</w:t>
            </w:r>
          </w:p>
        </w:tc>
        <w:tc>
          <w:tcPr>
            <w:tcW w:w="753" w:type="pct"/>
            <w:tcBorders>
              <w:top w:val="nil"/>
              <w:left w:val="nil"/>
              <w:bottom w:val="nil"/>
              <w:right w:val="nil"/>
            </w:tcBorders>
          </w:tcPr>
          <w:p w14:paraId="04C09B66"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41</w:t>
            </w:r>
          </w:p>
        </w:tc>
        <w:tc>
          <w:tcPr>
            <w:tcW w:w="567" w:type="pct"/>
            <w:tcBorders>
              <w:top w:val="nil"/>
              <w:left w:val="nil"/>
              <w:bottom w:val="nil"/>
              <w:right w:val="nil"/>
            </w:tcBorders>
          </w:tcPr>
          <w:p w14:paraId="6C165618"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22</w:t>
            </w:r>
          </w:p>
        </w:tc>
      </w:tr>
      <w:tr w:rsidR="008A0E33" w:rsidRPr="008A0E33" w14:paraId="1BDF4949" w14:textId="77777777" w:rsidTr="000C4050">
        <w:trPr>
          <w:trHeight w:val="378"/>
        </w:trPr>
        <w:tc>
          <w:tcPr>
            <w:tcW w:w="640" w:type="pct"/>
            <w:tcBorders>
              <w:top w:val="nil"/>
              <w:left w:val="nil"/>
              <w:right w:val="nil"/>
            </w:tcBorders>
          </w:tcPr>
          <w:p w14:paraId="68599550"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E</w:t>
            </w:r>
          </w:p>
        </w:tc>
        <w:tc>
          <w:tcPr>
            <w:tcW w:w="669" w:type="pct"/>
            <w:tcBorders>
              <w:top w:val="nil"/>
              <w:left w:val="nil"/>
              <w:right w:val="nil"/>
            </w:tcBorders>
          </w:tcPr>
          <w:p w14:paraId="4FC201B7"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Private</w:t>
            </w:r>
          </w:p>
        </w:tc>
        <w:tc>
          <w:tcPr>
            <w:tcW w:w="674" w:type="pct"/>
            <w:tcBorders>
              <w:top w:val="nil"/>
              <w:left w:val="nil"/>
              <w:right w:val="nil"/>
            </w:tcBorders>
          </w:tcPr>
          <w:p w14:paraId="60C8B9A5"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General</w:t>
            </w:r>
          </w:p>
        </w:tc>
        <w:tc>
          <w:tcPr>
            <w:tcW w:w="497" w:type="pct"/>
            <w:tcBorders>
              <w:top w:val="nil"/>
              <w:left w:val="nil"/>
              <w:right w:val="nil"/>
            </w:tcBorders>
          </w:tcPr>
          <w:p w14:paraId="0F86EBED"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3</w:t>
            </w:r>
          </w:p>
        </w:tc>
        <w:tc>
          <w:tcPr>
            <w:tcW w:w="587" w:type="pct"/>
            <w:tcBorders>
              <w:top w:val="nil"/>
              <w:left w:val="nil"/>
              <w:right w:val="nil"/>
            </w:tcBorders>
          </w:tcPr>
          <w:p w14:paraId="461595AD"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12</w:t>
            </w:r>
          </w:p>
        </w:tc>
        <w:tc>
          <w:tcPr>
            <w:tcW w:w="613" w:type="pct"/>
            <w:tcBorders>
              <w:top w:val="nil"/>
              <w:left w:val="nil"/>
              <w:right w:val="nil"/>
            </w:tcBorders>
          </w:tcPr>
          <w:p w14:paraId="451BD8A0"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81</w:t>
            </w:r>
          </w:p>
        </w:tc>
        <w:tc>
          <w:tcPr>
            <w:tcW w:w="753" w:type="pct"/>
            <w:tcBorders>
              <w:top w:val="nil"/>
              <w:left w:val="nil"/>
              <w:right w:val="nil"/>
            </w:tcBorders>
          </w:tcPr>
          <w:p w14:paraId="5852569A"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62</w:t>
            </w:r>
          </w:p>
        </w:tc>
        <w:tc>
          <w:tcPr>
            <w:tcW w:w="567" w:type="pct"/>
            <w:tcBorders>
              <w:top w:val="nil"/>
              <w:left w:val="nil"/>
              <w:right w:val="nil"/>
            </w:tcBorders>
          </w:tcPr>
          <w:p w14:paraId="69D14209"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19</w:t>
            </w:r>
          </w:p>
        </w:tc>
      </w:tr>
      <w:tr w:rsidR="008A0E33" w:rsidRPr="008A0E33" w14:paraId="78E84E19" w14:textId="77777777" w:rsidTr="000C4050">
        <w:trPr>
          <w:trHeight w:val="284"/>
        </w:trPr>
        <w:tc>
          <w:tcPr>
            <w:tcW w:w="640" w:type="pct"/>
            <w:tcBorders>
              <w:top w:val="nil"/>
              <w:left w:val="nil"/>
              <w:bottom w:val="single" w:sz="4" w:space="0" w:color="auto"/>
              <w:right w:val="nil"/>
            </w:tcBorders>
          </w:tcPr>
          <w:p w14:paraId="600B2C37"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F</w:t>
            </w:r>
          </w:p>
        </w:tc>
        <w:tc>
          <w:tcPr>
            <w:tcW w:w="669" w:type="pct"/>
            <w:tcBorders>
              <w:top w:val="nil"/>
              <w:left w:val="nil"/>
              <w:bottom w:val="single" w:sz="4" w:space="0" w:color="auto"/>
              <w:right w:val="nil"/>
            </w:tcBorders>
          </w:tcPr>
          <w:p w14:paraId="27AC2AC0"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Private</w:t>
            </w:r>
          </w:p>
        </w:tc>
        <w:tc>
          <w:tcPr>
            <w:tcW w:w="674" w:type="pct"/>
            <w:tcBorders>
              <w:top w:val="nil"/>
              <w:left w:val="nil"/>
              <w:bottom w:val="single" w:sz="4" w:space="0" w:color="auto"/>
              <w:right w:val="nil"/>
            </w:tcBorders>
          </w:tcPr>
          <w:p w14:paraId="12F0C964"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Technical</w:t>
            </w:r>
          </w:p>
        </w:tc>
        <w:tc>
          <w:tcPr>
            <w:tcW w:w="497" w:type="pct"/>
            <w:tcBorders>
              <w:top w:val="nil"/>
              <w:left w:val="nil"/>
              <w:bottom w:val="single" w:sz="4" w:space="0" w:color="auto"/>
              <w:right w:val="nil"/>
            </w:tcBorders>
          </w:tcPr>
          <w:p w14:paraId="3A6AB94D"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w:t>
            </w:r>
          </w:p>
        </w:tc>
        <w:tc>
          <w:tcPr>
            <w:tcW w:w="587" w:type="pct"/>
            <w:tcBorders>
              <w:top w:val="nil"/>
              <w:left w:val="nil"/>
              <w:bottom w:val="single" w:sz="4" w:space="0" w:color="auto"/>
              <w:right w:val="nil"/>
            </w:tcBorders>
          </w:tcPr>
          <w:p w14:paraId="2B538CC0" w14:textId="77777777" w:rsidR="000A27DC" w:rsidRPr="008A0E33" w:rsidRDefault="000A27DC" w:rsidP="0057484E">
            <w:pPr>
              <w:autoSpaceDE w:val="0"/>
              <w:autoSpaceDN w:val="0"/>
              <w:adjustRightInd w:val="0"/>
              <w:snapToGrid w:val="0"/>
              <w:ind w:firstLineChars="250" w:firstLine="500"/>
              <w:rPr>
                <w:rFonts w:eastAsia="AdvEPSTIM"/>
                <w:kern w:val="0"/>
                <w:sz w:val="20"/>
                <w:szCs w:val="20"/>
              </w:rPr>
            </w:pPr>
            <w:r w:rsidRPr="008A0E33">
              <w:rPr>
                <w:rFonts w:eastAsia="AdvEPSTIM"/>
                <w:kern w:val="0"/>
                <w:sz w:val="20"/>
                <w:szCs w:val="20"/>
              </w:rPr>
              <w:t>8</w:t>
            </w:r>
          </w:p>
        </w:tc>
        <w:tc>
          <w:tcPr>
            <w:tcW w:w="613" w:type="pct"/>
            <w:tcBorders>
              <w:top w:val="nil"/>
              <w:left w:val="nil"/>
              <w:bottom w:val="single" w:sz="4" w:space="0" w:color="auto"/>
              <w:right w:val="nil"/>
            </w:tcBorders>
          </w:tcPr>
          <w:p w14:paraId="3F4B6A0E"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54</w:t>
            </w:r>
          </w:p>
        </w:tc>
        <w:tc>
          <w:tcPr>
            <w:tcW w:w="753" w:type="pct"/>
            <w:tcBorders>
              <w:top w:val="nil"/>
              <w:left w:val="nil"/>
              <w:bottom w:val="single" w:sz="4" w:space="0" w:color="auto"/>
              <w:right w:val="nil"/>
            </w:tcBorders>
          </w:tcPr>
          <w:p w14:paraId="4B307FCA"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30</w:t>
            </w:r>
          </w:p>
        </w:tc>
        <w:tc>
          <w:tcPr>
            <w:tcW w:w="567" w:type="pct"/>
            <w:tcBorders>
              <w:top w:val="nil"/>
              <w:left w:val="nil"/>
              <w:bottom w:val="single" w:sz="4" w:space="0" w:color="auto"/>
              <w:right w:val="nil"/>
            </w:tcBorders>
          </w:tcPr>
          <w:p w14:paraId="1EA34705"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24</w:t>
            </w:r>
          </w:p>
        </w:tc>
      </w:tr>
      <w:tr w:rsidR="008A0E33" w:rsidRPr="008A0E33" w14:paraId="60D5B8CF" w14:textId="77777777" w:rsidTr="000C4050">
        <w:trPr>
          <w:trHeight w:val="284"/>
        </w:trPr>
        <w:tc>
          <w:tcPr>
            <w:tcW w:w="640" w:type="pct"/>
            <w:tcBorders>
              <w:top w:val="single" w:sz="4" w:space="0" w:color="auto"/>
              <w:left w:val="nil"/>
              <w:bottom w:val="single" w:sz="12" w:space="0" w:color="auto"/>
              <w:right w:val="nil"/>
            </w:tcBorders>
          </w:tcPr>
          <w:p w14:paraId="030919A2"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Total</w:t>
            </w:r>
          </w:p>
        </w:tc>
        <w:tc>
          <w:tcPr>
            <w:tcW w:w="669" w:type="pct"/>
            <w:tcBorders>
              <w:top w:val="single" w:sz="4" w:space="0" w:color="auto"/>
              <w:left w:val="nil"/>
              <w:bottom w:val="single" w:sz="12" w:space="0" w:color="auto"/>
              <w:right w:val="nil"/>
            </w:tcBorders>
          </w:tcPr>
          <w:p w14:paraId="0F291BC5" w14:textId="77777777" w:rsidR="000A27DC" w:rsidRPr="008A0E33" w:rsidRDefault="000A27DC" w:rsidP="0057484E">
            <w:pPr>
              <w:autoSpaceDE w:val="0"/>
              <w:autoSpaceDN w:val="0"/>
              <w:adjustRightInd w:val="0"/>
              <w:snapToGrid w:val="0"/>
              <w:jc w:val="center"/>
              <w:rPr>
                <w:rFonts w:eastAsia="AdvEPSTIM"/>
                <w:kern w:val="0"/>
                <w:sz w:val="20"/>
                <w:szCs w:val="20"/>
              </w:rPr>
            </w:pPr>
          </w:p>
        </w:tc>
        <w:tc>
          <w:tcPr>
            <w:tcW w:w="674" w:type="pct"/>
            <w:tcBorders>
              <w:top w:val="single" w:sz="4" w:space="0" w:color="auto"/>
              <w:left w:val="nil"/>
              <w:bottom w:val="single" w:sz="12" w:space="0" w:color="auto"/>
              <w:right w:val="nil"/>
            </w:tcBorders>
          </w:tcPr>
          <w:p w14:paraId="371B05B9" w14:textId="77777777" w:rsidR="000A27DC" w:rsidRPr="008A0E33" w:rsidRDefault="000A27DC" w:rsidP="0057484E">
            <w:pPr>
              <w:autoSpaceDE w:val="0"/>
              <w:autoSpaceDN w:val="0"/>
              <w:adjustRightInd w:val="0"/>
              <w:snapToGrid w:val="0"/>
              <w:jc w:val="center"/>
              <w:rPr>
                <w:rFonts w:eastAsia="AdvEPSTIM"/>
                <w:kern w:val="0"/>
                <w:sz w:val="20"/>
                <w:szCs w:val="20"/>
              </w:rPr>
            </w:pPr>
          </w:p>
        </w:tc>
        <w:tc>
          <w:tcPr>
            <w:tcW w:w="497" w:type="pct"/>
            <w:tcBorders>
              <w:top w:val="single" w:sz="4" w:space="0" w:color="auto"/>
              <w:left w:val="nil"/>
              <w:bottom w:val="single" w:sz="12" w:space="0" w:color="auto"/>
              <w:right w:val="nil"/>
            </w:tcBorders>
          </w:tcPr>
          <w:p w14:paraId="22B75AAF"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7</w:t>
            </w:r>
            <w:r w:rsidRPr="008A0E33">
              <w:rPr>
                <w:rFonts w:eastAsia="AdvEPSTIM" w:hint="eastAsia"/>
                <w:kern w:val="0"/>
                <w:sz w:val="20"/>
                <w:szCs w:val="20"/>
              </w:rPr>
              <w:t>2</w:t>
            </w:r>
          </w:p>
        </w:tc>
        <w:tc>
          <w:tcPr>
            <w:tcW w:w="587" w:type="pct"/>
            <w:tcBorders>
              <w:top w:val="single" w:sz="4" w:space="0" w:color="auto"/>
              <w:left w:val="nil"/>
              <w:bottom w:val="single" w:sz="12" w:space="0" w:color="auto"/>
              <w:right w:val="nil"/>
            </w:tcBorders>
          </w:tcPr>
          <w:p w14:paraId="6F1EA232" w14:textId="77777777" w:rsidR="000A27DC" w:rsidRPr="008A0E33" w:rsidRDefault="000A27DC" w:rsidP="0057484E">
            <w:pPr>
              <w:autoSpaceDE w:val="0"/>
              <w:autoSpaceDN w:val="0"/>
              <w:adjustRightInd w:val="0"/>
              <w:snapToGrid w:val="0"/>
              <w:ind w:firstLineChars="250" w:firstLine="500"/>
              <w:rPr>
                <w:rFonts w:eastAsia="AdvEPSTIM"/>
                <w:kern w:val="0"/>
                <w:sz w:val="20"/>
                <w:szCs w:val="20"/>
              </w:rPr>
            </w:pPr>
            <w:r w:rsidRPr="008A0E33">
              <w:rPr>
                <w:rFonts w:eastAsia="AdvEPSTIM"/>
                <w:kern w:val="0"/>
                <w:sz w:val="20"/>
                <w:szCs w:val="20"/>
              </w:rPr>
              <w:t>99</w:t>
            </w:r>
          </w:p>
        </w:tc>
        <w:tc>
          <w:tcPr>
            <w:tcW w:w="613" w:type="pct"/>
            <w:tcBorders>
              <w:top w:val="single" w:sz="4" w:space="0" w:color="auto"/>
              <w:left w:val="nil"/>
              <w:bottom w:val="single" w:sz="12" w:space="0" w:color="auto"/>
              <w:right w:val="nil"/>
            </w:tcBorders>
          </w:tcPr>
          <w:p w14:paraId="054141F7" w14:textId="77777777" w:rsidR="000A27DC" w:rsidRPr="008A0E33" w:rsidRDefault="000A27DC" w:rsidP="0057484E">
            <w:pPr>
              <w:autoSpaceDE w:val="0"/>
              <w:autoSpaceDN w:val="0"/>
              <w:adjustRightInd w:val="0"/>
              <w:snapToGrid w:val="0"/>
              <w:jc w:val="center"/>
              <w:rPr>
                <w:rFonts w:eastAsia="AdvEPSTIM"/>
                <w:kern w:val="0"/>
                <w:sz w:val="20"/>
                <w:szCs w:val="20"/>
              </w:rPr>
            </w:pPr>
            <w:r w:rsidRPr="008A0E33">
              <w:rPr>
                <w:rFonts w:eastAsia="AdvEPSTIM"/>
                <w:kern w:val="0"/>
                <w:sz w:val="20"/>
                <w:szCs w:val="20"/>
              </w:rPr>
              <w:t>634</w:t>
            </w:r>
          </w:p>
        </w:tc>
        <w:tc>
          <w:tcPr>
            <w:tcW w:w="753" w:type="pct"/>
            <w:tcBorders>
              <w:top w:val="single" w:sz="4" w:space="0" w:color="auto"/>
              <w:left w:val="nil"/>
              <w:bottom w:val="single" w:sz="12" w:space="0" w:color="auto"/>
              <w:right w:val="nil"/>
            </w:tcBorders>
          </w:tcPr>
          <w:p w14:paraId="338C667D" w14:textId="77777777" w:rsidR="000A27DC" w:rsidRPr="008A0E33" w:rsidRDefault="000A27DC" w:rsidP="0057484E">
            <w:pPr>
              <w:autoSpaceDE w:val="0"/>
              <w:autoSpaceDN w:val="0"/>
              <w:adjustRightInd w:val="0"/>
              <w:snapToGrid w:val="0"/>
              <w:ind w:firstLineChars="200" w:firstLine="400"/>
              <w:rPr>
                <w:rFonts w:eastAsia="AdvEPSTIM"/>
                <w:kern w:val="0"/>
                <w:sz w:val="20"/>
                <w:szCs w:val="20"/>
              </w:rPr>
            </w:pPr>
            <w:r w:rsidRPr="008A0E33">
              <w:rPr>
                <w:rFonts w:eastAsia="AdvEPSTIM"/>
                <w:kern w:val="0"/>
                <w:sz w:val="20"/>
                <w:szCs w:val="20"/>
              </w:rPr>
              <w:t>477</w:t>
            </w:r>
          </w:p>
        </w:tc>
        <w:tc>
          <w:tcPr>
            <w:tcW w:w="567" w:type="pct"/>
            <w:tcBorders>
              <w:top w:val="single" w:sz="4" w:space="0" w:color="auto"/>
              <w:left w:val="nil"/>
              <w:bottom w:val="single" w:sz="12" w:space="0" w:color="auto"/>
              <w:right w:val="nil"/>
            </w:tcBorders>
          </w:tcPr>
          <w:p w14:paraId="2C44A75F" w14:textId="77777777" w:rsidR="000A27DC" w:rsidRPr="008A0E33" w:rsidRDefault="000A27DC" w:rsidP="0057484E">
            <w:pPr>
              <w:autoSpaceDE w:val="0"/>
              <w:autoSpaceDN w:val="0"/>
              <w:adjustRightInd w:val="0"/>
              <w:snapToGrid w:val="0"/>
              <w:ind w:firstLineChars="150" w:firstLine="300"/>
              <w:rPr>
                <w:rFonts w:eastAsia="AdvEPSTIM"/>
                <w:kern w:val="0"/>
                <w:sz w:val="20"/>
                <w:szCs w:val="20"/>
              </w:rPr>
            </w:pPr>
            <w:r w:rsidRPr="008A0E33">
              <w:rPr>
                <w:rFonts w:eastAsia="AdvEPSTIM"/>
                <w:kern w:val="0"/>
                <w:sz w:val="20"/>
                <w:szCs w:val="20"/>
              </w:rPr>
              <w:t>157</w:t>
            </w:r>
          </w:p>
        </w:tc>
      </w:tr>
    </w:tbl>
    <w:p w14:paraId="021FBA1D" w14:textId="77777777" w:rsidR="000A27DC" w:rsidRPr="008A0E33" w:rsidRDefault="000A27DC" w:rsidP="0057484E">
      <w:pPr>
        <w:widowControl/>
        <w:rPr>
          <w:rFonts w:ascii="Times New Roman" w:hAnsi="Times New Roman" w:cs="Times New Roman"/>
          <w:b/>
          <w:bCs/>
          <w:kern w:val="0"/>
        </w:rPr>
        <w:sectPr w:rsidR="000A27DC" w:rsidRPr="008A0E33" w:rsidSect="004109D3">
          <w:footerReference w:type="even" r:id="rId12"/>
          <w:footerReference w:type="default" r:id="rId13"/>
          <w:pgSz w:w="11900" w:h="16840"/>
          <w:pgMar w:top="1440" w:right="1800" w:bottom="1440" w:left="1800" w:header="851" w:footer="992" w:gutter="0"/>
          <w:cols w:space="425"/>
          <w:docGrid w:type="lines" w:linePitch="400"/>
        </w:sectPr>
      </w:pPr>
    </w:p>
    <w:p w14:paraId="1633A701" w14:textId="77777777" w:rsidR="000A27DC" w:rsidRPr="008A0E33" w:rsidRDefault="000A27DC" w:rsidP="0057484E">
      <w:pPr>
        <w:pStyle w:val="ab"/>
        <w:keepNext/>
        <w:rPr>
          <w:b/>
          <w:sz w:val="24"/>
          <w:szCs w:val="24"/>
        </w:rPr>
      </w:pPr>
      <w:r w:rsidRPr="008A0E33">
        <w:rPr>
          <w:b/>
          <w:sz w:val="24"/>
          <w:szCs w:val="24"/>
        </w:rPr>
        <w:lastRenderedPageBreak/>
        <w:t xml:space="preserve">Table </w:t>
      </w:r>
      <w:r w:rsidRPr="008A0E33">
        <w:rPr>
          <w:rFonts w:hint="eastAsia"/>
          <w:b/>
          <w:sz w:val="24"/>
          <w:szCs w:val="24"/>
        </w:rPr>
        <w:t>4</w:t>
      </w:r>
      <w:r w:rsidRPr="008A0E33">
        <w:rPr>
          <w:b/>
          <w:sz w:val="24"/>
          <w:szCs w:val="24"/>
        </w:rPr>
        <w:t xml:space="preserve"> Means, Standard Deviations, and </w:t>
      </w:r>
      <w:proofErr w:type="spellStart"/>
      <w:r w:rsidRPr="008A0E33">
        <w:rPr>
          <w:b/>
          <w:sz w:val="24"/>
          <w:szCs w:val="24"/>
        </w:rPr>
        <w:t>Correlations</w:t>
      </w:r>
      <w:r w:rsidRPr="008A0E33">
        <w:rPr>
          <w:b/>
          <w:sz w:val="24"/>
          <w:szCs w:val="24"/>
          <w:vertAlign w:val="superscript"/>
        </w:rPr>
        <w:t>a</w:t>
      </w:r>
      <w:proofErr w:type="spellEnd"/>
    </w:p>
    <w:tbl>
      <w:tblPr>
        <w:tblW w:w="13714" w:type="dxa"/>
        <w:tblLayout w:type="fixed"/>
        <w:tblLook w:val="0620" w:firstRow="1" w:lastRow="0" w:firstColumn="0" w:lastColumn="0" w:noHBand="1" w:noVBand="1"/>
      </w:tblPr>
      <w:tblGrid>
        <w:gridCol w:w="2977"/>
        <w:gridCol w:w="851"/>
        <w:gridCol w:w="816"/>
        <w:gridCol w:w="907"/>
        <w:gridCol w:w="907"/>
        <w:gridCol w:w="907"/>
        <w:gridCol w:w="907"/>
        <w:gridCol w:w="907"/>
        <w:gridCol w:w="907"/>
        <w:gridCol w:w="907"/>
        <w:gridCol w:w="907"/>
        <w:gridCol w:w="907"/>
        <w:gridCol w:w="907"/>
      </w:tblGrid>
      <w:tr w:rsidR="008A0E33" w:rsidRPr="008A0E33" w14:paraId="0BD43195" w14:textId="77777777" w:rsidTr="00B40DF7">
        <w:trPr>
          <w:trHeight w:val="340"/>
        </w:trPr>
        <w:tc>
          <w:tcPr>
            <w:tcW w:w="2977" w:type="dxa"/>
            <w:tcBorders>
              <w:top w:val="single" w:sz="12" w:space="0" w:color="000000"/>
            </w:tcBorders>
            <w:vAlign w:val="center"/>
          </w:tcPr>
          <w:p w14:paraId="569A9B3E" w14:textId="77777777" w:rsidR="000A27DC" w:rsidRPr="008A0E33" w:rsidRDefault="000A27DC" w:rsidP="0057484E">
            <w:pPr>
              <w:autoSpaceDE w:val="0"/>
              <w:autoSpaceDN w:val="0"/>
              <w:adjustRightInd w:val="0"/>
              <w:snapToGrid w:val="0"/>
              <w:jc w:val="center"/>
              <w:rPr>
                <w:rFonts w:cs="Times New Roman"/>
                <w:b/>
                <w:kern w:val="0"/>
                <w:sz w:val="18"/>
                <w:szCs w:val="18"/>
              </w:rPr>
            </w:pPr>
            <w:r w:rsidRPr="008A0E33">
              <w:rPr>
                <w:rFonts w:cs="Times New Roman"/>
                <w:b/>
                <w:kern w:val="0"/>
                <w:sz w:val="18"/>
                <w:szCs w:val="18"/>
              </w:rPr>
              <w:t>Variables</w:t>
            </w:r>
          </w:p>
        </w:tc>
        <w:tc>
          <w:tcPr>
            <w:tcW w:w="851" w:type="dxa"/>
            <w:tcBorders>
              <w:top w:val="single" w:sz="12" w:space="0" w:color="000000"/>
            </w:tcBorders>
            <w:vAlign w:val="center"/>
          </w:tcPr>
          <w:p w14:paraId="04428E1E" w14:textId="77777777" w:rsidR="000A27DC" w:rsidRPr="008A0E33" w:rsidRDefault="000A27DC" w:rsidP="0057484E">
            <w:pPr>
              <w:autoSpaceDE w:val="0"/>
              <w:autoSpaceDN w:val="0"/>
              <w:adjustRightInd w:val="0"/>
              <w:snapToGrid w:val="0"/>
              <w:jc w:val="center"/>
              <w:rPr>
                <w:rFonts w:cs="Times New Roman"/>
                <w:b/>
                <w:kern w:val="0"/>
                <w:sz w:val="18"/>
                <w:szCs w:val="18"/>
              </w:rPr>
            </w:pPr>
            <w:r w:rsidRPr="008A0E33">
              <w:rPr>
                <w:rFonts w:cs="Times New Roman"/>
                <w:b/>
                <w:kern w:val="0"/>
                <w:sz w:val="18"/>
                <w:szCs w:val="18"/>
              </w:rPr>
              <w:t>Mean</w:t>
            </w:r>
          </w:p>
        </w:tc>
        <w:tc>
          <w:tcPr>
            <w:tcW w:w="816" w:type="dxa"/>
            <w:tcBorders>
              <w:top w:val="single" w:sz="12" w:space="0" w:color="000000"/>
            </w:tcBorders>
            <w:vAlign w:val="center"/>
          </w:tcPr>
          <w:p w14:paraId="0852BA4B" w14:textId="77777777" w:rsidR="000A27DC" w:rsidRPr="008A0E33" w:rsidRDefault="000A27DC" w:rsidP="0057484E">
            <w:pPr>
              <w:autoSpaceDE w:val="0"/>
              <w:autoSpaceDN w:val="0"/>
              <w:adjustRightInd w:val="0"/>
              <w:snapToGrid w:val="0"/>
              <w:jc w:val="center"/>
              <w:rPr>
                <w:rFonts w:cs="Times New Roman"/>
                <w:b/>
                <w:kern w:val="0"/>
                <w:sz w:val="18"/>
                <w:szCs w:val="18"/>
              </w:rPr>
            </w:pPr>
            <w:r w:rsidRPr="008A0E33">
              <w:rPr>
                <w:rFonts w:cs="Times New Roman"/>
                <w:b/>
                <w:kern w:val="0"/>
                <w:sz w:val="18"/>
                <w:szCs w:val="18"/>
              </w:rPr>
              <w:t>S.D.</w:t>
            </w:r>
          </w:p>
        </w:tc>
        <w:tc>
          <w:tcPr>
            <w:tcW w:w="907" w:type="dxa"/>
            <w:tcBorders>
              <w:top w:val="single" w:sz="12" w:space="0" w:color="000000"/>
            </w:tcBorders>
            <w:vAlign w:val="center"/>
          </w:tcPr>
          <w:p w14:paraId="68C174DC" w14:textId="77777777" w:rsidR="000A27DC" w:rsidRPr="008A0E33" w:rsidRDefault="000A27DC" w:rsidP="0057484E">
            <w:pPr>
              <w:autoSpaceDE w:val="0"/>
              <w:autoSpaceDN w:val="0"/>
              <w:adjustRightInd w:val="0"/>
              <w:snapToGrid w:val="0"/>
              <w:ind w:firstLine="217"/>
              <w:rPr>
                <w:rFonts w:cs="Times New Roman"/>
                <w:b/>
                <w:kern w:val="0"/>
                <w:sz w:val="18"/>
                <w:szCs w:val="18"/>
              </w:rPr>
            </w:pPr>
            <w:r w:rsidRPr="008A0E33">
              <w:rPr>
                <w:rFonts w:cs="Times New Roman"/>
                <w:b/>
                <w:kern w:val="0"/>
                <w:sz w:val="18"/>
                <w:szCs w:val="18"/>
              </w:rPr>
              <w:t>1</w:t>
            </w:r>
          </w:p>
        </w:tc>
        <w:tc>
          <w:tcPr>
            <w:tcW w:w="907" w:type="dxa"/>
            <w:tcBorders>
              <w:top w:val="single" w:sz="12" w:space="0" w:color="000000"/>
            </w:tcBorders>
            <w:vAlign w:val="center"/>
          </w:tcPr>
          <w:p w14:paraId="60ACFCCD" w14:textId="77777777" w:rsidR="000A27DC" w:rsidRPr="008A0E33" w:rsidRDefault="000A27DC" w:rsidP="0057484E">
            <w:pPr>
              <w:autoSpaceDE w:val="0"/>
              <w:autoSpaceDN w:val="0"/>
              <w:adjustRightInd w:val="0"/>
              <w:snapToGrid w:val="0"/>
              <w:ind w:firstLine="217"/>
              <w:jc w:val="center"/>
              <w:rPr>
                <w:rFonts w:cs="Times New Roman"/>
                <w:b/>
                <w:kern w:val="0"/>
                <w:sz w:val="18"/>
                <w:szCs w:val="18"/>
              </w:rPr>
            </w:pPr>
            <w:r w:rsidRPr="008A0E33">
              <w:rPr>
                <w:rFonts w:cs="Times New Roman"/>
                <w:b/>
                <w:kern w:val="0"/>
                <w:sz w:val="18"/>
                <w:szCs w:val="18"/>
              </w:rPr>
              <w:t>2</w:t>
            </w:r>
          </w:p>
        </w:tc>
        <w:tc>
          <w:tcPr>
            <w:tcW w:w="907" w:type="dxa"/>
            <w:tcBorders>
              <w:top w:val="single" w:sz="12" w:space="0" w:color="000000"/>
            </w:tcBorders>
            <w:vAlign w:val="center"/>
          </w:tcPr>
          <w:p w14:paraId="676B3F5A" w14:textId="77777777" w:rsidR="000A27DC" w:rsidRPr="008A0E33" w:rsidRDefault="000A27DC" w:rsidP="0057484E">
            <w:pPr>
              <w:autoSpaceDE w:val="0"/>
              <w:autoSpaceDN w:val="0"/>
              <w:adjustRightInd w:val="0"/>
              <w:snapToGrid w:val="0"/>
              <w:ind w:firstLine="217"/>
              <w:jc w:val="center"/>
              <w:rPr>
                <w:rFonts w:cs="Times New Roman"/>
                <w:b/>
                <w:kern w:val="0"/>
                <w:sz w:val="18"/>
                <w:szCs w:val="18"/>
              </w:rPr>
            </w:pPr>
            <w:r w:rsidRPr="008A0E33">
              <w:rPr>
                <w:rFonts w:cs="Times New Roman"/>
                <w:b/>
                <w:kern w:val="0"/>
                <w:sz w:val="18"/>
                <w:szCs w:val="18"/>
              </w:rPr>
              <w:t>3</w:t>
            </w:r>
          </w:p>
        </w:tc>
        <w:tc>
          <w:tcPr>
            <w:tcW w:w="907" w:type="dxa"/>
            <w:tcBorders>
              <w:top w:val="single" w:sz="12" w:space="0" w:color="000000"/>
            </w:tcBorders>
            <w:vAlign w:val="center"/>
          </w:tcPr>
          <w:p w14:paraId="186A5BB4" w14:textId="77777777" w:rsidR="000A27DC" w:rsidRPr="008A0E33" w:rsidRDefault="000A27DC" w:rsidP="0057484E">
            <w:pPr>
              <w:autoSpaceDE w:val="0"/>
              <w:autoSpaceDN w:val="0"/>
              <w:adjustRightInd w:val="0"/>
              <w:snapToGrid w:val="0"/>
              <w:ind w:firstLine="217"/>
              <w:jc w:val="center"/>
              <w:rPr>
                <w:rFonts w:cs="Times New Roman"/>
                <w:b/>
                <w:kern w:val="0"/>
                <w:sz w:val="18"/>
                <w:szCs w:val="18"/>
              </w:rPr>
            </w:pPr>
            <w:r w:rsidRPr="008A0E33">
              <w:rPr>
                <w:rFonts w:cs="Times New Roman"/>
                <w:b/>
                <w:kern w:val="0"/>
                <w:sz w:val="18"/>
                <w:szCs w:val="18"/>
              </w:rPr>
              <w:t>4</w:t>
            </w:r>
          </w:p>
        </w:tc>
        <w:tc>
          <w:tcPr>
            <w:tcW w:w="907" w:type="dxa"/>
            <w:tcBorders>
              <w:top w:val="single" w:sz="12" w:space="0" w:color="000000"/>
            </w:tcBorders>
            <w:vAlign w:val="center"/>
          </w:tcPr>
          <w:p w14:paraId="434CD378"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5</w:t>
            </w:r>
          </w:p>
        </w:tc>
        <w:tc>
          <w:tcPr>
            <w:tcW w:w="907" w:type="dxa"/>
            <w:tcBorders>
              <w:top w:val="single" w:sz="12" w:space="0" w:color="000000"/>
            </w:tcBorders>
            <w:vAlign w:val="center"/>
          </w:tcPr>
          <w:p w14:paraId="75597C94"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6</w:t>
            </w:r>
          </w:p>
        </w:tc>
        <w:tc>
          <w:tcPr>
            <w:tcW w:w="907" w:type="dxa"/>
            <w:tcBorders>
              <w:top w:val="single" w:sz="12" w:space="0" w:color="000000"/>
            </w:tcBorders>
            <w:vAlign w:val="center"/>
          </w:tcPr>
          <w:p w14:paraId="050D3FBE"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7</w:t>
            </w:r>
          </w:p>
        </w:tc>
        <w:tc>
          <w:tcPr>
            <w:tcW w:w="907" w:type="dxa"/>
            <w:tcBorders>
              <w:top w:val="single" w:sz="12" w:space="0" w:color="000000"/>
            </w:tcBorders>
            <w:vAlign w:val="center"/>
          </w:tcPr>
          <w:p w14:paraId="685306CE"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8</w:t>
            </w:r>
          </w:p>
        </w:tc>
        <w:tc>
          <w:tcPr>
            <w:tcW w:w="907" w:type="dxa"/>
            <w:tcBorders>
              <w:top w:val="single" w:sz="12" w:space="0" w:color="000000"/>
            </w:tcBorders>
            <w:vAlign w:val="center"/>
          </w:tcPr>
          <w:p w14:paraId="5439022C"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9</w:t>
            </w:r>
          </w:p>
        </w:tc>
        <w:tc>
          <w:tcPr>
            <w:tcW w:w="907" w:type="dxa"/>
            <w:tcBorders>
              <w:top w:val="single" w:sz="12" w:space="0" w:color="000000"/>
            </w:tcBorders>
            <w:vAlign w:val="center"/>
          </w:tcPr>
          <w:p w14:paraId="2A153D0F" w14:textId="77777777" w:rsidR="000A27DC" w:rsidRPr="008A0E33" w:rsidRDefault="000A27DC" w:rsidP="0057484E">
            <w:pPr>
              <w:autoSpaceDE w:val="0"/>
              <w:autoSpaceDN w:val="0"/>
              <w:adjustRightInd w:val="0"/>
              <w:snapToGrid w:val="0"/>
              <w:ind w:firstLine="108"/>
              <w:jc w:val="center"/>
              <w:rPr>
                <w:rFonts w:cs="Times New Roman"/>
                <w:b/>
                <w:kern w:val="0"/>
                <w:sz w:val="18"/>
                <w:szCs w:val="18"/>
              </w:rPr>
            </w:pPr>
            <w:r w:rsidRPr="008A0E33">
              <w:rPr>
                <w:rFonts w:cs="Times New Roman"/>
                <w:b/>
                <w:kern w:val="0"/>
                <w:sz w:val="18"/>
                <w:szCs w:val="18"/>
              </w:rPr>
              <w:t>10</w:t>
            </w:r>
          </w:p>
        </w:tc>
      </w:tr>
      <w:tr w:rsidR="008A0E33" w:rsidRPr="008A0E33" w14:paraId="6D9A9AE4" w14:textId="77777777" w:rsidTr="00B40DF7">
        <w:trPr>
          <w:trHeight w:val="340"/>
        </w:trPr>
        <w:tc>
          <w:tcPr>
            <w:tcW w:w="2977" w:type="dxa"/>
            <w:tcBorders>
              <w:top w:val="single" w:sz="12" w:space="0" w:color="000000"/>
            </w:tcBorders>
            <w:vAlign w:val="center"/>
          </w:tcPr>
          <w:p w14:paraId="667EDF64" w14:textId="73E5C050"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 xml:space="preserve">1. </w:t>
            </w:r>
            <w:r w:rsidR="001B01E9" w:rsidRPr="008A0E33">
              <w:rPr>
                <w:rFonts w:cs="Times New Roman"/>
                <w:kern w:val="0"/>
                <w:sz w:val="18"/>
                <w:szCs w:val="18"/>
              </w:rPr>
              <w:t>Public university</w:t>
            </w:r>
          </w:p>
        </w:tc>
        <w:tc>
          <w:tcPr>
            <w:tcW w:w="851" w:type="dxa"/>
            <w:tcBorders>
              <w:top w:val="single" w:sz="12" w:space="0" w:color="000000"/>
            </w:tcBorders>
            <w:vAlign w:val="center"/>
          </w:tcPr>
          <w:p w14:paraId="2C4CFD5C"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.80</w:t>
            </w:r>
          </w:p>
        </w:tc>
        <w:tc>
          <w:tcPr>
            <w:tcW w:w="816" w:type="dxa"/>
            <w:tcBorders>
              <w:top w:val="single" w:sz="12" w:space="0" w:color="000000"/>
            </w:tcBorders>
            <w:vAlign w:val="center"/>
          </w:tcPr>
          <w:p w14:paraId="20A079D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.40</w:t>
            </w:r>
          </w:p>
        </w:tc>
        <w:tc>
          <w:tcPr>
            <w:tcW w:w="907" w:type="dxa"/>
            <w:tcBorders>
              <w:top w:val="single" w:sz="12" w:space="0" w:color="000000"/>
            </w:tcBorders>
            <w:vAlign w:val="center"/>
          </w:tcPr>
          <w:p w14:paraId="476E97D3"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78C3635F"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7AC83F06"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6F26D1C5"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3F4A77DD"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26E53885"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42B61AFC"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5F361920"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396EC9D3"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tcBorders>
              <w:top w:val="single" w:sz="12" w:space="0" w:color="000000"/>
            </w:tcBorders>
            <w:vAlign w:val="center"/>
          </w:tcPr>
          <w:p w14:paraId="6A417E63"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799323D3" w14:textId="77777777" w:rsidTr="00B40DF7">
        <w:trPr>
          <w:trHeight w:val="340"/>
        </w:trPr>
        <w:tc>
          <w:tcPr>
            <w:tcW w:w="2977" w:type="dxa"/>
            <w:vAlign w:val="center"/>
          </w:tcPr>
          <w:p w14:paraId="5F35117D" w14:textId="5D085E45"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2. Department</w:t>
            </w:r>
            <w:r w:rsidR="00FB6605" w:rsidRPr="008A0E33">
              <w:rPr>
                <w:rFonts w:cs="Times New Roman"/>
                <w:kern w:val="0"/>
                <w:sz w:val="18"/>
                <w:szCs w:val="18"/>
              </w:rPr>
              <w:t>al</w:t>
            </w:r>
            <w:r w:rsidRPr="008A0E33">
              <w:rPr>
                <w:rFonts w:cs="Times New Roman"/>
                <w:kern w:val="0"/>
                <w:sz w:val="18"/>
                <w:szCs w:val="18"/>
              </w:rPr>
              <w:t xml:space="preserve"> size</w:t>
            </w:r>
          </w:p>
        </w:tc>
        <w:tc>
          <w:tcPr>
            <w:tcW w:w="851" w:type="dxa"/>
            <w:vAlign w:val="center"/>
          </w:tcPr>
          <w:p w14:paraId="11ECE193"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21.61</w:t>
            </w:r>
          </w:p>
        </w:tc>
        <w:tc>
          <w:tcPr>
            <w:tcW w:w="816" w:type="dxa"/>
            <w:vAlign w:val="center"/>
          </w:tcPr>
          <w:p w14:paraId="47966CD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12.28</w:t>
            </w:r>
          </w:p>
        </w:tc>
        <w:tc>
          <w:tcPr>
            <w:tcW w:w="907" w:type="dxa"/>
            <w:tcBorders>
              <w:top w:val="nil"/>
              <w:left w:val="nil"/>
              <w:bottom w:val="nil"/>
              <w:right w:val="nil"/>
            </w:tcBorders>
            <w:shd w:val="clear" w:color="auto" w:fill="auto"/>
            <w:vAlign w:val="center"/>
          </w:tcPr>
          <w:p w14:paraId="70DB376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.116</w:t>
            </w:r>
          </w:p>
        </w:tc>
        <w:tc>
          <w:tcPr>
            <w:tcW w:w="907" w:type="dxa"/>
            <w:vAlign w:val="center"/>
          </w:tcPr>
          <w:p w14:paraId="24E9FB9C"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F664D57"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52B1C8E3"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097494D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587ED6EB"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1507D4E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687F9275"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01228BF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25604711"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48BC9721" w14:textId="77777777" w:rsidTr="00B40DF7">
        <w:trPr>
          <w:trHeight w:val="340"/>
        </w:trPr>
        <w:tc>
          <w:tcPr>
            <w:tcW w:w="2977" w:type="dxa"/>
            <w:vAlign w:val="center"/>
          </w:tcPr>
          <w:p w14:paraId="1CD25A64" w14:textId="5EAE52AC"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3. Engineer</w:t>
            </w:r>
            <w:r w:rsidR="009B6FA9">
              <w:rPr>
                <w:rFonts w:cs="Times New Roman"/>
                <w:kern w:val="0"/>
                <w:sz w:val="18"/>
                <w:szCs w:val="18"/>
              </w:rPr>
              <w:t>ing</w:t>
            </w:r>
            <w:r w:rsidRPr="008A0E33">
              <w:rPr>
                <w:rFonts w:cs="Times New Roman"/>
                <w:kern w:val="0"/>
                <w:sz w:val="18"/>
                <w:szCs w:val="18"/>
              </w:rPr>
              <w:t xml:space="preserve"> college</w:t>
            </w:r>
          </w:p>
        </w:tc>
        <w:tc>
          <w:tcPr>
            <w:tcW w:w="851" w:type="dxa"/>
            <w:vAlign w:val="center"/>
          </w:tcPr>
          <w:p w14:paraId="4CE26C7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.54</w:t>
            </w:r>
          </w:p>
        </w:tc>
        <w:tc>
          <w:tcPr>
            <w:tcW w:w="816" w:type="dxa"/>
            <w:vAlign w:val="center"/>
          </w:tcPr>
          <w:p w14:paraId="25671B2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.50</w:t>
            </w:r>
          </w:p>
        </w:tc>
        <w:tc>
          <w:tcPr>
            <w:tcW w:w="907" w:type="dxa"/>
            <w:tcBorders>
              <w:top w:val="nil"/>
              <w:left w:val="nil"/>
              <w:bottom w:val="nil"/>
              <w:right w:val="nil"/>
            </w:tcBorders>
            <w:shd w:val="clear" w:color="auto" w:fill="auto"/>
            <w:vAlign w:val="center"/>
          </w:tcPr>
          <w:p w14:paraId="7F892A16"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-.317**</w:t>
            </w:r>
          </w:p>
        </w:tc>
        <w:tc>
          <w:tcPr>
            <w:tcW w:w="907" w:type="dxa"/>
            <w:tcBorders>
              <w:top w:val="nil"/>
              <w:left w:val="nil"/>
              <w:bottom w:val="nil"/>
              <w:right w:val="nil"/>
            </w:tcBorders>
            <w:shd w:val="clear" w:color="auto" w:fill="auto"/>
            <w:vAlign w:val="center"/>
          </w:tcPr>
          <w:p w14:paraId="4C20916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.217*</w:t>
            </w:r>
          </w:p>
        </w:tc>
        <w:tc>
          <w:tcPr>
            <w:tcW w:w="907" w:type="dxa"/>
            <w:vAlign w:val="center"/>
          </w:tcPr>
          <w:p w14:paraId="1877806D"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B86A52C"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77B5F14"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12FB50CB"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4E573D02"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03CC5796"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5148D182"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719A5505"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5091BFC9" w14:textId="77777777" w:rsidTr="00B40DF7">
        <w:trPr>
          <w:trHeight w:val="340"/>
        </w:trPr>
        <w:tc>
          <w:tcPr>
            <w:tcW w:w="2977" w:type="dxa"/>
            <w:vAlign w:val="center"/>
          </w:tcPr>
          <w:p w14:paraId="05FE9FA3"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4. Science college</w:t>
            </w:r>
          </w:p>
        </w:tc>
        <w:tc>
          <w:tcPr>
            <w:tcW w:w="851" w:type="dxa"/>
            <w:vAlign w:val="center"/>
          </w:tcPr>
          <w:p w14:paraId="143EF11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.13</w:t>
            </w:r>
          </w:p>
        </w:tc>
        <w:tc>
          <w:tcPr>
            <w:tcW w:w="816" w:type="dxa"/>
            <w:vAlign w:val="center"/>
          </w:tcPr>
          <w:p w14:paraId="4DB457D3"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.34</w:t>
            </w:r>
          </w:p>
        </w:tc>
        <w:tc>
          <w:tcPr>
            <w:tcW w:w="907" w:type="dxa"/>
            <w:tcBorders>
              <w:top w:val="nil"/>
              <w:left w:val="nil"/>
              <w:bottom w:val="nil"/>
              <w:right w:val="nil"/>
            </w:tcBorders>
            <w:shd w:val="clear" w:color="auto" w:fill="auto"/>
            <w:vAlign w:val="center"/>
          </w:tcPr>
          <w:p w14:paraId="1A9A0A47"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-.028</w:t>
            </w:r>
          </w:p>
        </w:tc>
        <w:tc>
          <w:tcPr>
            <w:tcW w:w="907" w:type="dxa"/>
            <w:tcBorders>
              <w:top w:val="nil"/>
              <w:left w:val="nil"/>
              <w:bottom w:val="nil"/>
              <w:right w:val="nil"/>
            </w:tcBorders>
            <w:shd w:val="clear" w:color="auto" w:fill="auto"/>
            <w:vAlign w:val="center"/>
          </w:tcPr>
          <w:p w14:paraId="22890A5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0.196</w:t>
            </w:r>
          </w:p>
        </w:tc>
        <w:tc>
          <w:tcPr>
            <w:tcW w:w="907" w:type="dxa"/>
            <w:tcBorders>
              <w:top w:val="nil"/>
              <w:left w:val="nil"/>
              <w:bottom w:val="nil"/>
              <w:right w:val="nil"/>
            </w:tcBorders>
            <w:shd w:val="clear" w:color="auto" w:fill="auto"/>
            <w:vAlign w:val="center"/>
          </w:tcPr>
          <w:p w14:paraId="7E5F004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-.417***</w:t>
            </w:r>
          </w:p>
        </w:tc>
        <w:tc>
          <w:tcPr>
            <w:tcW w:w="907" w:type="dxa"/>
            <w:vAlign w:val="center"/>
          </w:tcPr>
          <w:p w14:paraId="1D998420"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256E7041"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18D54309"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48796671"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745BE366"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042FC4E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7A1ADB5"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02927D64" w14:textId="77777777" w:rsidTr="00B40DF7">
        <w:trPr>
          <w:trHeight w:val="340"/>
        </w:trPr>
        <w:tc>
          <w:tcPr>
            <w:tcW w:w="2977" w:type="dxa"/>
            <w:vAlign w:val="center"/>
          </w:tcPr>
          <w:p w14:paraId="0277635B"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5. Life Sci. and Med. college</w:t>
            </w:r>
          </w:p>
        </w:tc>
        <w:tc>
          <w:tcPr>
            <w:tcW w:w="851" w:type="dxa"/>
            <w:vAlign w:val="center"/>
          </w:tcPr>
          <w:p w14:paraId="392B4BA9"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.26</w:t>
            </w:r>
          </w:p>
        </w:tc>
        <w:tc>
          <w:tcPr>
            <w:tcW w:w="816" w:type="dxa"/>
            <w:vAlign w:val="center"/>
          </w:tcPr>
          <w:p w14:paraId="4D0275A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.44</w:t>
            </w:r>
          </w:p>
        </w:tc>
        <w:tc>
          <w:tcPr>
            <w:tcW w:w="907" w:type="dxa"/>
            <w:tcBorders>
              <w:top w:val="nil"/>
              <w:left w:val="nil"/>
              <w:bottom w:val="nil"/>
              <w:right w:val="nil"/>
            </w:tcBorders>
            <w:shd w:val="clear" w:color="auto" w:fill="auto"/>
            <w:vAlign w:val="center"/>
          </w:tcPr>
          <w:p w14:paraId="7269522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.300**</w:t>
            </w:r>
          </w:p>
        </w:tc>
        <w:tc>
          <w:tcPr>
            <w:tcW w:w="907" w:type="dxa"/>
            <w:tcBorders>
              <w:top w:val="nil"/>
              <w:left w:val="nil"/>
              <w:bottom w:val="nil"/>
              <w:right w:val="nil"/>
            </w:tcBorders>
            <w:shd w:val="clear" w:color="auto" w:fill="auto"/>
            <w:vAlign w:val="center"/>
          </w:tcPr>
          <w:p w14:paraId="4D826A8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-.403***</w:t>
            </w:r>
          </w:p>
        </w:tc>
        <w:tc>
          <w:tcPr>
            <w:tcW w:w="907" w:type="dxa"/>
            <w:tcBorders>
              <w:top w:val="nil"/>
              <w:left w:val="nil"/>
              <w:bottom w:val="nil"/>
              <w:right w:val="nil"/>
            </w:tcBorders>
            <w:shd w:val="clear" w:color="auto" w:fill="auto"/>
            <w:vAlign w:val="center"/>
          </w:tcPr>
          <w:p w14:paraId="1F3CAEE8"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-.641***</w:t>
            </w:r>
          </w:p>
        </w:tc>
        <w:tc>
          <w:tcPr>
            <w:tcW w:w="907" w:type="dxa"/>
            <w:tcBorders>
              <w:top w:val="nil"/>
              <w:left w:val="nil"/>
              <w:bottom w:val="nil"/>
              <w:right w:val="nil"/>
            </w:tcBorders>
            <w:shd w:val="clear" w:color="auto" w:fill="auto"/>
            <w:vAlign w:val="center"/>
          </w:tcPr>
          <w:p w14:paraId="760EBE2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-.232*</w:t>
            </w:r>
          </w:p>
        </w:tc>
        <w:tc>
          <w:tcPr>
            <w:tcW w:w="907" w:type="dxa"/>
            <w:vAlign w:val="center"/>
          </w:tcPr>
          <w:p w14:paraId="2EA240D4"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219DCA54"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D67ACAB"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4D57DFC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F30D652"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4F9AD963"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1F1AE7D4" w14:textId="77777777" w:rsidTr="00B40DF7">
        <w:trPr>
          <w:trHeight w:val="340"/>
        </w:trPr>
        <w:tc>
          <w:tcPr>
            <w:tcW w:w="2977" w:type="dxa"/>
            <w:vAlign w:val="center"/>
          </w:tcPr>
          <w:p w14:paraId="48E11150" w14:textId="0275834D" w:rsidR="000A27DC" w:rsidRPr="008A0E33" w:rsidRDefault="003F07A1" w:rsidP="0057484E">
            <w:pPr>
              <w:autoSpaceDE w:val="0"/>
              <w:autoSpaceDN w:val="0"/>
              <w:adjustRightInd w:val="0"/>
              <w:snapToGrid w:val="0"/>
              <w:jc w:val="both"/>
              <w:rPr>
                <w:rFonts w:cs="Times New Roman"/>
                <w:kern w:val="0"/>
                <w:sz w:val="18"/>
                <w:szCs w:val="18"/>
              </w:rPr>
            </w:pPr>
            <w:r w:rsidRPr="008A0E33">
              <w:rPr>
                <w:rFonts w:eastAsia="標楷體" w:cs="Times New Roman"/>
                <w:sz w:val="18"/>
                <w:szCs w:val="18"/>
              </w:rPr>
              <w:t>6. Organizational munificence</w:t>
            </w:r>
          </w:p>
        </w:tc>
        <w:tc>
          <w:tcPr>
            <w:tcW w:w="851" w:type="dxa"/>
            <w:vAlign w:val="center"/>
          </w:tcPr>
          <w:p w14:paraId="7D61F57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30.67</w:t>
            </w:r>
          </w:p>
        </w:tc>
        <w:tc>
          <w:tcPr>
            <w:tcW w:w="816" w:type="dxa"/>
            <w:vAlign w:val="center"/>
          </w:tcPr>
          <w:p w14:paraId="3211D68E"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5.10</w:t>
            </w:r>
          </w:p>
        </w:tc>
        <w:tc>
          <w:tcPr>
            <w:tcW w:w="907" w:type="dxa"/>
            <w:tcBorders>
              <w:top w:val="nil"/>
              <w:left w:val="nil"/>
              <w:bottom w:val="nil"/>
              <w:right w:val="nil"/>
            </w:tcBorders>
            <w:shd w:val="clear" w:color="auto" w:fill="auto"/>
            <w:vAlign w:val="center"/>
          </w:tcPr>
          <w:p w14:paraId="7160CBA4"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-.200*</w:t>
            </w:r>
          </w:p>
        </w:tc>
        <w:tc>
          <w:tcPr>
            <w:tcW w:w="907" w:type="dxa"/>
            <w:tcBorders>
              <w:top w:val="nil"/>
              <w:left w:val="nil"/>
              <w:bottom w:val="nil"/>
              <w:right w:val="nil"/>
            </w:tcBorders>
            <w:shd w:val="clear" w:color="auto" w:fill="auto"/>
            <w:vAlign w:val="center"/>
          </w:tcPr>
          <w:p w14:paraId="29714C6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-0.053</w:t>
            </w:r>
          </w:p>
        </w:tc>
        <w:tc>
          <w:tcPr>
            <w:tcW w:w="907" w:type="dxa"/>
            <w:tcBorders>
              <w:top w:val="nil"/>
              <w:left w:val="nil"/>
              <w:bottom w:val="nil"/>
              <w:right w:val="nil"/>
            </w:tcBorders>
            <w:shd w:val="clear" w:color="auto" w:fill="auto"/>
            <w:vAlign w:val="center"/>
          </w:tcPr>
          <w:p w14:paraId="7A8D3F78"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0.084</w:t>
            </w:r>
          </w:p>
        </w:tc>
        <w:tc>
          <w:tcPr>
            <w:tcW w:w="907" w:type="dxa"/>
            <w:tcBorders>
              <w:top w:val="nil"/>
              <w:left w:val="nil"/>
              <w:bottom w:val="nil"/>
              <w:right w:val="nil"/>
            </w:tcBorders>
            <w:shd w:val="clear" w:color="auto" w:fill="auto"/>
            <w:vAlign w:val="center"/>
          </w:tcPr>
          <w:p w14:paraId="17C8CAF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0.015</w:t>
            </w:r>
          </w:p>
        </w:tc>
        <w:tc>
          <w:tcPr>
            <w:tcW w:w="907" w:type="dxa"/>
            <w:tcBorders>
              <w:top w:val="nil"/>
              <w:left w:val="nil"/>
              <w:bottom w:val="nil"/>
              <w:right w:val="nil"/>
            </w:tcBorders>
            <w:shd w:val="clear" w:color="auto" w:fill="auto"/>
            <w:vAlign w:val="center"/>
          </w:tcPr>
          <w:p w14:paraId="0D1E4C3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0.083</w:t>
            </w:r>
          </w:p>
        </w:tc>
        <w:tc>
          <w:tcPr>
            <w:tcW w:w="907" w:type="dxa"/>
            <w:vAlign w:val="center"/>
          </w:tcPr>
          <w:p w14:paraId="5E5E39C3"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5FDAC3A2"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668FF6DD"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BFE7465"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2BC4270D"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5B8FA352" w14:textId="77777777" w:rsidTr="00B40DF7">
        <w:trPr>
          <w:trHeight w:val="340"/>
        </w:trPr>
        <w:tc>
          <w:tcPr>
            <w:tcW w:w="2977" w:type="dxa"/>
            <w:vAlign w:val="center"/>
          </w:tcPr>
          <w:p w14:paraId="663C7C24" w14:textId="77777777" w:rsidR="000A27DC" w:rsidRPr="008A0E33" w:rsidRDefault="000A27DC" w:rsidP="0057484E">
            <w:pPr>
              <w:snapToGrid w:val="0"/>
              <w:ind w:left="150" w:hanging="150"/>
              <w:jc w:val="both"/>
              <w:rPr>
                <w:rFonts w:eastAsia="標楷體" w:cs="Times New Roman"/>
                <w:sz w:val="18"/>
                <w:szCs w:val="18"/>
              </w:rPr>
            </w:pPr>
            <w:r w:rsidRPr="008A0E33">
              <w:rPr>
                <w:rFonts w:cs="Times New Roman"/>
                <w:kern w:val="0"/>
                <w:sz w:val="18"/>
                <w:szCs w:val="18"/>
              </w:rPr>
              <w:t xml:space="preserve">7. </w:t>
            </w:r>
            <w:r w:rsidRPr="008A0E33">
              <w:rPr>
                <w:rFonts w:eastAsia="標楷體" w:cs="Times New Roman"/>
                <w:sz w:val="18"/>
                <w:szCs w:val="18"/>
              </w:rPr>
              <w:t>Organizational</w:t>
            </w:r>
            <w:r w:rsidRPr="008A0E33">
              <w:rPr>
                <w:rFonts w:eastAsia="AdvEPSTIM" w:cs="Times New Roman"/>
                <w:kern w:val="0"/>
                <w:sz w:val="18"/>
                <w:szCs w:val="18"/>
              </w:rPr>
              <w:t xml:space="preserve"> flexibility</w:t>
            </w:r>
          </w:p>
        </w:tc>
        <w:tc>
          <w:tcPr>
            <w:tcW w:w="851" w:type="dxa"/>
            <w:vAlign w:val="center"/>
          </w:tcPr>
          <w:p w14:paraId="39735FE6"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13.45</w:t>
            </w:r>
          </w:p>
        </w:tc>
        <w:tc>
          <w:tcPr>
            <w:tcW w:w="816" w:type="dxa"/>
            <w:vAlign w:val="center"/>
          </w:tcPr>
          <w:p w14:paraId="1A32C6D6"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3.91</w:t>
            </w:r>
          </w:p>
        </w:tc>
        <w:tc>
          <w:tcPr>
            <w:tcW w:w="907" w:type="dxa"/>
            <w:tcBorders>
              <w:top w:val="nil"/>
              <w:left w:val="nil"/>
              <w:bottom w:val="nil"/>
              <w:right w:val="nil"/>
            </w:tcBorders>
            <w:shd w:val="clear" w:color="auto" w:fill="auto"/>
            <w:vAlign w:val="center"/>
          </w:tcPr>
          <w:p w14:paraId="2902AFC6" w14:textId="77777777" w:rsidR="000A27DC" w:rsidRPr="008A0E33" w:rsidRDefault="000A27DC" w:rsidP="0057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cs="Times New Roman"/>
                <w:kern w:val="0"/>
                <w:sz w:val="18"/>
                <w:szCs w:val="18"/>
              </w:rPr>
            </w:pPr>
            <w:r w:rsidRPr="008A0E33">
              <w:rPr>
                <w:rFonts w:cs="Times New Roman"/>
                <w:sz w:val="18"/>
                <w:szCs w:val="18"/>
              </w:rPr>
              <w:t>-.149</w:t>
            </w:r>
          </w:p>
        </w:tc>
        <w:tc>
          <w:tcPr>
            <w:tcW w:w="907" w:type="dxa"/>
            <w:tcBorders>
              <w:top w:val="nil"/>
              <w:left w:val="nil"/>
              <w:bottom w:val="nil"/>
              <w:right w:val="nil"/>
            </w:tcBorders>
            <w:shd w:val="clear" w:color="auto" w:fill="auto"/>
            <w:vAlign w:val="center"/>
          </w:tcPr>
          <w:p w14:paraId="671E02F6" w14:textId="77777777" w:rsidR="000A27DC" w:rsidRPr="008A0E33" w:rsidRDefault="000A27DC" w:rsidP="0057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cs="Times New Roman"/>
                <w:kern w:val="0"/>
                <w:sz w:val="18"/>
                <w:szCs w:val="18"/>
              </w:rPr>
            </w:pPr>
            <w:r w:rsidRPr="008A0E33">
              <w:rPr>
                <w:rFonts w:cs="Times New Roman"/>
                <w:sz w:val="18"/>
                <w:szCs w:val="18"/>
              </w:rPr>
              <w:t>-0.193</w:t>
            </w:r>
          </w:p>
        </w:tc>
        <w:tc>
          <w:tcPr>
            <w:tcW w:w="907" w:type="dxa"/>
            <w:tcBorders>
              <w:top w:val="nil"/>
              <w:left w:val="nil"/>
              <w:bottom w:val="nil"/>
              <w:right w:val="nil"/>
            </w:tcBorders>
            <w:shd w:val="clear" w:color="auto" w:fill="auto"/>
            <w:vAlign w:val="center"/>
          </w:tcPr>
          <w:p w14:paraId="056494E0" w14:textId="77777777" w:rsidR="000A27DC" w:rsidRPr="008A0E33" w:rsidRDefault="000A27DC" w:rsidP="0057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cs="Times New Roman"/>
                <w:kern w:val="0"/>
                <w:sz w:val="18"/>
                <w:szCs w:val="18"/>
              </w:rPr>
            </w:pPr>
            <w:r w:rsidRPr="008A0E33">
              <w:rPr>
                <w:rFonts w:cs="Times New Roman"/>
                <w:sz w:val="18"/>
                <w:szCs w:val="18"/>
              </w:rPr>
              <w:t>-0.062</w:t>
            </w:r>
          </w:p>
        </w:tc>
        <w:tc>
          <w:tcPr>
            <w:tcW w:w="907" w:type="dxa"/>
            <w:tcBorders>
              <w:top w:val="nil"/>
              <w:left w:val="nil"/>
              <w:bottom w:val="nil"/>
              <w:right w:val="nil"/>
            </w:tcBorders>
            <w:shd w:val="clear" w:color="auto" w:fill="auto"/>
            <w:vAlign w:val="center"/>
          </w:tcPr>
          <w:p w14:paraId="7EB0125D" w14:textId="77777777" w:rsidR="000A27DC" w:rsidRPr="008A0E33" w:rsidRDefault="000A27DC" w:rsidP="0057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cs="Times New Roman"/>
                <w:kern w:val="0"/>
                <w:sz w:val="18"/>
                <w:szCs w:val="18"/>
              </w:rPr>
            </w:pPr>
            <w:r w:rsidRPr="008A0E33">
              <w:rPr>
                <w:rFonts w:cs="Times New Roman"/>
                <w:sz w:val="18"/>
                <w:szCs w:val="18"/>
              </w:rPr>
              <w:t>-0.079</w:t>
            </w:r>
          </w:p>
        </w:tc>
        <w:tc>
          <w:tcPr>
            <w:tcW w:w="907" w:type="dxa"/>
            <w:tcBorders>
              <w:top w:val="nil"/>
              <w:left w:val="nil"/>
              <w:bottom w:val="nil"/>
              <w:right w:val="nil"/>
            </w:tcBorders>
            <w:shd w:val="clear" w:color="auto" w:fill="auto"/>
            <w:vAlign w:val="center"/>
          </w:tcPr>
          <w:p w14:paraId="43BD7471" w14:textId="77777777" w:rsidR="000A27DC" w:rsidRPr="008A0E33" w:rsidRDefault="000A27DC" w:rsidP="00574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napToGrid w:val="0"/>
              <w:jc w:val="center"/>
              <w:rPr>
                <w:rFonts w:cs="Times New Roman"/>
                <w:kern w:val="0"/>
                <w:sz w:val="18"/>
                <w:szCs w:val="18"/>
              </w:rPr>
            </w:pPr>
            <w:r w:rsidRPr="008A0E33">
              <w:rPr>
                <w:rFonts w:cs="Times New Roman"/>
                <w:sz w:val="18"/>
                <w:szCs w:val="18"/>
              </w:rPr>
              <w:t>.284**</w:t>
            </w:r>
          </w:p>
        </w:tc>
        <w:tc>
          <w:tcPr>
            <w:tcW w:w="907" w:type="dxa"/>
            <w:tcBorders>
              <w:top w:val="nil"/>
              <w:left w:val="nil"/>
              <w:bottom w:val="nil"/>
              <w:right w:val="nil"/>
            </w:tcBorders>
            <w:shd w:val="clear" w:color="auto" w:fill="auto"/>
            <w:vAlign w:val="center"/>
          </w:tcPr>
          <w:p w14:paraId="5628FA3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.737***</w:t>
            </w:r>
          </w:p>
        </w:tc>
        <w:tc>
          <w:tcPr>
            <w:tcW w:w="907" w:type="dxa"/>
            <w:vAlign w:val="center"/>
          </w:tcPr>
          <w:p w14:paraId="7D14617A"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11EC806E"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3907C039"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79661063"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6A84866D" w14:textId="77777777" w:rsidTr="00B40DF7">
        <w:trPr>
          <w:trHeight w:val="340"/>
        </w:trPr>
        <w:tc>
          <w:tcPr>
            <w:tcW w:w="2977" w:type="dxa"/>
            <w:vAlign w:val="center"/>
          </w:tcPr>
          <w:p w14:paraId="30795649"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8. Knowledge creation</w:t>
            </w:r>
          </w:p>
        </w:tc>
        <w:tc>
          <w:tcPr>
            <w:tcW w:w="851" w:type="dxa"/>
            <w:vAlign w:val="center"/>
          </w:tcPr>
          <w:p w14:paraId="39EFEBA9"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35.81</w:t>
            </w:r>
          </w:p>
        </w:tc>
        <w:tc>
          <w:tcPr>
            <w:tcW w:w="816" w:type="dxa"/>
            <w:vAlign w:val="center"/>
          </w:tcPr>
          <w:p w14:paraId="443094A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3.37</w:t>
            </w:r>
          </w:p>
        </w:tc>
        <w:tc>
          <w:tcPr>
            <w:tcW w:w="907" w:type="dxa"/>
            <w:tcBorders>
              <w:top w:val="nil"/>
              <w:left w:val="nil"/>
              <w:bottom w:val="nil"/>
              <w:right w:val="nil"/>
            </w:tcBorders>
            <w:shd w:val="clear" w:color="auto" w:fill="auto"/>
            <w:vAlign w:val="center"/>
          </w:tcPr>
          <w:p w14:paraId="16C29CF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-.184</w:t>
            </w:r>
          </w:p>
        </w:tc>
        <w:tc>
          <w:tcPr>
            <w:tcW w:w="907" w:type="dxa"/>
            <w:tcBorders>
              <w:top w:val="nil"/>
              <w:left w:val="nil"/>
              <w:bottom w:val="nil"/>
              <w:right w:val="nil"/>
            </w:tcBorders>
            <w:shd w:val="clear" w:color="auto" w:fill="auto"/>
            <w:vAlign w:val="center"/>
          </w:tcPr>
          <w:p w14:paraId="430D47B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-0.009</w:t>
            </w:r>
          </w:p>
        </w:tc>
        <w:tc>
          <w:tcPr>
            <w:tcW w:w="907" w:type="dxa"/>
            <w:tcBorders>
              <w:top w:val="nil"/>
              <w:left w:val="nil"/>
              <w:bottom w:val="nil"/>
              <w:right w:val="nil"/>
            </w:tcBorders>
            <w:shd w:val="clear" w:color="auto" w:fill="auto"/>
            <w:vAlign w:val="center"/>
          </w:tcPr>
          <w:p w14:paraId="6F85EF7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.204*</w:t>
            </w:r>
          </w:p>
        </w:tc>
        <w:tc>
          <w:tcPr>
            <w:tcW w:w="907" w:type="dxa"/>
            <w:tcBorders>
              <w:top w:val="nil"/>
              <w:left w:val="nil"/>
              <w:bottom w:val="nil"/>
              <w:right w:val="nil"/>
            </w:tcBorders>
            <w:shd w:val="clear" w:color="auto" w:fill="auto"/>
            <w:vAlign w:val="center"/>
          </w:tcPr>
          <w:p w14:paraId="00412904"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-0.066</w:t>
            </w:r>
          </w:p>
        </w:tc>
        <w:tc>
          <w:tcPr>
            <w:tcW w:w="907" w:type="dxa"/>
            <w:tcBorders>
              <w:top w:val="nil"/>
              <w:left w:val="nil"/>
              <w:bottom w:val="nil"/>
              <w:right w:val="nil"/>
            </w:tcBorders>
            <w:shd w:val="clear" w:color="auto" w:fill="auto"/>
            <w:vAlign w:val="center"/>
          </w:tcPr>
          <w:p w14:paraId="5ECF1E2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-0.088</w:t>
            </w:r>
          </w:p>
        </w:tc>
        <w:tc>
          <w:tcPr>
            <w:tcW w:w="907" w:type="dxa"/>
            <w:tcBorders>
              <w:top w:val="nil"/>
              <w:left w:val="nil"/>
              <w:bottom w:val="nil"/>
              <w:right w:val="nil"/>
            </w:tcBorders>
            <w:shd w:val="clear" w:color="auto" w:fill="auto"/>
            <w:vAlign w:val="center"/>
          </w:tcPr>
          <w:p w14:paraId="4AC46B47"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.288**</w:t>
            </w:r>
          </w:p>
        </w:tc>
        <w:tc>
          <w:tcPr>
            <w:tcW w:w="907" w:type="dxa"/>
            <w:tcBorders>
              <w:top w:val="nil"/>
              <w:left w:val="nil"/>
              <w:bottom w:val="nil"/>
              <w:right w:val="nil"/>
            </w:tcBorders>
            <w:shd w:val="clear" w:color="auto" w:fill="auto"/>
            <w:vAlign w:val="center"/>
          </w:tcPr>
          <w:p w14:paraId="6C5451F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.241*</w:t>
            </w:r>
          </w:p>
        </w:tc>
        <w:tc>
          <w:tcPr>
            <w:tcW w:w="907" w:type="dxa"/>
            <w:vAlign w:val="center"/>
          </w:tcPr>
          <w:p w14:paraId="79DA56E2"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48442598" w14:textId="77777777" w:rsidR="000A27DC" w:rsidRPr="008A0E33" w:rsidRDefault="000A27DC" w:rsidP="0057484E">
            <w:pPr>
              <w:autoSpaceDE w:val="0"/>
              <w:autoSpaceDN w:val="0"/>
              <w:adjustRightInd w:val="0"/>
              <w:snapToGrid w:val="0"/>
              <w:jc w:val="center"/>
              <w:rPr>
                <w:rFonts w:cs="Times New Roman"/>
                <w:kern w:val="0"/>
                <w:sz w:val="18"/>
                <w:szCs w:val="18"/>
              </w:rPr>
            </w:pPr>
          </w:p>
        </w:tc>
        <w:tc>
          <w:tcPr>
            <w:tcW w:w="907" w:type="dxa"/>
            <w:vAlign w:val="center"/>
          </w:tcPr>
          <w:p w14:paraId="79631E0B" w14:textId="77777777" w:rsidR="000A27DC" w:rsidRPr="008A0E33" w:rsidRDefault="000A27DC" w:rsidP="0057484E">
            <w:pPr>
              <w:autoSpaceDE w:val="0"/>
              <w:autoSpaceDN w:val="0"/>
              <w:adjustRightInd w:val="0"/>
              <w:snapToGrid w:val="0"/>
              <w:jc w:val="center"/>
              <w:rPr>
                <w:rFonts w:cs="Times New Roman"/>
                <w:kern w:val="0"/>
                <w:sz w:val="18"/>
                <w:szCs w:val="18"/>
              </w:rPr>
            </w:pPr>
          </w:p>
        </w:tc>
      </w:tr>
      <w:tr w:rsidR="008A0E33" w:rsidRPr="008A0E33" w14:paraId="462F7779" w14:textId="77777777" w:rsidTr="00B40DF7">
        <w:trPr>
          <w:trHeight w:val="340"/>
        </w:trPr>
        <w:tc>
          <w:tcPr>
            <w:tcW w:w="2977" w:type="dxa"/>
            <w:vAlign w:val="center"/>
          </w:tcPr>
          <w:p w14:paraId="7925FC4E"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9.</w:t>
            </w:r>
            <w:r w:rsidRPr="008A0E33">
              <w:rPr>
                <w:rFonts w:eastAsia="標楷體" w:cs="Times New Roman"/>
                <w:sz w:val="18"/>
                <w:szCs w:val="18"/>
              </w:rPr>
              <w:t xml:space="preserve"> </w:t>
            </w:r>
            <w:r w:rsidRPr="008A0E33">
              <w:rPr>
                <w:rFonts w:cs="Times New Roman"/>
                <w:kern w:val="0"/>
                <w:sz w:val="18"/>
                <w:szCs w:val="18"/>
              </w:rPr>
              <w:t>Knowledge utilization</w:t>
            </w:r>
          </w:p>
        </w:tc>
        <w:tc>
          <w:tcPr>
            <w:tcW w:w="851" w:type="dxa"/>
            <w:vAlign w:val="center"/>
          </w:tcPr>
          <w:p w14:paraId="414D2E14"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28.10</w:t>
            </w:r>
          </w:p>
        </w:tc>
        <w:tc>
          <w:tcPr>
            <w:tcW w:w="816" w:type="dxa"/>
            <w:vAlign w:val="center"/>
          </w:tcPr>
          <w:p w14:paraId="48ED84E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4.37</w:t>
            </w:r>
          </w:p>
        </w:tc>
        <w:tc>
          <w:tcPr>
            <w:tcW w:w="907" w:type="dxa"/>
            <w:tcBorders>
              <w:top w:val="nil"/>
              <w:left w:val="nil"/>
              <w:bottom w:val="nil"/>
              <w:right w:val="nil"/>
            </w:tcBorders>
            <w:shd w:val="clear" w:color="auto" w:fill="auto"/>
            <w:vAlign w:val="center"/>
          </w:tcPr>
          <w:p w14:paraId="5B10E21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-.459***</w:t>
            </w:r>
          </w:p>
        </w:tc>
        <w:tc>
          <w:tcPr>
            <w:tcW w:w="907" w:type="dxa"/>
            <w:tcBorders>
              <w:top w:val="nil"/>
              <w:left w:val="nil"/>
              <w:bottom w:val="nil"/>
              <w:right w:val="nil"/>
            </w:tcBorders>
            <w:shd w:val="clear" w:color="auto" w:fill="auto"/>
            <w:vAlign w:val="center"/>
          </w:tcPr>
          <w:p w14:paraId="31BD96F2"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0.018</w:t>
            </w:r>
          </w:p>
        </w:tc>
        <w:tc>
          <w:tcPr>
            <w:tcW w:w="907" w:type="dxa"/>
            <w:tcBorders>
              <w:top w:val="nil"/>
              <w:left w:val="nil"/>
              <w:bottom w:val="nil"/>
              <w:right w:val="nil"/>
            </w:tcBorders>
            <w:shd w:val="clear" w:color="auto" w:fill="auto"/>
            <w:vAlign w:val="center"/>
          </w:tcPr>
          <w:p w14:paraId="5154838D"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.530***</w:t>
            </w:r>
          </w:p>
        </w:tc>
        <w:tc>
          <w:tcPr>
            <w:tcW w:w="907" w:type="dxa"/>
            <w:tcBorders>
              <w:top w:val="nil"/>
              <w:left w:val="nil"/>
              <w:bottom w:val="nil"/>
              <w:right w:val="nil"/>
            </w:tcBorders>
            <w:shd w:val="clear" w:color="auto" w:fill="auto"/>
            <w:vAlign w:val="center"/>
          </w:tcPr>
          <w:p w14:paraId="3247968F"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-.246*</w:t>
            </w:r>
          </w:p>
        </w:tc>
        <w:tc>
          <w:tcPr>
            <w:tcW w:w="907" w:type="dxa"/>
            <w:tcBorders>
              <w:top w:val="nil"/>
              <w:left w:val="nil"/>
              <w:bottom w:val="nil"/>
              <w:right w:val="nil"/>
            </w:tcBorders>
            <w:shd w:val="clear" w:color="auto" w:fill="auto"/>
            <w:vAlign w:val="center"/>
          </w:tcPr>
          <w:p w14:paraId="7F67B9B9"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-.306**</w:t>
            </w:r>
          </w:p>
        </w:tc>
        <w:tc>
          <w:tcPr>
            <w:tcW w:w="907" w:type="dxa"/>
            <w:tcBorders>
              <w:top w:val="nil"/>
              <w:left w:val="nil"/>
              <w:bottom w:val="nil"/>
              <w:right w:val="nil"/>
            </w:tcBorders>
            <w:shd w:val="clear" w:color="auto" w:fill="auto"/>
            <w:vAlign w:val="center"/>
          </w:tcPr>
          <w:p w14:paraId="494CDCE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.260**</w:t>
            </w:r>
          </w:p>
        </w:tc>
        <w:tc>
          <w:tcPr>
            <w:tcW w:w="907" w:type="dxa"/>
            <w:tcBorders>
              <w:top w:val="nil"/>
              <w:left w:val="nil"/>
              <w:bottom w:val="nil"/>
              <w:right w:val="nil"/>
            </w:tcBorders>
            <w:shd w:val="clear" w:color="auto" w:fill="auto"/>
            <w:vAlign w:val="center"/>
          </w:tcPr>
          <w:p w14:paraId="24C26228"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0.172+</w:t>
            </w:r>
          </w:p>
        </w:tc>
        <w:tc>
          <w:tcPr>
            <w:tcW w:w="907" w:type="dxa"/>
            <w:tcBorders>
              <w:top w:val="nil"/>
              <w:left w:val="nil"/>
              <w:bottom w:val="nil"/>
              <w:right w:val="nil"/>
            </w:tcBorders>
            <w:shd w:val="clear" w:color="auto" w:fill="auto"/>
            <w:vAlign w:val="center"/>
          </w:tcPr>
          <w:p w14:paraId="503C57C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.714***</w:t>
            </w:r>
          </w:p>
        </w:tc>
        <w:tc>
          <w:tcPr>
            <w:tcW w:w="907" w:type="dxa"/>
            <w:vAlign w:val="center"/>
          </w:tcPr>
          <w:p w14:paraId="36000618" w14:textId="77777777" w:rsidR="000A27DC" w:rsidRPr="008A0E33" w:rsidRDefault="000A27DC" w:rsidP="0057484E">
            <w:pPr>
              <w:widowControl/>
              <w:snapToGrid w:val="0"/>
              <w:jc w:val="center"/>
              <w:rPr>
                <w:rFonts w:cs="Times New Roman"/>
                <w:sz w:val="18"/>
                <w:szCs w:val="18"/>
              </w:rPr>
            </w:pPr>
          </w:p>
        </w:tc>
        <w:tc>
          <w:tcPr>
            <w:tcW w:w="907" w:type="dxa"/>
            <w:vAlign w:val="center"/>
          </w:tcPr>
          <w:p w14:paraId="39F6A547" w14:textId="77777777" w:rsidR="000A27DC" w:rsidRPr="008A0E33" w:rsidRDefault="000A27DC" w:rsidP="0057484E">
            <w:pPr>
              <w:widowControl/>
              <w:snapToGrid w:val="0"/>
              <w:jc w:val="center"/>
              <w:rPr>
                <w:rFonts w:cs="Times New Roman"/>
                <w:sz w:val="18"/>
                <w:szCs w:val="18"/>
              </w:rPr>
            </w:pPr>
          </w:p>
        </w:tc>
      </w:tr>
      <w:tr w:rsidR="008A0E33" w:rsidRPr="008A0E33" w14:paraId="324469F2" w14:textId="77777777" w:rsidTr="00B40DF7">
        <w:trPr>
          <w:trHeight w:val="340"/>
        </w:trPr>
        <w:tc>
          <w:tcPr>
            <w:tcW w:w="2977" w:type="dxa"/>
            <w:vAlign w:val="center"/>
          </w:tcPr>
          <w:p w14:paraId="26073F44" w14:textId="77777777"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10. Pasteurian orientation</w:t>
            </w:r>
            <w:r w:rsidRPr="008A0E33">
              <w:rPr>
                <w:rFonts w:eastAsia="標楷體" w:cs="Times New Roman"/>
                <w:sz w:val="18"/>
                <w:szCs w:val="18"/>
                <w:vertAlign w:val="superscript"/>
              </w:rPr>
              <w:t xml:space="preserve"> b</w:t>
            </w:r>
          </w:p>
        </w:tc>
        <w:tc>
          <w:tcPr>
            <w:tcW w:w="851" w:type="dxa"/>
            <w:vAlign w:val="center"/>
          </w:tcPr>
          <w:p w14:paraId="7F12D32A"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1016.54</w:t>
            </w:r>
          </w:p>
        </w:tc>
        <w:tc>
          <w:tcPr>
            <w:tcW w:w="816" w:type="dxa"/>
            <w:vAlign w:val="center"/>
          </w:tcPr>
          <w:p w14:paraId="103BECB2"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234.46</w:t>
            </w:r>
          </w:p>
        </w:tc>
        <w:tc>
          <w:tcPr>
            <w:tcW w:w="907" w:type="dxa"/>
            <w:tcBorders>
              <w:top w:val="nil"/>
              <w:left w:val="nil"/>
              <w:bottom w:val="nil"/>
              <w:right w:val="nil"/>
            </w:tcBorders>
            <w:shd w:val="clear" w:color="auto" w:fill="auto"/>
            <w:vAlign w:val="center"/>
          </w:tcPr>
          <w:p w14:paraId="65F414A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-.387***</w:t>
            </w:r>
          </w:p>
        </w:tc>
        <w:tc>
          <w:tcPr>
            <w:tcW w:w="907" w:type="dxa"/>
            <w:tcBorders>
              <w:top w:val="nil"/>
              <w:left w:val="nil"/>
              <w:bottom w:val="nil"/>
              <w:right w:val="nil"/>
            </w:tcBorders>
            <w:shd w:val="clear" w:color="auto" w:fill="auto"/>
            <w:vAlign w:val="center"/>
          </w:tcPr>
          <w:p w14:paraId="5FC8EFAE"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0.006</w:t>
            </w:r>
          </w:p>
        </w:tc>
        <w:tc>
          <w:tcPr>
            <w:tcW w:w="907" w:type="dxa"/>
            <w:tcBorders>
              <w:top w:val="nil"/>
              <w:left w:val="nil"/>
              <w:bottom w:val="nil"/>
              <w:right w:val="nil"/>
            </w:tcBorders>
            <w:shd w:val="clear" w:color="auto" w:fill="auto"/>
            <w:vAlign w:val="center"/>
          </w:tcPr>
          <w:p w14:paraId="3A9FDC13"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.436***</w:t>
            </w:r>
          </w:p>
        </w:tc>
        <w:tc>
          <w:tcPr>
            <w:tcW w:w="907" w:type="dxa"/>
            <w:tcBorders>
              <w:top w:val="nil"/>
              <w:left w:val="nil"/>
              <w:bottom w:val="nil"/>
              <w:right w:val="nil"/>
            </w:tcBorders>
            <w:shd w:val="clear" w:color="auto" w:fill="auto"/>
            <w:vAlign w:val="center"/>
          </w:tcPr>
          <w:p w14:paraId="21CA9407"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-0.195</w:t>
            </w:r>
          </w:p>
        </w:tc>
        <w:tc>
          <w:tcPr>
            <w:tcW w:w="907" w:type="dxa"/>
            <w:tcBorders>
              <w:top w:val="nil"/>
              <w:left w:val="nil"/>
              <w:bottom w:val="nil"/>
              <w:right w:val="nil"/>
            </w:tcBorders>
            <w:shd w:val="clear" w:color="auto" w:fill="auto"/>
            <w:vAlign w:val="center"/>
          </w:tcPr>
          <w:p w14:paraId="739DA33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-.239*</w:t>
            </w:r>
          </w:p>
        </w:tc>
        <w:tc>
          <w:tcPr>
            <w:tcW w:w="907" w:type="dxa"/>
            <w:tcBorders>
              <w:top w:val="nil"/>
              <w:left w:val="nil"/>
              <w:bottom w:val="nil"/>
              <w:right w:val="nil"/>
            </w:tcBorders>
            <w:shd w:val="clear" w:color="auto" w:fill="auto"/>
            <w:vAlign w:val="center"/>
          </w:tcPr>
          <w:p w14:paraId="018A4FB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.288**</w:t>
            </w:r>
          </w:p>
        </w:tc>
        <w:tc>
          <w:tcPr>
            <w:tcW w:w="907" w:type="dxa"/>
            <w:tcBorders>
              <w:top w:val="nil"/>
              <w:left w:val="nil"/>
              <w:bottom w:val="nil"/>
              <w:right w:val="nil"/>
            </w:tcBorders>
            <w:shd w:val="clear" w:color="auto" w:fill="auto"/>
            <w:vAlign w:val="center"/>
          </w:tcPr>
          <w:p w14:paraId="321FF877"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.202*</w:t>
            </w:r>
          </w:p>
        </w:tc>
        <w:tc>
          <w:tcPr>
            <w:tcW w:w="907" w:type="dxa"/>
            <w:tcBorders>
              <w:top w:val="nil"/>
              <w:left w:val="nil"/>
              <w:bottom w:val="nil"/>
              <w:right w:val="nil"/>
            </w:tcBorders>
            <w:shd w:val="clear" w:color="auto" w:fill="auto"/>
            <w:vAlign w:val="center"/>
          </w:tcPr>
          <w:p w14:paraId="0F8BCBC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.875***</w:t>
            </w:r>
          </w:p>
        </w:tc>
        <w:tc>
          <w:tcPr>
            <w:tcW w:w="907" w:type="dxa"/>
            <w:tcBorders>
              <w:top w:val="nil"/>
              <w:left w:val="nil"/>
              <w:bottom w:val="nil"/>
              <w:right w:val="nil"/>
            </w:tcBorders>
            <w:shd w:val="clear" w:color="auto" w:fill="auto"/>
            <w:vAlign w:val="center"/>
          </w:tcPr>
          <w:p w14:paraId="0115F292" w14:textId="77777777" w:rsidR="000A27DC" w:rsidRPr="008A0E33" w:rsidRDefault="000A27DC" w:rsidP="0057484E">
            <w:pPr>
              <w:widowControl/>
              <w:snapToGrid w:val="0"/>
              <w:jc w:val="center"/>
              <w:rPr>
                <w:rFonts w:cs="Times New Roman"/>
                <w:sz w:val="18"/>
                <w:szCs w:val="18"/>
              </w:rPr>
            </w:pPr>
            <w:r w:rsidRPr="008A0E33">
              <w:rPr>
                <w:rFonts w:cs="Times New Roman"/>
                <w:sz w:val="18"/>
                <w:szCs w:val="18"/>
              </w:rPr>
              <w:t>.960***</w:t>
            </w:r>
          </w:p>
        </w:tc>
        <w:tc>
          <w:tcPr>
            <w:tcW w:w="907" w:type="dxa"/>
            <w:vAlign w:val="center"/>
          </w:tcPr>
          <w:p w14:paraId="42076F44" w14:textId="77777777" w:rsidR="000A27DC" w:rsidRPr="008A0E33" w:rsidRDefault="000A27DC" w:rsidP="0057484E">
            <w:pPr>
              <w:widowControl/>
              <w:snapToGrid w:val="0"/>
              <w:jc w:val="center"/>
              <w:rPr>
                <w:rFonts w:cs="Times New Roman"/>
                <w:kern w:val="0"/>
                <w:sz w:val="18"/>
                <w:szCs w:val="18"/>
              </w:rPr>
            </w:pPr>
          </w:p>
        </w:tc>
      </w:tr>
      <w:tr w:rsidR="008A0E33" w:rsidRPr="008A0E33" w14:paraId="016F2584" w14:textId="77777777" w:rsidTr="00B40DF7">
        <w:trPr>
          <w:trHeight w:val="340"/>
        </w:trPr>
        <w:tc>
          <w:tcPr>
            <w:tcW w:w="2977" w:type="dxa"/>
            <w:tcBorders>
              <w:bottom w:val="single" w:sz="12" w:space="0" w:color="auto"/>
            </w:tcBorders>
            <w:vAlign w:val="center"/>
          </w:tcPr>
          <w:p w14:paraId="05A13545" w14:textId="22784078" w:rsidR="000A27DC" w:rsidRPr="008A0E33" w:rsidRDefault="000A27DC" w:rsidP="0057484E">
            <w:pPr>
              <w:autoSpaceDE w:val="0"/>
              <w:autoSpaceDN w:val="0"/>
              <w:adjustRightInd w:val="0"/>
              <w:snapToGrid w:val="0"/>
              <w:jc w:val="both"/>
              <w:rPr>
                <w:rFonts w:cs="Times New Roman"/>
                <w:kern w:val="0"/>
                <w:sz w:val="18"/>
                <w:szCs w:val="18"/>
              </w:rPr>
            </w:pPr>
            <w:r w:rsidRPr="008A0E33">
              <w:rPr>
                <w:rFonts w:cs="Times New Roman"/>
                <w:kern w:val="0"/>
                <w:sz w:val="18"/>
                <w:szCs w:val="18"/>
              </w:rPr>
              <w:t xml:space="preserve">11. </w:t>
            </w:r>
            <w:r w:rsidR="002A46B9" w:rsidRPr="008A0E33">
              <w:rPr>
                <w:rFonts w:cs="Times New Roman"/>
                <w:kern w:val="0"/>
                <w:sz w:val="18"/>
                <w:szCs w:val="18"/>
              </w:rPr>
              <w:t>Departmental collective efficacy</w:t>
            </w:r>
          </w:p>
        </w:tc>
        <w:tc>
          <w:tcPr>
            <w:tcW w:w="851" w:type="dxa"/>
            <w:tcBorders>
              <w:bottom w:val="single" w:sz="12" w:space="0" w:color="auto"/>
            </w:tcBorders>
            <w:vAlign w:val="center"/>
          </w:tcPr>
          <w:p w14:paraId="14854F11"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14.57</w:t>
            </w:r>
          </w:p>
        </w:tc>
        <w:tc>
          <w:tcPr>
            <w:tcW w:w="816" w:type="dxa"/>
            <w:tcBorders>
              <w:bottom w:val="single" w:sz="12" w:space="0" w:color="auto"/>
            </w:tcBorders>
            <w:vAlign w:val="center"/>
          </w:tcPr>
          <w:p w14:paraId="5936FF17"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kern w:val="0"/>
                <w:sz w:val="18"/>
                <w:szCs w:val="18"/>
              </w:rPr>
              <w:t>1.87</w:t>
            </w:r>
          </w:p>
        </w:tc>
        <w:tc>
          <w:tcPr>
            <w:tcW w:w="907" w:type="dxa"/>
            <w:tcBorders>
              <w:top w:val="nil"/>
              <w:left w:val="nil"/>
              <w:bottom w:val="single" w:sz="12" w:space="0" w:color="auto"/>
              <w:right w:val="nil"/>
            </w:tcBorders>
            <w:shd w:val="clear" w:color="auto" w:fill="auto"/>
            <w:vAlign w:val="center"/>
          </w:tcPr>
          <w:p w14:paraId="2DE4ECE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-.241*</w:t>
            </w:r>
          </w:p>
        </w:tc>
        <w:tc>
          <w:tcPr>
            <w:tcW w:w="907" w:type="dxa"/>
            <w:tcBorders>
              <w:top w:val="nil"/>
              <w:left w:val="nil"/>
              <w:bottom w:val="single" w:sz="12" w:space="0" w:color="auto"/>
              <w:right w:val="nil"/>
            </w:tcBorders>
            <w:shd w:val="clear" w:color="auto" w:fill="auto"/>
            <w:vAlign w:val="center"/>
          </w:tcPr>
          <w:p w14:paraId="426006D8"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-0.054</w:t>
            </w:r>
          </w:p>
        </w:tc>
        <w:tc>
          <w:tcPr>
            <w:tcW w:w="907" w:type="dxa"/>
            <w:tcBorders>
              <w:top w:val="nil"/>
              <w:left w:val="nil"/>
              <w:bottom w:val="single" w:sz="12" w:space="0" w:color="auto"/>
              <w:right w:val="nil"/>
            </w:tcBorders>
            <w:shd w:val="clear" w:color="auto" w:fill="auto"/>
            <w:vAlign w:val="center"/>
          </w:tcPr>
          <w:p w14:paraId="78F37285"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.399***</w:t>
            </w:r>
          </w:p>
        </w:tc>
        <w:tc>
          <w:tcPr>
            <w:tcW w:w="907" w:type="dxa"/>
            <w:tcBorders>
              <w:top w:val="nil"/>
              <w:left w:val="nil"/>
              <w:bottom w:val="single" w:sz="12" w:space="0" w:color="auto"/>
              <w:right w:val="nil"/>
            </w:tcBorders>
            <w:shd w:val="clear" w:color="auto" w:fill="auto"/>
            <w:vAlign w:val="center"/>
          </w:tcPr>
          <w:p w14:paraId="2E7D414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-0.123</w:t>
            </w:r>
          </w:p>
        </w:tc>
        <w:tc>
          <w:tcPr>
            <w:tcW w:w="907" w:type="dxa"/>
            <w:tcBorders>
              <w:top w:val="nil"/>
              <w:left w:val="nil"/>
              <w:bottom w:val="single" w:sz="12" w:space="0" w:color="auto"/>
              <w:right w:val="nil"/>
            </w:tcBorders>
            <w:shd w:val="clear" w:color="auto" w:fill="auto"/>
            <w:vAlign w:val="center"/>
          </w:tcPr>
          <w:p w14:paraId="163EA028"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-0.112</w:t>
            </w:r>
          </w:p>
        </w:tc>
        <w:tc>
          <w:tcPr>
            <w:tcW w:w="907" w:type="dxa"/>
            <w:tcBorders>
              <w:top w:val="nil"/>
              <w:left w:val="nil"/>
              <w:bottom w:val="single" w:sz="12" w:space="0" w:color="auto"/>
              <w:right w:val="nil"/>
            </w:tcBorders>
            <w:shd w:val="clear" w:color="auto" w:fill="auto"/>
            <w:vAlign w:val="center"/>
          </w:tcPr>
          <w:p w14:paraId="7B92E410"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.383***</w:t>
            </w:r>
          </w:p>
        </w:tc>
        <w:tc>
          <w:tcPr>
            <w:tcW w:w="907" w:type="dxa"/>
            <w:tcBorders>
              <w:top w:val="nil"/>
              <w:left w:val="nil"/>
              <w:bottom w:val="single" w:sz="12" w:space="0" w:color="auto"/>
              <w:right w:val="nil"/>
            </w:tcBorders>
            <w:shd w:val="clear" w:color="auto" w:fill="auto"/>
            <w:vAlign w:val="center"/>
          </w:tcPr>
          <w:p w14:paraId="4D44293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.237*</w:t>
            </w:r>
          </w:p>
        </w:tc>
        <w:tc>
          <w:tcPr>
            <w:tcW w:w="907" w:type="dxa"/>
            <w:tcBorders>
              <w:top w:val="nil"/>
              <w:left w:val="nil"/>
              <w:bottom w:val="single" w:sz="12" w:space="0" w:color="auto"/>
              <w:right w:val="nil"/>
            </w:tcBorders>
            <w:shd w:val="clear" w:color="auto" w:fill="auto"/>
            <w:vAlign w:val="center"/>
          </w:tcPr>
          <w:p w14:paraId="4AEE9A2B" w14:textId="77777777" w:rsidR="000A27DC" w:rsidRPr="008A0E33" w:rsidRDefault="000A27DC" w:rsidP="0057484E">
            <w:pPr>
              <w:autoSpaceDE w:val="0"/>
              <w:autoSpaceDN w:val="0"/>
              <w:adjustRightInd w:val="0"/>
              <w:snapToGrid w:val="0"/>
              <w:jc w:val="center"/>
              <w:rPr>
                <w:rFonts w:cs="Times New Roman"/>
                <w:kern w:val="0"/>
                <w:sz w:val="18"/>
                <w:szCs w:val="18"/>
              </w:rPr>
            </w:pPr>
            <w:r w:rsidRPr="008A0E33">
              <w:rPr>
                <w:rFonts w:cs="Times New Roman"/>
                <w:sz w:val="18"/>
                <w:szCs w:val="18"/>
              </w:rPr>
              <w:t>.484***</w:t>
            </w:r>
          </w:p>
        </w:tc>
        <w:tc>
          <w:tcPr>
            <w:tcW w:w="907" w:type="dxa"/>
            <w:tcBorders>
              <w:top w:val="nil"/>
              <w:left w:val="nil"/>
              <w:bottom w:val="single" w:sz="12" w:space="0" w:color="auto"/>
              <w:right w:val="nil"/>
            </w:tcBorders>
            <w:shd w:val="clear" w:color="auto" w:fill="auto"/>
            <w:vAlign w:val="center"/>
          </w:tcPr>
          <w:p w14:paraId="3E9D4661" w14:textId="77777777" w:rsidR="000A27DC" w:rsidRPr="008A0E33" w:rsidRDefault="000A27DC" w:rsidP="0057484E">
            <w:pPr>
              <w:widowControl/>
              <w:snapToGrid w:val="0"/>
              <w:jc w:val="center"/>
              <w:rPr>
                <w:rFonts w:cs="Times New Roman"/>
                <w:kern w:val="0"/>
                <w:sz w:val="18"/>
                <w:szCs w:val="18"/>
              </w:rPr>
            </w:pPr>
            <w:r w:rsidRPr="008A0E33">
              <w:rPr>
                <w:rFonts w:cs="Times New Roman"/>
                <w:sz w:val="18"/>
                <w:szCs w:val="18"/>
              </w:rPr>
              <w:t>.540***</w:t>
            </w:r>
          </w:p>
        </w:tc>
        <w:tc>
          <w:tcPr>
            <w:tcW w:w="907" w:type="dxa"/>
            <w:tcBorders>
              <w:bottom w:val="single" w:sz="12" w:space="0" w:color="auto"/>
            </w:tcBorders>
            <w:vAlign w:val="center"/>
          </w:tcPr>
          <w:p w14:paraId="32A1BA26" w14:textId="77777777" w:rsidR="000A27DC" w:rsidRPr="008A0E33" w:rsidRDefault="000A27DC" w:rsidP="0057484E">
            <w:pPr>
              <w:widowControl/>
              <w:snapToGrid w:val="0"/>
              <w:jc w:val="center"/>
              <w:rPr>
                <w:rFonts w:cs="Times New Roman"/>
                <w:kern w:val="0"/>
                <w:sz w:val="18"/>
                <w:szCs w:val="18"/>
              </w:rPr>
            </w:pPr>
            <w:r w:rsidRPr="008A0E33">
              <w:rPr>
                <w:rFonts w:cs="Times New Roman"/>
                <w:kern w:val="0"/>
                <w:sz w:val="18"/>
                <w:szCs w:val="18"/>
              </w:rPr>
              <w:t>.560***</w:t>
            </w:r>
          </w:p>
        </w:tc>
      </w:tr>
    </w:tbl>
    <w:p w14:paraId="1FFEE709" w14:textId="77777777" w:rsidR="000A27DC" w:rsidRPr="008A0E33" w:rsidRDefault="000A27DC" w:rsidP="0057484E">
      <w:pPr>
        <w:tabs>
          <w:tab w:val="left" w:pos="480"/>
        </w:tabs>
        <w:ind w:right="-692"/>
        <w:rPr>
          <w:sz w:val="18"/>
          <w:szCs w:val="18"/>
        </w:rPr>
      </w:pPr>
      <w:proofErr w:type="spellStart"/>
      <w:r w:rsidRPr="008A0E33">
        <w:rPr>
          <w:sz w:val="18"/>
          <w:szCs w:val="18"/>
          <w:vertAlign w:val="superscript"/>
        </w:rPr>
        <w:t>a</w:t>
      </w:r>
      <w:r w:rsidRPr="008A0E33">
        <w:rPr>
          <w:sz w:val="18"/>
          <w:szCs w:val="18"/>
        </w:rPr>
        <w:t>N</w:t>
      </w:r>
      <w:proofErr w:type="spellEnd"/>
      <w:r w:rsidRPr="008A0E33">
        <w:rPr>
          <w:sz w:val="18"/>
          <w:szCs w:val="18"/>
        </w:rPr>
        <w:t xml:space="preserve"> = 99 departments.</w:t>
      </w:r>
    </w:p>
    <w:p w14:paraId="10F212F3" w14:textId="77777777" w:rsidR="000A27DC" w:rsidRPr="008A0E33" w:rsidRDefault="000A27DC" w:rsidP="0057484E">
      <w:pPr>
        <w:tabs>
          <w:tab w:val="left" w:pos="480"/>
        </w:tabs>
        <w:ind w:right="-692"/>
        <w:rPr>
          <w:sz w:val="18"/>
          <w:szCs w:val="18"/>
        </w:rPr>
      </w:pPr>
      <w:proofErr w:type="spellStart"/>
      <w:r w:rsidRPr="008A0E33">
        <w:rPr>
          <w:rFonts w:hint="eastAsia"/>
          <w:sz w:val="18"/>
          <w:szCs w:val="18"/>
          <w:vertAlign w:val="superscript"/>
        </w:rPr>
        <w:t>b</w:t>
      </w:r>
      <w:r w:rsidRPr="008A0E33">
        <w:rPr>
          <w:rFonts w:eastAsia="標楷體"/>
          <w:sz w:val="18"/>
          <w:szCs w:val="18"/>
        </w:rPr>
        <w:t>Pasteurian</w:t>
      </w:r>
      <w:proofErr w:type="spellEnd"/>
      <w:r w:rsidRPr="008A0E33">
        <w:rPr>
          <w:rFonts w:eastAsia="標楷體"/>
          <w:sz w:val="18"/>
          <w:szCs w:val="18"/>
        </w:rPr>
        <w:t xml:space="preserve"> orientation</w:t>
      </w:r>
      <w:r w:rsidRPr="008A0E33">
        <w:rPr>
          <w:sz w:val="18"/>
          <w:szCs w:val="18"/>
        </w:rPr>
        <w:t xml:space="preserve"> is the multiplicative interaction of </w:t>
      </w:r>
      <w:r w:rsidRPr="008A0E33">
        <w:rPr>
          <w:rFonts w:eastAsia="標楷體"/>
          <w:sz w:val="18"/>
          <w:szCs w:val="18"/>
        </w:rPr>
        <w:t>knowledge creation orientation and knowledge utilization orientation</w:t>
      </w:r>
      <w:r w:rsidRPr="008A0E33">
        <w:rPr>
          <w:sz w:val="18"/>
          <w:szCs w:val="18"/>
        </w:rPr>
        <w:t>.</w:t>
      </w:r>
    </w:p>
    <w:p w14:paraId="31CDA89E" w14:textId="77777777" w:rsidR="000A27DC" w:rsidRPr="008A0E33" w:rsidRDefault="000A27DC" w:rsidP="0057484E">
      <w:pPr>
        <w:pStyle w:val="ab"/>
        <w:keepNext/>
        <w:rPr>
          <w:sz w:val="18"/>
          <w:szCs w:val="18"/>
        </w:rPr>
      </w:pPr>
      <w:r w:rsidRPr="008A0E33">
        <w:rPr>
          <w:sz w:val="18"/>
          <w:szCs w:val="18"/>
        </w:rPr>
        <w:t xml:space="preserve"> * </w:t>
      </w:r>
      <w:r w:rsidRPr="008A0E33">
        <w:rPr>
          <w:i/>
          <w:iCs/>
          <w:sz w:val="18"/>
          <w:szCs w:val="18"/>
        </w:rPr>
        <w:t>p</w:t>
      </w:r>
      <w:r w:rsidRPr="008A0E33">
        <w:rPr>
          <w:sz w:val="18"/>
          <w:szCs w:val="18"/>
        </w:rPr>
        <w:t xml:space="preserve">&lt; .05; ** </w:t>
      </w:r>
      <w:r w:rsidRPr="008A0E33">
        <w:rPr>
          <w:i/>
          <w:iCs/>
          <w:sz w:val="18"/>
          <w:szCs w:val="18"/>
        </w:rPr>
        <w:t>p</w:t>
      </w:r>
      <w:r w:rsidRPr="008A0E33">
        <w:rPr>
          <w:sz w:val="18"/>
          <w:szCs w:val="18"/>
        </w:rPr>
        <w:t xml:space="preserve">&lt; .01, *** </w:t>
      </w:r>
      <w:r w:rsidRPr="008A0E33">
        <w:rPr>
          <w:i/>
          <w:iCs/>
          <w:sz w:val="18"/>
          <w:szCs w:val="18"/>
        </w:rPr>
        <w:t>p</w:t>
      </w:r>
      <w:r w:rsidRPr="008A0E33">
        <w:rPr>
          <w:sz w:val="18"/>
          <w:szCs w:val="18"/>
        </w:rPr>
        <w:t>&lt; .001; two-tailed test</w:t>
      </w:r>
    </w:p>
    <w:p w14:paraId="39CA774C" w14:textId="77777777" w:rsidR="000A27DC" w:rsidRPr="008A0E33" w:rsidRDefault="000A27DC" w:rsidP="0057484E">
      <w:pPr>
        <w:widowControl/>
        <w:spacing w:after="240"/>
        <w:rPr>
          <w:rFonts w:ascii="Times" w:eastAsia="Times New Roman" w:hAnsi="Times" w:cs="Times New Roman"/>
          <w:kern w:val="0"/>
          <w:sz w:val="20"/>
          <w:szCs w:val="20"/>
        </w:rPr>
        <w:sectPr w:rsidR="000A27DC" w:rsidRPr="008A0E33" w:rsidSect="00B96413">
          <w:pgSz w:w="16840" w:h="11900" w:orient="landscape"/>
          <w:pgMar w:top="1797" w:right="1440" w:bottom="1797" w:left="1440" w:header="851" w:footer="992" w:gutter="0"/>
          <w:cols w:space="425"/>
          <w:docGrid w:type="linesAndChars" w:linePitch="400"/>
        </w:sectPr>
      </w:pPr>
    </w:p>
    <w:p w14:paraId="274F8227" w14:textId="77777777" w:rsidR="000A27DC" w:rsidRPr="008A0E33" w:rsidRDefault="000A27DC" w:rsidP="0057484E">
      <w:pPr>
        <w:pStyle w:val="ab"/>
        <w:keepNext/>
        <w:rPr>
          <w:sz w:val="24"/>
          <w:szCs w:val="24"/>
          <w:vertAlign w:val="superscript"/>
        </w:rPr>
      </w:pPr>
      <w:r w:rsidRPr="008A0E33">
        <w:rPr>
          <w:b/>
          <w:sz w:val="24"/>
          <w:szCs w:val="24"/>
        </w:rPr>
        <w:lastRenderedPageBreak/>
        <w:t xml:space="preserve">Table </w:t>
      </w:r>
      <w:r w:rsidRPr="008A0E33">
        <w:rPr>
          <w:rFonts w:hint="eastAsia"/>
          <w:b/>
          <w:sz w:val="24"/>
          <w:szCs w:val="24"/>
        </w:rPr>
        <w:t>5</w:t>
      </w:r>
      <w:r w:rsidRPr="008A0E33">
        <w:rPr>
          <w:b/>
          <w:sz w:val="24"/>
          <w:szCs w:val="24"/>
        </w:rPr>
        <w:t xml:space="preserve"> The relationship between organizational antecedents and the development of Pasteurian orientation </w:t>
      </w:r>
      <w:r w:rsidRPr="008A0E33">
        <w:rPr>
          <w:noProof/>
          <w:sz w:val="24"/>
          <w:szCs w:val="24"/>
          <w:vertAlign w:val="superscript"/>
        </w:rPr>
        <w:t>a</w:t>
      </w:r>
    </w:p>
    <w:tbl>
      <w:tblPr>
        <w:tblW w:w="5000" w:type="pct"/>
        <w:tblBorders>
          <w:top w:val="single" w:sz="12" w:space="0" w:color="auto"/>
          <w:bottom w:val="single" w:sz="12" w:space="0" w:color="auto"/>
        </w:tblBorders>
        <w:tblLayout w:type="fixed"/>
        <w:tblCellMar>
          <w:left w:w="28" w:type="dxa"/>
          <w:right w:w="28" w:type="dxa"/>
        </w:tblCellMar>
        <w:tblLook w:val="0000" w:firstRow="0" w:lastRow="0" w:firstColumn="0" w:lastColumn="0" w:noHBand="0" w:noVBand="0"/>
      </w:tblPr>
      <w:tblGrid>
        <w:gridCol w:w="2693"/>
        <w:gridCol w:w="703"/>
        <w:gridCol w:w="703"/>
        <w:gridCol w:w="703"/>
        <w:gridCol w:w="704"/>
        <w:gridCol w:w="704"/>
        <w:gridCol w:w="706"/>
        <w:gridCol w:w="704"/>
        <w:gridCol w:w="704"/>
        <w:gridCol w:w="704"/>
        <w:gridCol w:w="704"/>
        <w:gridCol w:w="706"/>
        <w:gridCol w:w="704"/>
        <w:gridCol w:w="704"/>
        <w:gridCol w:w="704"/>
        <w:gridCol w:w="704"/>
        <w:gridCol w:w="706"/>
      </w:tblGrid>
      <w:tr w:rsidR="008A0E33" w:rsidRPr="008A0E33" w14:paraId="771A0436" w14:textId="77777777" w:rsidTr="00B40DF7">
        <w:trPr>
          <w:trHeight w:val="384"/>
        </w:trPr>
        <w:tc>
          <w:tcPr>
            <w:tcW w:w="965" w:type="pct"/>
            <w:vMerge w:val="restart"/>
            <w:tcBorders>
              <w:top w:val="single" w:sz="12" w:space="0" w:color="auto"/>
              <w:right w:val="nil"/>
            </w:tcBorders>
          </w:tcPr>
          <w:p w14:paraId="3040E4BD" w14:textId="77777777" w:rsidR="000A27DC" w:rsidRPr="008A0E33" w:rsidRDefault="000A27DC" w:rsidP="0057484E">
            <w:pPr>
              <w:jc w:val="center"/>
              <w:rPr>
                <w:b/>
                <w:sz w:val="20"/>
                <w:szCs w:val="20"/>
              </w:rPr>
            </w:pPr>
          </w:p>
          <w:p w14:paraId="449406F1" w14:textId="77777777" w:rsidR="000A27DC" w:rsidRPr="008A0E33" w:rsidRDefault="000A27DC" w:rsidP="0057484E">
            <w:pPr>
              <w:jc w:val="center"/>
              <w:rPr>
                <w:b/>
                <w:bCs/>
                <w:sz w:val="20"/>
                <w:szCs w:val="20"/>
              </w:rPr>
            </w:pPr>
            <w:r w:rsidRPr="008A0E33">
              <w:rPr>
                <w:b/>
                <w:sz w:val="20"/>
                <w:szCs w:val="20"/>
              </w:rPr>
              <w:t>Independent Variables</w:t>
            </w:r>
          </w:p>
        </w:tc>
        <w:tc>
          <w:tcPr>
            <w:tcW w:w="504" w:type="pct"/>
            <w:gridSpan w:val="2"/>
            <w:tcBorders>
              <w:top w:val="single" w:sz="12" w:space="0" w:color="auto"/>
              <w:left w:val="nil"/>
              <w:bottom w:val="single" w:sz="4" w:space="0" w:color="auto"/>
              <w:right w:val="nil"/>
            </w:tcBorders>
            <w:vAlign w:val="center"/>
          </w:tcPr>
          <w:p w14:paraId="7DDB350C" w14:textId="77777777" w:rsidR="000A27DC" w:rsidRPr="008A0E33" w:rsidRDefault="000A27DC" w:rsidP="0057484E">
            <w:pPr>
              <w:snapToGrid w:val="0"/>
              <w:jc w:val="center"/>
              <w:rPr>
                <w:b/>
                <w:sz w:val="18"/>
                <w:szCs w:val="18"/>
              </w:rPr>
            </w:pPr>
            <w:r w:rsidRPr="008A0E33">
              <w:rPr>
                <w:b/>
                <w:sz w:val="18"/>
                <w:szCs w:val="18"/>
              </w:rPr>
              <w:t>Model 1</w:t>
            </w:r>
          </w:p>
        </w:tc>
        <w:tc>
          <w:tcPr>
            <w:tcW w:w="504" w:type="pct"/>
            <w:gridSpan w:val="2"/>
            <w:tcBorders>
              <w:top w:val="single" w:sz="12" w:space="0" w:color="auto"/>
              <w:left w:val="nil"/>
              <w:bottom w:val="single" w:sz="4" w:space="0" w:color="auto"/>
              <w:right w:val="nil"/>
            </w:tcBorders>
            <w:vAlign w:val="center"/>
          </w:tcPr>
          <w:p w14:paraId="5D8F03F8" w14:textId="77777777" w:rsidR="000A27DC" w:rsidRPr="008A0E33" w:rsidRDefault="000A27DC" w:rsidP="0057484E">
            <w:pPr>
              <w:snapToGrid w:val="0"/>
              <w:jc w:val="center"/>
              <w:rPr>
                <w:b/>
                <w:sz w:val="18"/>
                <w:szCs w:val="18"/>
              </w:rPr>
            </w:pPr>
            <w:r w:rsidRPr="008A0E33">
              <w:rPr>
                <w:b/>
                <w:sz w:val="18"/>
                <w:szCs w:val="18"/>
              </w:rPr>
              <w:t>Model 2</w:t>
            </w:r>
          </w:p>
        </w:tc>
        <w:tc>
          <w:tcPr>
            <w:tcW w:w="505" w:type="pct"/>
            <w:gridSpan w:val="2"/>
            <w:tcBorders>
              <w:top w:val="single" w:sz="12" w:space="0" w:color="auto"/>
              <w:left w:val="nil"/>
              <w:bottom w:val="single" w:sz="4" w:space="0" w:color="auto"/>
              <w:right w:val="nil"/>
            </w:tcBorders>
            <w:vAlign w:val="center"/>
          </w:tcPr>
          <w:p w14:paraId="52982F9D" w14:textId="77777777" w:rsidR="000A27DC" w:rsidRPr="008A0E33" w:rsidRDefault="000A27DC" w:rsidP="0057484E">
            <w:pPr>
              <w:snapToGrid w:val="0"/>
              <w:ind w:left="706" w:hangingChars="392" w:hanging="706"/>
              <w:jc w:val="center"/>
              <w:rPr>
                <w:b/>
                <w:sz w:val="18"/>
                <w:szCs w:val="18"/>
              </w:rPr>
            </w:pPr>
            <w:r w:rsidRPr="008A0E33">
              <w:rPr>
                <w:b/>
                <w:sz w:val="18"/>
                <w:szCs w:val="18"/>
              </w:rPr>
              <w:t>Model 3</w:t>
            </w:r>
          </w:p>
        </w:tc>
        <w:tc>
          <w:tcPr>
            <w:tcW w:w="504" w:type="pct"/>
            <w:gridSpan w:val="2"/>
            <w:tcBorders>
              <w:top w:val="single" w:sz="12" w:space="0" w:color="auto"/>
              <w:left w:val="nil"/>
              <w:bottom w:val="single" w:sz="4" w:space="0" w:color="auto"/>
              <w:right w:val="nil"/>
            </w:tcBorders>
            <w:vAlign w:val="center"/>
          </w:tcPr>
          <w:p w14:paraId="336770CE" w14:textId="77777777" w:rsidR="000A27DC" w:rsidRPr="008A0E33" w:rsidRDefault="000A27DC" w:rsidP="0057484E">
            <w:pPr>
              <w:snapToGrid w:val="0"/>
              <w:ind w:left="706" w:hangingChars="392" w:hanging="706"/>
              <w:jc w:val="center"/>
              <w:rPr>
                <w:b/>
                <w:sz w:val="18"/>
                <w:szCs w:val="18"/>
              </w:rPr>
            </w:pPr>
            <w:r w:rsidRPr="008A0E33">
              <w:rPr>
                <w:b/>
                <w:sz w:val="18"/>
                <w:szCs w:val="18"/>
              </w:rPr>
              <w:t>Model 4</w:t>
            </w:r>
          </w:p>
        </w:tc>
        <w:tc>
          <w:tcPr>
            <w:tcW w:w="504" w:type="pct"/>
            <w:gridSpan w:val="2"/>
            <w:tcBorders>
              <w:top w:val="single" w:sz="12" w:space="0" w:color="auto"/>
              <w:left w:val="nil"/>
              <w:bottom w:val="single" w:sz="4" w:space="0" w:color="auto"/>
              <w:right w:val="nil"/>
            </w:tcBorders>
            <w:vAlign w:val="center"/>
          </w:tcPr>
          <w:p w14:paraId="225F4F5A" w14:textId="77777777" w:rsidR="000A27DC" w:rsidRPr="008A0E33" w:rsidRDefault="000A27DC" w:rsidP="0057484E">
            <w:pPr>
              <w:snapToGrid w:val="0"/>
              <w:jc w:val="center"/>
              <w:rPr>
                <w:b/>
                <w:sz w:val="18"/>
                <w:szCs w:val="18"/>
              </w:rPr>
            </w:pPr>
            <w:r w:rsidRPr="008A0E33">
              <w:rPr>
                <w:b/>
                <w:sz w:val="18"/>
                <w:szCs w:val="18"/>
              </w:rPr>
              <w:t>Model 5</w:t>
            </w:r>
          </w:p>
        </w:tc>
        <w:tc>
          <w:tcPr>
            <w:tcW w:w="505" w:type="pct"/>
            <w:gridSpan w:val="2"/>
            <w:tcBorders>
              <w:top w:val="single" w:sz="12" w:space="0" w:color="auto"/>
              <w:left w:val="nil"/>
              <w:bottom w:val="single" w:sz="4" w:space="0" w:color="auto"/>
              <w:right w:val="nil"/>
            </w:tcBorders>
            <w:vAlign w:val="center"/>
          </w:tcPr>
          <w:p w14:paraId="3D73F23B" w14:textId="77777777" w:rsidR="000A27DC" w:rsidRPr="008A0E33" w:rsidRDefault="000A27DC" w:rsidP="0057484E">
            <w:pPr>
              <w:snapToGrid w:val="0"/>
              <w:ind w:left="706" w:hangingChars="392" w:hanging="706"/>
              <w:jc w:val="center"/>
              <w:rPr>
                <w:b/>
                <w:sz w:val="18"/>
                <w:szCs w:val="18"/>
              </w:rPr>
            </w:pPr>
            <w:r w:rsidRPr="008A0E33">
              <w:rPr>
                <w:b/>
                <w:sz w:val="18"/>
                <w:szCs w:val="18"/>
              </w:rPr>
              <w:t>Model 6</w:t>
            </w:r>
          </w:p>
        </w:tc>
        <w:tc>
          <w:tcPr>
            <w:tcW w:w="504" w:type="pct"/>
            <w:gridSpan w:val="2"/>
            <w:tcBorders>
              <w:top w:val="single" w:sz="12" w:space="0" w:color="auto"/>
              <w:left w:val="nil"/>
              <w:bottom w:val="single" w:sz="4" w:space="0" w:color="auto"/>
              <w:right w:val="nil"/>
            </w:tcBorders>
            <w:vAlign w:val="center"/>
          </w:tcPr>
          <w:p w14:paraId="2420A6AA" w14:textId="77777777" w:rsidR="000A27DC" w:rsidRPr="008A0E33" w:rsidRDefault="000A27DC" w:rsidP="0057484E">
            <w:pPr>
              <w:snapToGrid w:val="0"/>
              <w:ind w:left="706" w:hangingChars="392" w:hanging="706"/>
              <w:jc w:val="center"/>
              <w:rPr>
                <w:b/>
                <w:sz w:val="18"/>
                <w:szCs w:val="18"/>
              </w:rPr>
            </w:pPr>
            <w:r w:rsidRPr="008A0E33">
              <w:rPr>
                <w:b/>
                <w:sz w:val="18"/>
                <w:szCs w:val="18"/>
              </w:rPr>
              <w:t>Model 7</w:t>
            </w:r>
          </w:p>
        </w:tc>
        <w:tc>
          <w:tcPr>
            <w:tcW w:w="505" w:type="pct"/>
            <w:gridSpan w:val="2"/>
            <w:tcBorders>
              <w:top w:val="single" w:sz="12" w:space="0" w:color="auto"/>
              <w:left w:val="nil"/>
              <w:bottom w:val="single" w:sz="4" w:space="0" w:color="auto"/>
              <w:right w:val="nil"/>
            </w:tcBorders>
            <w:vAlign w:val="center"/>
          </w:tcPr>
          <w:p w14:paraId="13A68A72" w14:textId="77777777" w:rsidR="000A27DC" w:rsidRPr="008A0E33" w:rsidRDefault="000A27DC" w:rsidP="0057484E">
            <w:pPr>
              <w:snapToGrid w:val="0"/>
              <w:ind w:left="706" w:hangingChars="392" w:hanging="706"/>
              <w:jc w:val="center"/>
              <w:rPr>
                <w:b/>
                <w:sz w:val="18"/>
                <w:szCs w:val="18"/>
              </w:rPr>
            </w:pPr>
            <w:r w:rsidRPr="008A0E33">
              <w:rPr>
                <w:b/>
                <w:sz w:val="18"/>
                <w:szCs w:val="18"/>
              </w:rPr>
              <w:t>Model 8</w:t>
            </w:r>
          </w:p>
        </w:tc>
      </w:tr>
      <w:tr w:rsidR="008A0E33" w:rsidRPr="008A0E33" w14:paraId="0566926F" w14:textId="77777777" w:rsidTr="00B40DF7">
        <w:trPr>
          <w:trHeight w:val="384"/>
        </w:trPr>
        <w:tc>
          <w:tcPr>
            <w:tcW w:w="965" w:type="pct"/>
            <w:vMerge/>
            <w:tcBorders>
              <w:bottom w:val="single" w:sz="12" w:space="0" w:color="auto"/>
              <w:right w:val="nil"/>
            </w:tcBorders>
          </w:tcPr>
          <w:p w14:paraId="3C2092CA" w14:textId="77777777" w:rsidR="000A27DC" w:rsidRPr="008A0E33" w:rsidRDefault="000A27DC" w:rsidP="0057484E">
            <w:pPr>
              <w:jc w:val="center"/>
              <w:rPr>
                <w:b/>
                <w:sz w:val="20"/>
                <w:szCs w:val="20"/>
              </w:rPr>
            </w:pPr>
          </w:p>
        </w:tc>
        <w:tc>
          <w:tcPr>
            <w:tcW w:w="504" w:type="pct"/>
            <w:gridSpan w:val="2"/>
            <w:tcBorders>
              <w:top w:val="single" w:sz="4" w:space="0" w:color="auto"/>
              <w:left w:val="nil"/>
              <w:bottom w:val="single" w:sz="12" w:space="0" w:color="auto"/>
              <w:right w:val="nil"/>
            </w:tcBorders>
          </w:tcPr>
          <w:p w14:paraId="48AC1CEF" w14:textId="77777777" w:rsidR="000A27DC" w:rsidRPr="008A0E33" w:rsidRDefault="000A27DC" w:rsidP="0057484E">
            <w:pPr>
              <w:snapToGrid w:val="0"/>
              <w:jc w:val="center"/>
              <w:rPr>
                <w:b/>
                <w:sz w:val="18"/>
                <w:szCs w:val="18"/>
              </w:rPr>
            </w:pPr>
            <w:r w:rsidRPr="008A0E33">
              <w:rPr>
                <w:b/>
                <w:sz w:val="18"/>
                <w:szCs w:val="18"/>
              </w:rPr>
              <w:t>Knowledge creation</w:t>
            </w:r>
          </w:p>
        </w:tc>
        <w:tc>
          <w:tcPr>
            <w:tcW w:w="504" w:type="pct"/>
            <w:gridSpan w:val="2"/>
            <w:tcBorders>
              <w:top w:val="single" w:sz="4" w:space="0" w:color="auto"/>
              <w:left w:val="nil"/>
              <w:bottom w:val="single" w:sz="12" w:space="0" w:color="auto"/>
              <w:right w:val="nil"/>
            </w:tcBorders>
          </w:tcPr>
          <w:p w14:paraId="0DDED697" w14:textId="77777777" w:rsidR="000A27DC" w:rsidRPr="008A0E33" w:rsidRDefault="000A27DC" w:rsidP="0057484E">
            <w:pPr>
              <w:snapToGrid w:val="0"/>
              <w:jc w:val="center"/>
              <w:rPr>
                <w:b/>
                <w:sz w:val="18"/>
                <w:szCs w:val="18"/>
              </w:rPr>
            </w:pPr>
            <w:r w:rsidRPr="008A0E33">
              <w:rPr>
                <w:b/>
                <w:sz w:val="18"/>
                <w:szCs w:val="18"/>
              </w:rPr>
              <w:t>Knowledge creation</w:t>
            </w:r>
          </w:p>
        </w:tc>
        <w:tc>
          <w:tcPr>
            <w:tcW w:w="505" w:type="pct"/>
            <w:gridSpan w:val="2"/>
            <w:tcBorders>
              <w:top w:val="single" w:sz="4" w:space="0" w:color="auto"/>
              <w:left w:val="nil"/>
              <w:bottom w:val="single" w:sz="12" w:space="0" w:color="auto"/>
              <w:right w:val="nil"/>
            </w:tcBorders>
          </w:tcPr>
          <w:p w14:paraId="38DB298F" w14:textId="77777777" w:rsidR="000A27DC" w:rsidRPr="008A0E33" w:rsidRDefault="000A27DC" w:rsidP="0057484E">
            <w:pPr>
              <w:snapToGrid w:val="0"/>
              <w:jc w:val="center"/>
              <w:rPr>
                <w:b/>
                <w:sz w:val="18"/>
                <w:szCs w:val="18"/>
              </w:rPr>
            </w:pPr>
            <w:r w:rsidRPr="008A0E33">
              <w:rPr>
                <w:b/>
                <w:sz w:val="18"/>
                <w:szCs w:val="18"/>
              </w:rPr>
              <w:t>Knowledge creation</w:t>
            </w:r>
          </w:p>
        </w:tc>
        <w:tc>
          <w:tcPr>
            <w:tcW w:w="504" w:type="pct"/>
            <w:gridSpan w:val="2"/>
            <w:tcBorders>
              <w:top w:val="single" w:sz="4" w:space="0" w:color="auto"/>
              <w:left w:val="nil"/>
              <w:bottom w:val="single" w:sz="12" w:space="0" w:color="auto"/>
              <w:right w:val="nil"/>
            </w:tcBorders>
          </w:tcPr>
          <w:p w14:paraId="4AD63076" w14:textId="77777777" w:rsidR="000A27DC" w:rsidRPr="008A0E33" w:rsidRDefault="000A27DC" w:rsidP="0057484E">
            <w:pPr>
              <w:snapToGrid w:val="0"/>
              <w:jc w:val="center"/>
              <w:rPr>
                <w:b/>
                <w:sz w:val="18"/>
                <w:szCs w:val="18"/>
              </w:rPr>
            </w:pPr>
            <w:r w:rsidRPr="008A0E33">
              <w:rPr>
                <w:b/>
                <w:sz w:val="18"/>
                <w:szCs w:val="18"/>
              </w:rPr>
              <w:t>Knowledge utilization</w:t>
            </w:r>
          </w:p>
        </w:tc>
        <w:tc>
          <w:tcPr>
            <w:tcW w:w="504" w:type="pct"/>
            <w:gridSpan w:val="2"/>
            <w:tcBorders>
              <w:top w:val="single" w:sz="4" w:space="0" w:color="auto"/>
              <w:left w:val="nil"/>
              <w:bottom w:val="single" w:sz="12" w:space="0" w:color="auto"/>
              <w:right w:val="nil"/>
            </w:tcBorders>
          </w:tcPr>
          <w:p w14:paraId="160DECB8" w14:textId="77777777" w:rsidR="000A27DC" w:rsidRPr="008A0E33" w:rsidRDefault="000A27DC" w:rsidP="0057484E">
            <w:pPr>
              <w:snapToGrid w:val="0"/>
              <w:jc w:val="center"/>
              <w:rPr>
                <w:b/>
                <w:sz w:val="18"/>
                <w:szCs w:val="18"/>
              </w:rPr>
            </w:pPr>
            <w:r w:rsidRPr="008A0E33">
              <w:rPr>
                <w:b/>
                <w:sz w:val="18"/>
                <w:szCs w:val="18"/>
              </w:rPr>
              <w:t>Knowledge utilization</w:t>
            </w:r>
          </w:p>
        </w:tc>
        <w:tc>
          <w:tcPr>
            <w:tcW w:w="505" w:type="pct"/>
            <w:gridSpan w:val="2"/>
            <w:tcBorders>
              <w:top w:val="single" w:sz="4" w:space="0" w:color="auto"/>
              <w:left w:val="nil"/>
              <w:bottom w:val="single" w:sz="12" w:space="0" w:color="auto"/>
              <w:right w:val="nil"/>
            </w:tcBorders>
          </w:tcPr>
          <w:p w14:paraId="2F3F1E1F" w14:textId="77777777" w:rsidR="000A27DC" w:rsidRPr="008A0E33" w:rsidRDefault="000A27DC" w:rsidP="0057484E">
            <w:pPr>
              <w:snapToGrid w:val="0"/>
              <w:jc w:val="center"/>
              <w:rPr>
                <w:b/>
                <w:sz w:val="18"/>
                <w:szCs w:val="18"/>
              </w:rPr>
            </w:pPr>
            <w:r w:rsidRPr="008A0E33">
              <w:rPr>
                <w:b/>
                <w:sz w:val="18"/>
                <w:szCs w:val="18"/>
              </w:rPr>
              <w:t>Knowledge utilization</w:t>
            </w:r>
          </w:p>
        </w:tc>
        <w:tc>
          <w:tcPr>
            <w:tcW w:w="504" w:type="pct"/>
            <w:gridSpan w:val="2"/>
            <w:tcBorders>
              <w:top w:val="single" w:sz="4" w:space="0" w:color="auto"/>
              <w:left w:val="nil"/>
              <w:bottom w:val="single" w:sz="12" w:space="0" w:color="auto"/>
              <w:right w:val="nil"/>
            </w:tcBorders>
          </w:tcPr>
          <w:p w14:paraId="2373457C" w14:textId="77777777" w:rsidR="000A27DC" w:rsidRPr="008A0E33" w:rsidRDefault="000A27DC" w:rsidP="0057484E">
            <w:pPr>
              <w:snapToGrid w:val="0"/>
              <w:jc w:val="center"/>
              <w:rPr>
                <w:b/>
                <w:sz w:val="18"/>
                <w:szCs w:val="18"/>
              </w:rPr>
            </w:pPr>
            <w:r w:rsidRPr="008A0E33">
              <w:rPr>
                <w:b/>
                <w:sz w:val="18"/>
                <w:szCs w:val="18"/>
              </w:rPr>
              <w:t>Pasteurian orientation</w:t>
            </w:r>
          </w:p>
        </w:tc>
        <w:tc>
          <w:tcPr>
            <w:tcW w:w="505" w:type="pct"/>
            <w:gridSpan w:val="2"/>
            <w:tcBorders>
              <w:top w:val="single" w:sz="4" w:space="0" w:color="auto"/>
              <w:left w:val="nil"/>
              <w:bottom w:val="single" w:sz="12" w:space="0" w:color="auto"/>
              <w:right w:val="nil"/>
            </w:tcBorders>
          </w:tcPr>
          <w:p w14:paraId="183D5EB2" w14:textId="77777777" w:rsidR="000A27DC" w:rsidRPr="008A0E33" w:rsidRDefault="000A27DC" w:rsidP="0057484E">
            <w:pPr>
              <w:snapToGrid w:val="0"/>
              <w:jc w:val="center"/>
              <w:rPr>
                <w:b/>
                <w:sz w:val="18"/>
                <w:szCs w:val="18"/>
              </w:rPr>
            </w:pPr>
            <w:r w:rsidRPr="008A0E33">
              <w:rPr>
                <w:b/>
                <w:sz w:val="18"/>
                <w:szCs w:val="18"/>
              </w:rPr>
              <w:t>Pasteurian orientation</w:t>
            </w:r>
          </w:p>
        </w:tc>
      </w:tr>
      <w:tr w:rsidR="008A0E33" w:rsidRPr="008A0E33" w14:paraId="72C6AFDF" w14:textId="77777777" w:rsidTr="00B40DF7">
        <w:trPr>
          <w:trHeight w:val="342"/>
        </w:trPr>
        <w:tc>
          <w:tcPr>
            <w:tcW w:w="965" w:type="pct"/>
            <w:tcBorders>
              <w:top w:val="single" w:sz="12" w:space="0" w:color="auto"/>
            </w:tcBorders>
            <w:vAlign w:val="center"/>
          </w:tcPr>
          <w:p w14:paraId="4B0C4F8A" w14:textId="77777777" w:rsidR="000A27DC" w:rsidRPr="008A0E33" w:rsidRDefault="000A27DC" w:rsidP="0057484E">
            <w:pPr>
              <w:autoSpaceDE w:val="0"/>
              <w:autoSpaceDN w:val="0"/>
              <w:adjustRightInd w:val="0"/>
              <w:rPr>
                <w:sz w:val="20"/>
                <w:szCs w:val="20"/>
              </w:rPr>
            </w:pPr>
            <w:r w:rsidRPr="008A0E33">
              <w:rPr>
                <w:rFonts w:cs="Times New Roman"/>
                <w:kern w:val="0"/>
                <w:sz w:val="18"/>
                <w:szCs w:val="18"/>
              </w:rPr>
              <w:t>Public university</w:t>
            </w:r>
          </w:p>
        </w:tc>
        <w:tc>
          <w:tcPr>
            <w:tcW w:w="252" w:type="pct"/>
            <w:tcBorders>
              <w:top w:val="single" w:sz="12" w:space="0" w:color="auto"/>
              <w:left w:val="nil"/>
              <w:bottom w:val="nil"/>
              <w:right w:val="nil"/>
            </w:tcBorders>
            <w:vAlign w:val="center"/>
          </w:tcPr>
          <w:p w14:paraId="32544936"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-.130</w:t>
            </w:r>
          </w:p>
        </w:tc>
        <w:tc>
          <w:tcPr>
            <w:tcW w:w="252" w:type="pct"/>
            <w:tcBorders>
              <w:top w:val="single" w:sz="12" w:space="0" w:color="auto"/>
              <w:left w:val="nil"/>
              <w:bottom w:val="nil"/>
              <w:right w:val="nil"/>
            </w:tcBorders>
            <w:vAlign w:val="center"/>
          </w:tcPr>
          <w:p w14:paraId="66895B8E"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(.251)</w:t>
            </w:r>
          </w:p>
        </w:tc>
        <w:tc>
          <w:tcPr>
            <w:tcW w:w="252" w:type="pct"/>
            <w:tcBorders>
              <w:top w:val="single" w:sz="12" w:space="0" w:color="auto"/>
              <w:left w:val="nil"/>
              <w:bottom w:val="nil"/>
              <w:right w:val="nil"/>
            </w:tcBorders>
            <w:vAlign w:val="center"/>
          </w:tcPr>
          <w:p w14:paraId="3E8A469B"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-.081</w:t>
            </w:r>
          </w:p>
        </w:tc>
        <w:tc>
          <w:tcPr>
            <w:tcW w:w="252" w:type="pct"/>
            <w:tcBorders>
              <w:top w:val="single" w:sz="12" w:space="0" w:color="auto"/>
              <w:left w:val="nil"/>
              <w:bottom w:val="nil"/>
              <w:right w:val="nil"/>
            </w:tcBorders>
            <w:vAlign w:val="center"/>
          </w:tcPr>
          <w:p w14:paraId="59C370FD"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(.251)</w:t>
            </w:r>
          </w:p>
        </w:tc>
        <w:tc>
          <w:tcPr>
            <w:tcW w:w="252" w:type="pct"/>
            <w:tcBorders>
              <w:top w:val="single" w:sz="12" w:space="0" w:color="auto"/>
              <w:left w:val="nil"/>
              <w:bottom w:val="nil"/>
              <w:right w:val="nil"/>
            </w:tcBorders>
            <w:vAlign w:val="center"/>
          </w:tcPr>
          <w:p w14:paraId="39D27B1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-.081</w:t>
            </w:r>
          </w:p>
        </w:tc>
        <w:tc>
          <w:tcPr>
            <w:tcW w:w="253" w:type="pct"/>
            <w:tcBorders>
              <w:top w:val="single" w:sz="12" w:space="0" w:color="auto"/>
              <w:left w:val="nil"/>
              <w:bottom w:val="nil"/>
              <w:right w:val="nil"/>
            </w:tcBorders>
            <w:vAlign w:val="center"/>
          </w:tcPr>
          <w:p w14:paraId="5AC911BF"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(.474)</w:t>
            </w:r>
          </w:p>
        </w:tc>
        <w:tc>
          <w:tcPr>
            <w:tcW w:w="252" w:type="pct"/>
            <w:tcBorders>
              <w:top w:val="single" w:sz="12" w:space="0" w:color="auto"/>
              <w:left w:val="nil"/>
              <w:right w:val="nil"/>
            </w:tcBorders>
            <w:vAlign w:val="center"/>
          </w:tcPr>
          <w:p w14:paraId="6EBAB7E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-.340***</w:t>
            </w:r>
          </w:p>
        </w:tc>
        <w:tc>
          <w:tcPr>
            <w:tcW w:w="252" w:type="pct"/>
            <w:tcBorders>
              <w:top w:val="single" w:sz="12" w:space="0" w:color="auto"/>
              <w:left w:val="nil"/>
              <w:right w:val="nil"/>
            </w:tcBorders>
            <w:vAlign w:val="center"/>
          </w:tcPr>
          <w:p w14:paraId="0C2E323A"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(.000)</w:t>
            </w:r>
          </w:p>
        </w:tc>
        <w:tc>
          <w:tcPr>
            <w:tcW w:w="252" w:type="pct"/>
            <w:tcBorders>
              <w:top w:val="single" w:sz="12" w:space="0" w:color="auto"/>
              <w:left w:val="nil"/>
              <w:right w:val="nil"/>
            </w:tcBorders>
            <w:vAlign w:val="center"/>
          </w:tcPr>
          <w:p w14:paraId="634980C2"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-.306**</w:t>
            </w:r>
          </w:p>
        </w:tc>
        <w:tc>
          <w:tcPr>
            <w:tcW w:w="252" w:type="pct"/>
            <w:tcBorders>
              <w:top w:val="single" w:sz="12" w:space="0" w:color="auto"/>
              <w:left w:val="nil"/>
              <w:right w:val="nil"/>
            </w:tcBorders>
            <w:vAlign w:val="center"/>
          </w:tcPr>
          <w:p w14:paraId="15DD7A54"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(.001)</w:t>
            </w:r>
          </w:p>
        </w:tc>
        <w:tc>
          <w:tcPr>
            <w:tcW w:w="253" w:type="pct"/>
            <w:tcBorders>
              <w:top w:val="single" w:sz="12" w:space="0" w:color="auto"/>
              <w:left w:val="nil"/>
              <w:right w:val="nil"/>
            </w:tcBorders>
            <w:vAlign w:val="center"/>
          </w:tcPr>
          <w:p w14:paraId="6CAAB8E9"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-.308**</w:t>
            </w:r>
          </w:p>
        </w:tc>
        <w:tc>
          <w:tcPr>
            <w:tcW w:w="252" w:type="pct"/>
            <w:tcBorders>
              <w:top w:val="single" w:sz="12" w:space="0" w:color="auto"/>
              <w:left w:val="nil"/>
              <w:right w:val="nil"/>
            </w:tcBorders>
            <w:vAlign w:val="center"/>
          </w:tcPr>
          <w:p w14:paraId="6C84BF06"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(.001)</w:t>
            </w:r>
          </w:p>
        </w:tc>
        <w:tc>
          <w:tcPr>
            <w:tcW w:w="252" w:type="pct"/>
            <w:tcBorders>
              <w:top w:val="single" w:sz="12" w:space="0" w:color="auto"/>
              <w:left w:val="nil"/>
              <w:bottom w:val="nil"/>
              <w:right w:val="nil"/>
            </w:tcBorders>
            <w:vAlign w:val="center"/>
          </w:tcPr>
          <w:p w14:paraId="3BA1371A"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-.247*</w:t>
            </w:r>
          </w:p>
        </w:tc>
        <w:tc>
          <w:tcPr>
            <w:tcW w:w="252" w:type="pct"/>
            <w:tcBorders>
              <w:top w:val="single" w:sz="12" w:space="0" w:color="auto"/>
              <w:left w:val="nil"/>
              <w:bottom w:val="nil"/>
              <w:right w:val="nil"/>
            </w:tcBorders>
            <w:vAlign w:val="center"/>
          </w:tcPr>
          <w:p w14:paraId="32CBA5E8"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(.014)</w:t>
            </w:r>
          </w:p>
        </w:tc>
        <w:tc>
          <w:tcPr>
            <w:tcW w:w="252" w:type="pct"/>
            <w:tcBorders>
              <w:top w:val="single" w:sz="12" w:space="0" w:color="auto"/>
              <w:left w:val="nil"/>
              <w:right w:val="nil"/>
            </w:tcBorders>
            <w:vAlign w:val="center"/>
          </w:tcPr>
          <w:p w14:paraId="49A8775E"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-.250*</w:t>
            </w:r>
          </w:p>
        </w:tc>
        <w:tc>
          <w:tcPr>
            <w:tcW w:w="253" w:type="pct"/>
            <w:tcBorders>
              <w:top w:val="single" w:sz="12" w:space="0" w:color="auto"/>
              <w:left w:val="nil"/>
              <w:right w:val="nil"/>
            </w:tcBorders>
            <w:vAlign w:val="center"/>
          </w:tcPr>
          <w:p w14:paraId="5EF832EE"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(.014)</w:t>
            </w:r>
          </w:p>
        </w:tc>
      </w:tr>
      <w:tr w:rsidR="008A0E33" w:rsidRPr="008A0E33" w14:paraId="792ECF85" w14:textId="77777777" w:rsidTr="00B40DF7">
        <w:trPr>
          <w:trHeight w:val="342"/>
        </w:trPr>
        <w:tc>
          <w:tcPr>
            <w:tcW w:w="965" w:type="pct"/>
            <w:vAlign w:val="center"/>
          </w:tcPr>
          <w:p w14:paraId="4B55EEEE" w14:textId="77777777" w:rsidR="000A27DC" w:rsidRPr="008A0E33" w:rsidRDefault="000A27DC" w:rsidP="0057484E">
            <w:pPr>
              <w:autoSpaceDE w:val="0"/>
              <w:autoSpaceDN w:val="0"/>
              <w:adjustRightInd w:val="0"/>
              <w:rPr>
                <w:kern w:val="0"/>
                <w:sz w:val="20"/>
                <w:szCs w:val="20"/>
              </w:rPr>
            </w:pPr>
            <w:r w:rsidRPr="008A0E33">
              <w:rPr>
                <w:rFonts w:cs="Times New Roman"/>
                <w:kern w:val="0"/>
                <w:sz w:val="18"/>
                <w:szCs w:val="18"/>
              </w:rPr>
              <w:t>Departmental size</w:t>
            </w:r>
          </w:p>
        </w:tc>
        <w:tc>
          <w:tcPr>
            <w:tcW w:w="252" w:type="pct"/>
            <w:tcBorders>
              <w:top w:val="nil"/>
              <w:left w:val="nil"/>
              <w:bottom w:val="nil"/>
              <w:right w:val="nil"/>
            </w:tcBorders>
            <w:vAlign w:val="center"/>
          </w:tcPr>
          <w:p w14:paraId="3ABBF01C"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-.014</w:t>
            </w:r>
          </w:p>
        </w:tc>
        <w:tc>
          <w:tcPr>
            <w:tcW w:w="252" w:type="pct"/>
            <w:tcBorders>
              <w:top w:val="nil"/>
              <w:left w:val="nil"/>
              <w:bottom w:val="nil"/>
              <w:right w:val="nil"/>
            </w:tcBorders>
            <w:vAlign w:val="center"/>
          </w:tcPr>
          <w:p w14:paraId="56F73F3B"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(.903)</w:t>
            </w:r>
          </w:p>
        </w:tc>
        <w:tc>
          <w:tcPr>
            <w:tcW w:w="252" w:type="pct"/>
            <w:tcBorders>
              <w:top w:val="nil"/>
              <w:left w:val="nil"/>
              <w:right w:val="nil"/>
            </w:tcBorders>
            <w:vAlign w:val="center"/>
          </w:tcPr>
          <w:p w14:paraId="6641AB33"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-.017</w:t>
            </w:r>
          </w:p>
        </w:tc>
        <w:tc>
          <w:tcPr>
            <w:tcW w:w="252" w:type="pct"/>
            <w:tcBorders>
              <w:top w:val="nil"/>
              <w:left w:val="nil"/>
              <w:right w:val="nil"/>
            </w:tcBorders>
            <w:vAlign w:val="center"/>
          </w:tcPr>
          <w:p w14:paraId="0051AB88"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(.903)</w:t>
            </w:r>
          </w:p>
        </w:tc>
        <w:tc>
          <w:tcPr>
            <w:tcW w:w="252" w:type="pct"/>
            <w:tcBorders>
              <w:top w:val="nil"/>
              <w:left w:val="nil"/>
              <w:right w:val="nil"/>
            </w:tcBorders>
            <w:vAlign w:val="center"/>
          </w:tcPr>
          <w:p w14:paraId="582E386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-.004</w:t>
            </w:r>
          </w:p>
        </w:tc>
        <w:tc>
          <w:tcPr>
            <w:tcW w:w="253" w:type="pct"/>
            <w:tcBorders>
              <w:top w:val="nil"/>
              <w:left w:val="nil"/>
              <w:right w:val="nil"/>
            </w:tcBorders>
            <w:vAlign w:val="center"/>
          </w:tcPr>
          <w:p w14:paraId="0035AF05"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(.974)</w:t>
            </w:r>
          </w:p>
        </w:tc>
        <w:tc>
          <w:tcPr>
            <w:tcW w:w="252" w:type="pct"/>
            <w:tcBorders>
              <w:left w:val="nil"/>
              <w:right w:val="nil"/>
            </w:tcBorders>
            <w:vAlign w:val="center"/>
          </w:tcPr>
          <w:p w14:paraId="26880326"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-.001</w:t>
            </w:r>
          </w:p>
        </w:tc>
        <w:tc>
          <w:tcPr>
            <w:tcW w:w="252" w:type="pct"/>
            <w:tcBorders>
              <w:left w:val="nil"/>
              <w:right w:val="nil"/>
            </w:tcBorders>
            <w:vAlign w:val="center"/>
          </w:tcPr>
          <w:p w14:paraId="4AED825A"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(.990)</w:t>
            </w:r>
          </w:p>
        </w:tc>
        <w:tc>
          <w:tcPr>
            <w:tcW w:w="252" w:type="pct"/>
            <w:tcBorders>
              <w:left w:val="nil"/>
              <w:right w:val="nil"/>
            </w:tcBorders>
            <w:vAlign w:val="center"/>
          </w:tcPr>
          <w:p w14:paraId="14AE8BBE"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-.003</w:t>
            </w:r>
          </w:p>
        </w:tc>
        <w:tc>
          <w:tcPr>
            <w:tcW w:w="252" w:type="pct"/>
            <w:tcBorders>
              <w:left w:val="nil"/>
              <w:right w:val="nil"/>
            </w:tcBorders>
            <w:vAlign w:val="center"/>
          </w:tcPr>
          <w:p w14:paraId="0733B1B9"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(.971)</w:t>
            </w:r>
          </w:p>
        </w:tc>
        <w:tc>
          <w:tcPr>
            <w:tcW w:w="253" w:type="pct"/>
            <w:tcBorders>
              <w:left w:val="nil"/>
              <w:right w:val="nil"/>
            </w:tcBorders>
            <w:vAlign w:val="center"/>
          </w:tcPr>
          <w:p w14:paraId="6535B47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.006</w:t>
            </w:r>
          </w:p>
        </w:tc>
        <w:tc>
          <w:tcPr>
            <w:tcW w:w="252" w:type="pct"/>
            <w:tcBorders>
              <w:left w:val="nil"/>
              <w:right w:val="nil"/>
            </w:tcBorders>
            <w:vAlign w:val="center"/>
          </w:tcPr>
          <w:p w14:paraId="5858094C"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(.953)</w:t>
            </w:r>
          </w:p>
        </w:tc>
        <w:tc>
          <w:tcPr>
            <w:tcW w:w="252" w:type="pct"/>
            <w:tcBorders>
              <w:top w:val="nil"/>
              <w:left w:val="nil"/>
              <w:bottom w:val="nil"/>
              <w:right w:val="nil"/>
            </w:tcBorders>
            <w:vAlign w:val="center"/>
          </w:tcPr>
          <w:p w14:paraId="446995EE"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-.008</w:t>
            </w:r>
          </w:p>
        </w:tc>
        <w:tc>
          <w:tcPr>
            <w:tcW w:w="252" w:type="pct"/>
            <w:tcBorders>
              <w:top w:val="nil"/>
              <w:left w:val="nil"/>
              <w:bottom w:val="nil"/>
              <w:right w:val="nil"/>
            </w:tcBorders>
            <w:vAlign w:val="center"/>
          </w:tcPr>
          <w:p w14:paraId="21A9A5D4"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(.938)</w:t>
            </w:r>
          </w:p>
        </w:tc>
        <w:tc>
          <w:tcPr>
            <w:tcW w:w="252" w:type="pct"/>
            <w:tcBorders>
              <w:left w:val="nil"/>
              <w:right w:val="nil"/>
            </w:tcBorders>
            <w:vAlign w:val="center"/>
          </w:tcPr>
          <w:p w14:paraId="044B6BBE"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-.008</w:t>
            </w:r>
          </w:p>
        </w:tc>
        <w:tc>
          <w:tcPr>
            <w:tcW w:w="253" w:type="pct"/>
            <w:tcBorders>
              <w:left w:val="nil"/>
              <w:right w:val="nil"/>
            </w:tcBorders>
            <w:vAlign w:val="center"/>
          </w:tcPr>
          <w:p w14:paraId="5C711490"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(.975)</w:t>
            </w:r>
          </w:p>
        </w:tc>
      </w:tr>
      <w:tr w:rsidR="008A0E33" w:rsidRPr="008A0E33" w14:paraId="0AE93E22" w14:textId="77777777" w:rsidTr="00B40DF7">
        <w:trPr>
          <w:trHeight w:val="342"/>
        </w:trPr>
        <w:tc>
          <w:tcPr>
            <w:tcW w:w="965" w:type="pct"/>
            <w:vAlign w:val="center"/>
          </w:tcPr>
          <w:p w14:paraId="13DC2126" w14:textId="60A67BEE" w:rsidR="000A27DC" w:rsidRPr="008A0E33" w:rsidRDefault="000A27DC" w:rsidP="0057484E">
            <w:pPr>
              <w:autoSpaceDE w:val="0"/>
              <w:autoSpaceDN w:val="0"/>
              <w:adjustRightInd w:val="0"/>
              <w:rPr>
                <w:kern w:val="0"/>
                <w:sz w:val="20"/>
                <w:szCs w:val="20"/>
              </w:rPr>
            </w:pPr>
            <w:r w:rsidRPr="008A0E33">
              <w:rPr>
                <w:rFonts w:cs="Times New Roman"/>
                <w:kern w:val="0"/>
                <w:sz w:val="18"/>
                <w:szCs w:val="18"/>
              </w:rPr>
              <w:t>Engineer</w:t>
            </w:r>
            <w:r w:rsidR="009B6FA9">
              <w:rPr>
                <w:rFonts w:cs="Times New Roman"/>
                <w:kern w:val="0"/>
                <w:sz w:val="18"/>
                <w:szCs w:val="18"/>
              </w:rPr>
              <w:t>ing</w:t>
            </w:r>
            <w:r w:rsidRPr="008A0E33">
              <w:rPr>
                <w:rFonts w:cs="Times New Roman"/>
                <w:kern w:val="0"/>
                <w:sz w:val="18"/>
                <w:szCs w:val="18"/>
              </w:rPr>
              <w:t xml:space="preserve"> college</w:t>
            </w:r>
          </w:p>
        </w:tc>
        <w:tc>
          <w:tcPr>
            <w:tcW w:w="252" w:type="pct"/>
            <w:tcBorders>
              <w:top w:val="nil"/>
              <w:left w:val="nil"/>
              <w:bottom w:val="nil"/>
              <w:right w:val="nil"/>
            </w:tcBorders>
            <w:vAlign w:val="center"/>
          </w:tcPr>
          <w:p w14:paraId="7EF05DC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.329</w:t>
            </w:r>
          </w:p>
        </w:tc>
        <w:tc>
          <w:tcPr>
            <w:tcW w:w="252" w:type="pct"/>
            <w:tcBorders>
              <w:top w:val="nil"/>
              <w:left w:val="nil"/>
              <w:bottom w:val="nil"/>
              <w:right w:val="nil"/>
            </w:tcBorders>
            <w:vAlign w:val="center"/>
          </w:tcPr>
          <w:p w14:paraId="664ABD96"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(.112)</w:t>
            </w:r>
          </w:p>
        </w:tc>
        <w:tc>
          <w:tcPr>
            <w:tcW w:w="252" w:type="pct"/>
            <w:tcBorders>
              <w:top w:val="nil"/>
              <w:left w:val="nil"/>
              <w:right w:val="nil"/>
            </w:tcBorders>
            <w:vAlign w:val="center"/>
          </w:tcPr>
          <w:p w14:paraId="5C580E1D" w14:textId="77777777" w:rsidR="000A27DC" w:rsidRPr="008A0E33" w:rsidRDefault="000A27DC" w:rsidP="0057484E">
            <w:pPr>
              <w:autoSpaceDE w:val="0"/>
              <w:autoSpaceDN w:val="0"/>
              <w:adjustRightInd w:val="0"/>
              <w:snapToGrid w:val="0"/>
              <w:jc w:val="right"/>
              <w:rPr>
                <w:sz w:val="18"/>
                <w:szCs w:val="18"/>
              </w:rPr>
            </w:pPr>
            <w:r w:rsidRPr="008A0E33">
              <w:rPr>
                <w:kern w:val="0"/>
                <w:sz w:val="18"/>
                <w:szCs w:val="18"/>
              </w:rPr>
              <w:t>.191</w:t>
            </w:r>
          </w:p>
        </w:tc>
        <w:tc>
          <w:tcPr>
            <w:tcW w:w="252" w:type="pct"/>
            <w:tcBorders>
              <w:top w:val="nil"/>
              <w:left w:val="nil"/>
              <w:right w:val="nil"/>
            </w:tcBorders>
            <w:vAlign w:val="center"/>
          </w:tcPr>
          <w:p w14:paraId="39225A95" w14:textId="77777777" w:rsidR="000A27DC" w:rsidRPr="008A0E33" w:rsidRDefault="000A27DC" w:rsidP="0057484E">
            <w:pPr>
              <w:autoSpaceDE w:val="0"/>
              <w:autoSpaceDN w:val="0"/>
              <w:adjustRightInd w:val="0"/>
              <w:snapToGrid w:val="0"/>
              <w:rPr>
                <w:sz w:val="18"/>
                <w:szCs w:val="18"/>
              </w:rPr>
            </w:pPr>
            <w:r w:rsidRPr="008A0E33">
              <w:rPr>
                <w:kern w:val="0"/>
                <w:sz w:val="18"/>
                <w:szCs w:val="18"/>
              </w:rPr>
              <w:t>(.112)</w:t>
            </w:r>
          </w:p>
        </w:tc>
        <w:tc>
          <w:tcPr>
            <w:tcW w:w="252" w:type="pct"/>
            <w:tcBorders>
              <w:top w:val="nil"/>
              <w:left w:val="nil"/>
              <w:right w:val="nil"/>
            </w:tcBorders>
            <w:vAlign w:val="center"/>
          </w:tcPr>
          <w:p w14:paraId="75F9DD1E"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.242</w:t>
            </w:r>
          </w:p>
        </w:tc>
        <w:tc>
          <w:tcPr>
            <w:tcW w:w="253" w:type="pct"/>
            <w:tcBorders>
              <w:top w:val="nil"/>
              <w:left w:val="nil"/>
              <w:right w:val="nil"/>
            </w:tcBorders>
            <w:vAlign w:val="center"/>
          </w:tcPr>
          <w:p w14:paraId="0DA4C3AF" w14:textId="77777777" w:rsidR="000A27DC" w:rsidRPr="008A0E33" w:rsidRDefault="000A27DC" w:rsidP="0057484E">
            <w:pPr>
              <w:autoSpaceDE w:val="0"/>
              <w:autoSpaceDN w:val="0"/>
              <w:adjustRightInd w:val="0"/>
              <w:snapToGrid w:val="0"/>
              <w:rPr>
                <w:sz w:val="18"/>
                <w:szCs w:val="18"/>
              </w:rPr>
            </w:pPr>
            <w:r w:rsidRPr="008A0E33">
              <w:rPr>
                <w:kern w:val="0"/>
                <w:sz w:val="18"/>
                <w:szCs w:val="18"/>
              </w:rPr>
              <w:t>(.241)</w:t>
            </w:r>
          </w:p>
        </w:tc>
        <w:tc>
          <w:tcPr>
            <w:tcW w:w="252" w:type="pct"/>
            <w:tcBorders>
              <w:left w:val="nil"/>
              <w:right w:val="nil"/>
            </w:tcBorders>
            <w:vAlign w:val="center"/>
          </w:tcPr>
          <w:p w14:paraId="04F3C6C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.439**</w:t>
            </w:r>
          </w:p>
        </w:tc>
        <w:tc>
          <w:tcPr>
            <w:tcW w:w="252" w:type="pct"/>
            <w:tcBorders>
              <w:left w:val="nil"/>
              <w:right w:val="nil"/>
            </w:tcBorders>
            <w:vAlign w:val="center"/>
          </w:tcPr>
          <w:p w14:paraId="171C73BE"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(.010)</w:t>
            </w:r>
          </w:p>
        </w:tc>
        <w:tc>
          <w:tcPr>
            <w:tcW w:w="252" w:type="pct"/>
            <w:tcBorders>
              <w:left w:val="nil"/>
              <w:right w:val="nil"/>
            </w:tcBorders>
            <w:vAlign w:val="center"/>
          </w:tcPr>
          <w:p w14:paraId="3990F825"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.383*</w:t>
            </w:r>
          </w:p>
        </w:tc>
        <w:tc>
          <w:tcPr>
            <w:tcW w:w="252" w:type="pct"/>
            <w:tcBorders>
              <w:left w:val="nil"/>
              <w:right w:val="nil"/>
            </w:tcBorders>
            <w:vAlign w:val="center"/>
          </w:tcPr>
          <w:p w14:paraId="098C7F28" w14:textId="77777777" w:rsidR="000A27DC" w:rsidRPr="008A0E33" w:rsidRDefault="000A27DC" w:rsidP="0057484E">
            <w:pPr>
              <w:autoSpaceDE w:val="0"/>
              <w:autoSpaceDN w:val="0"/>
              <w:adjustRightInd w:val="0"/>
              <w:snapToGrid w:val="0"/>
              <w:rPr>
                <w:sz w:val="18"/>
                <w:szCs w:val="18"/>
              </w:rPr>
            </w:pPr>
            <w:r w:rsidRPr="008A0E33">
              <w:rPr>
                <w:kern w:val="0"/>
                <w:sz w:val="18"/>
                <w:szCs w:val="18"/>
              </w:rPr>
              <w:t>(.048)</w:t>
            </w:r>
          </w:p>
        </w:tc>
        <w:tc>
          <w:tcPr>
            <w:tcW w:w="253" w:type="pct"/>
            <w:tcBorders>
              <w:left w:val="nil"/>
              <w:right w:val="nil"/>
            </w:tcBorders>
            <w:vAlign w:val="center"/>
          </w:tcPr>
          <w:p w14:paraId="6DF6E19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.383*</w:t>
            </w:r>
          </w:p>
        </w:tc>
        <w:tc>
          <w:tcPr>
            <w:tcW w:w="252" w:type="pct"/>
            <w:tcBorders>
              <w:left w:val="nil"/>
              <w:right w:val="nil"/>
            </w:tcBorders>
            <w:vAlign w:val="center"/>
          </w:tcPr>
          <w:p w14:paraId="333969AC" w14:textId="77777777" w:rsidR="000A27DC" w:rsidRPr="008A0E33" w:rsidRDefault="000A27DC" w:rsidP="0057484E">
            <w:pPr>
              <w:autoSpaceDE w:val="0"/>
              <w:autoSpaceDN w:val="0"/>
              <w:adjustRightInd w:val="0"/>
              <w:snapToGrid w:val="0"/>
              <w:rPr>
                <w:sz w:val="18"/>
                <w:szCs w:val="18"/>
              </w:rPr>
            </w:pPr>
            <w:r w:rsidRPr="008A0E33">
              <w:rPr>
                <w:kern w:val="0"/>
                <w:sz w:val="18"/>
                <w:szCs w:val="18"/>
              </w:rPr>
              <w:t>(.025)</w:t>
            </w:r>
          </w:p>
        </w:tc>
        <w:tc>
          <w:tcPr>
            <w:tcW w:w="252" w:type="pct"/>
            <w:tcBorders>
              <w:top w:val="nil"/>
              <w:left w:val="nil"/>
              <w:bottom w:val="nil"/>
              <w:right w:val="nil"/>
            </w:tcBorders>
            <w:vAlign w:val="center"/>
          </w:tcPr>
          <w:p w14:paraId="3C97C33A"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.297</w:t>
            </w:r>
          </w:p>
        </w:tc>
        <w:tc>
          <w:tcPr>
            <w:tcW w:w="252" w:type="pct"/>
            <w:tcBorders>
              <w:top w:val="nil"/>
              <w:left w:val="nil"/>
              <w:bottom w:val="nil"/>
              <w:right w:val="nil"/>
            </w:tcBorders>
            <w:vAlign w:val="center"/>
          </w:tcPr>
          <w:p w14:paraId="25295673"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(.113)</w:t>
            </w:r>
          </w:p>
        </w:tc>
        <w:tc>
          <w:tcPr>
            <w:tcW w:w="252" w:type="pct"/>
            <w:tcBorders>
              <w:left w:val="nil"/>
              <w:right w:val="nil"/>
            </w:tcBorders>
            <w:vAlign w:val="center"/>
          </w:tcPr>
          <w:p w14:paraId="3DE62D1B"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.348</w:t>
            </w:r>
            <w:r w:rsidRPr="008A0E33">
              <w:rPr>
                <w:kern w:val="0"/>
                <w:vertAlign w:val="superscript"/>
              </w:rPr>
              <w:t>+</w:t>
            </w:r>
          </w:p>
        </w:tc>
        <w:tc>
          <w:tcPr>
            <w:tcW w:w="253" w:type="pct"/>
            <w:tcBorders>
              <w:left w:val="nil"/>
              <w:right w:val="nil"/>
            </w:tcBorders>
            <w:vAlign w:val="center"/>
          </w:tcPr>
          <w:p w14:paraId="425D288B"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(.061)</w:t>
            </w:r>
          </w:p>
        </w:tc>
      </w:tr>
      <w:tr w:rsidR="008A0E33" w:rsidRPr="008A0E33" w14:paraId="4E3679F1" w14:textId="77777777" w:rsidTr="00B40DF7">
        <w:trPr>
          <w:trHeight w:val="342"/>
        </w:trPr>
        <w:tc>
          <w:tcPr>
            <w:tcW w:w="965" w:type="pct"/>
            <w:vAlign w:val="center"/>
          </w:tcPr>
          <w:p w14:paraId="31014577" w14:textId="77777777" w:rsidR="000A27DC" w:rsidRPr="008A0E33" w:rsidRDefault="000A27DC" w:rsidP="0057484E">
            <w:pPr>
              <w:autoSpaceDE w:val="0"/>
              <w:autoSpaceDN w:val="0"/>
              <w:adjustRightInd w:val="0"/>
              <w:rPr>
                <w:kern w:val="0"/>
                <w:sz w:val="20"/>
                <w:szCs w:val="20"/>
              </w:rPr>
            </w:pPr>
            <w:r w:rsidRPr="008A0E33">
              <w:rPr>
                <w:rFonts w:cs="Times New Roman"/>
                <w:kern w:val="0"/>
                <w:sz w:val="18"/>
                <w:szCs w:val="18"/>
              </w:rPr>
              <w:t>Science college</w:t>
            </w:r>
          </w:p>
        </w:tc>
        <w:tc>
          <w:tcPr>
            <w:tcW w:w="252" w:type="pct"/>
            <w:tcBorders>
              <w:top w:val="nil"/>
              <w:left w:val="nil"/>
              <w:bottom w:val="nil"/>
              <w:right w:val="nil"/>
            </w:tcBorders>
            <w:vAlign w:val="center"/>
          </w:tcPr>
          <w:p w14:paraId="18D2B907"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.113</w:t>
            </w:r>
          </w:p>
        </w:tc>
        <w:tc>
          <w:tcPr>
            <w:tcW w:w="252" w:type="pct"/>
            <w:tcBorders>
              <w:top w:val="nil"/>
              <w:left w:val="nil"/>
              <w:bottom w:val="nil"/>
              <w:right w:val="nil"/>
            </w:tcBorders>
            <w:vAlign w:val="center"/>
          </w:tcPr>
          <w:p w14:paraId="6711105E"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(.486)</w:t>
            </w:r>
          </w:p>
        </w:tc>
        <w:tc>
          <w:tcPr>
            <w:tcW w:w="252" w:type="pct"/>
            <w:tcBorders>
              <w:top w:val="nil"/>
              <w:left w:val="nil"/>
              <w:right w:val="nil"/>
            </w:tcBorders>
            <w:vAlign w:val="center"/>
          </w:tcPr>
          <w:p w14:paraId="14ADC34A" w14:textId="77777777" w:rsidR="000A27DC" w:rsidRPr="008A0E33" w:rsidRDefault="000A27DC" w:rsidP="0057484E">
            <w:pPr>
              <w:autoSpaceDE w:val="0"/>
              <w:autoSpaceDN w:val="0"/>
              <w:adjustRightInd w:val="0"/>
              <w:snapToGrid w:val="0"/>
              <w:jc w:val="right"/>
              <w:rPr>
                <w:sz w:val="18"/>
                <w:szCs w:val="18"/>
              </w:rPr>
            </w:pPr>
            <w:r w:rsidRPr="008A0E33">
              <w:rPr>
                <w:kern w:val="0"/>
                <w:sz w:val="18"/>
                <w:szCs w:val="18"/>
              </w:rPr>
              <w:t>.019</w:t>
            </w:r>
          </w:p>
        </w:tc>
        <w:tc>
          <w:tcPr>
            <w:tcW w:w="252" w:type="pct"/>
            <w:tcBorders>
              <w:top w:val="nil"/>
              <w:left w:val="nil"/>
              <w:right w:val="nil"/>
            </w:tcBorders>
            <w:vAlign w:val="center"/>
          </w:tcPr>
          <w:p w14:paraId="692998E4" w14:textId="77777777" w:rsidR="000A27DC" w:rsidRPr="008A0E33" w:rsidRDefault="000A27DC" w:rsidP="0057484E">
            <w:pPr>
              <w:autoSpaceDE w:val="0"/>
              <w:autoSpaceDN w:val="0"/>
              <w:adjustRightInd w:val="0"/>
              <w:snapToGrid w:val="0"/>
              <w:rPr>
                <w:sz w:val="18"/>
                <w:szCs w:val="18"/>
              </w:rPr>
            </w:pPr>
            <w:r w:rsidRPr="008A0E33">
              <w:rPr>
                <w:kern w:val="0"/>
                <w:sz w:val="18"/>
                <w:szCs w:val="18"/>
              </w:rPr>
              <w:t>(.486)</w:t>
            </w:r>
          </w:p>
        </w:tc>
        <w:tc>
          <w:tcPr>
            <w:tcW w:w="252" w:type="pct"/>
            <w:tcBorders>
              <w:top w:val="nil"/>
              <w:left w:val="nil"/>
              <w:right w:val="nil"/>
            </w:tcBorders>
            <w:vAlign w:val="center"/>
          </w:tcPr>
          <w:p w14:paraId="7BDB46B4"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.061</w:t>
            </w:r>
          </w:p>
        </w:tc>
        <w:tc>
          <w:tcPr>
            <w:tcW w:w="253" w:type="pct"/>
            <w:tcBorders>
              <w:top w:val="nil"/>
              <w:left w:val="nil"/>
              <w:right w:val="nil"/>
            </w:tcBorders>
            <w:vAlign w:val="center"/>
          </w:tcPr>
          <w:p w14:paraId="26346C77" w14:textId="77777777" w:rsidR="000A27DC" w:rsidRPr="008A0E33" w:rsidRDefault="000A27DC" w:rsidP="0057484E">
            <w:pPr>
              <w:autoSpaceDE w:val="0"/>
              <w:autoSpaceDN w:val="0"/>
              <w:adjustRightInd w:val="0"/>
              <w:snapToGrid w:val="0"/>
              <w:rPr>
                <w:sz w:val="18"/>
                <w:szCs w:val="18"/>
              </w:rPr>
            </w:pPr>
            <w:r w:rsidRPr="008A0E33">
              <w:rPr>
                <w:kern w:val="0"/>
                <w:sz w:val="18"/>
                <w:szCs w:val="18"/>
              </w:rPr>
              <w:t>(.705)</w:t>
            </w:r>
          </w:p>
        </w:tc>
        <w:tc>
          <w:tcPr>
            <w:tcW w:w="252" w:type="pct"/>
            <w:tcBorders>
              <w:left w:val="nil"/>
              <w:right w:val="nil"/>
            </w:tcBorders>
            <w:vAlign w:val="center"/>
          </w:tcPr>
          <w:p w14:paraId="4431DB7C"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-.058</w:t>
            </w:r>
          </w:p>
        </w:tc>
        <w:tc>
          <w:tcPr>
            <w:tcW w:w="252" w:type="pct"/>
            <w:tcBorders>
              <w:left w:val="nil"/>
              <w:right w:val="nil"/>
            </w:tcBorders>
            <w:vAlign w:val="center"/>
          </w:tcPr>
          <w:p w14:paraId="47BDFE1C"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(.661)</w:t>
            </w:r>
          </w:p>
        </w:tc>
        <w:tc>
          <w:tcPr>
            <w:tcW w:w="252" w:type="pct"/>
            <w:tcBorders>
              <w:left w:val="nil"/>
              <w:right w:val="nil"/>
            </w:tcBorders>
            <w:vAlign w:val="center"/>
          </w:tcPr>
          <w:p w14:paraId="5ECA5EBF"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-.091</w:t>
            </w:r>
          </w:p>
        </w:tc>
        <w:tc>
          <w:tcPr>
            <w:tcW w:w="252" w:type="pct"/>
            <w:tcBorders>
              <w:left w:val="nil"/>
              <w:right w:val="nil"/>
            </w:tcBorders>
            <w:vAlign w:val="center"/>
          </w:tcPr>
          <w:p w14:paraId="14A1B8C7" w14:textId="77777777" w:rsidR="000A27DC" w:rsidRPr="008A0E33" w:rsidRDefault="000A27DC" w:rsidP="0057484E">
            <w:pPr>
              <w:autoSpaceDE w:val="0"/>
              <w:autoSpaceDN w:val="0"/>
              <w:adjustRightInd w:val="0"/>
              <w:snapToGrid w:val="0"/>
              <w:rPr>
                <w:sz w:val="18"/>
                <w:szCs w:val="18"/>
              </w:rPr>
            </w:pPr>
            <w:r w:rsidRPr="008A0E33">
              <w:rPr>
                <w:kern w:val="0"/>
                <w:sz w:val="18"/>
                <w:szCs w:val="18"/>
              </w:rPr>
              <w:t>(.357)</w:t>
            </w:r>
          </w:p>
        </w:tc>
        <w:tc>
          <w:tcPr>
            <w:tcW w:w="253" w:type="pct"/>
            <w:tcBorders>
              <w:left w:val="nil"/>
              <w:right w:val="nil"/>
            </w:tcBorders>
            <w:vAlign w:val="center"/>
          </w:tcPr>
          <w:p w14:paraId="1B3A79A5"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-.091</w:t>
            </w:r>
          </w:p>
        </w:tc>
        <w:tc>
          <w:tcPr>
            <w:tcW w:w="252" w:type="pct"/>
            <w:tcBorders>
              <w:left w:val="nil"/>
              <w:right w:val="nil"/>
            </w:tcBorders>
            <w:vAlign w:val="center"/>
          </w:tcPr>
          <w:p w14:paraId="2D597021" w14:textId="77777777" w:rsidR="000A27DC" w:rsidRPr="008A0E33" w:rsidRDefault="000A27DC" w:rsidP="0057484E">
            <w:pPr>
              <w:autoSpaceDE w:val="0"/>
              <w:autoSpaceDN w:val="0"/>
              <w:adjustRightInd w:val="0"/>
              <w:snapToGrid w:val="0"/>
              <w:rPr>
                <w:sz w:val="18"/>
                <w:szCs w:val="18"/>
              </w:rPr>
            </w:pPr>
            <w:r w:rsidRPr="008A0E33">
              <w:rPr>
                <w:kern w:val="0"/>
                <w:sz w:val="18"/>
                <w:szCs w:val="18"/>
              </w:rPr>
              <w:t>(.490)</w:t>
            </w:r>
          </w:p>
        </w:tc>
        <w:tc>
          <w:tcPr>
            <w:tcW w:w="252" w:type="pct"/>
            <w:tcBorders>
              <w:top w:val="nil"/>
              <w:left w:val="nil"/>
              <w:bottom w:val="nil"/>
              <w:right w:val="nil"/>
            </w:tcBorders>
            <w:vAlign w:val="center"/>
          </w:tcPr>
          <w:p w14:paraId="5B2F7CE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-.083</w:t>
            </w:r>
          </w:p>
        </w:tc>
        <w:tc>
          <w:tcPr>
            <w:tcW w:w="252" w:type="pct"/>
            <w:tcBorders>
              <w:top w:val="nil"/>
              <w:left w:val="nil"/>
              <w:bottom w:val="nil"/>
              <w:right w:val="nil"/>
            </w:tcBorders>
            <w:vAlign w:val="center"/>
          </w:tcPr>
          <w:p w14:paraId="47D683E0"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(.565)</w:t>
            </w:r>
          </w:p>
        </w:tc>
        <w:tc>
          <w:tcPr>
            <w:tcW w:w="252" w:type="pct"/>
            <w:tcBorders>
              <w:left w:val="nil"/>
              <w:right w:val="nil"/>
            </w:tcBorders>
            <w:vAlign w:val="center"/>
          </w:tcPr>
          <w:p w14:paraId="0B8E14CD"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-.043</w:t>
            </w:r>
          </w:p>
        </w:tc>
        <w:tc>
          <w:tcPr>
            <w:tcW w:w="253" w:type="pct"/>
            <w:tcBorders>
              <w:left w:val="nil"/>
              <w:right w:val="nil"/>
            </w:tcBorders>
            <w:vAlign w:val="center"/>
          </w:tcPr>
          <w:p w14:paraId="64C0A994"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(.764)</w:t>
            </w:r>
          </w:p>
        </w:tc>
      </w:tr>
      <w:tr w:rsidR="008A0E33" w:rsidRPr="008A0E33" w14:paraId="1CB4D9EC" w14:textId="77777777" w:rsidTr="00B40DF7">
        <w:trPr>
          <w:trHeight w:val="342"/>
        </w:trPr>
        <w:tc>
          <w:tcPr>
            <w:tcW w:w="965" w:type="pct"/>
            <w:vAlign w:val="center"/>
          </w:tcPr>
          <w:p w14:paraId="1AF0F0F7" w14:textId="77777777" w:rsidR="000A27DC" w:rsidRPr="008A0E33" w:rsidRDefault="000A27DC" w:rsidP="0057484E">
            <w:pPr>
              <w:autoSpaceDE w:val="0"/>
              <w:autoSpaceDN w:val="0"/>
              <w:adjustRightInd w:val="0"/>
              <w:rPr>
                <w:kern w:val="0"/>
                <w:sz w:val="20"/>
                <w:szCs w:val="20"/>
              </w:rPr>
            </w:pPr>
            <w:r w:rsidRPr="008A0E33">
              <w:rPr>
                <w:rFonts w:cs="Times New Roman"/>
                <w:kern w:val="0"/>
                <w:sz w:val="18"/>
                <w:szCs w:val="18"/>
              </w:rPr>
              <w:t>Life Sci. and Med. college</w:t>
            </w:r>
          </w:p>
        </w:tc>
        <w:tc>
          <w:tcPr>
            <w:tcW w:w="252" w:type="pct"/>
            <w:tcBorders>
              <w:top w:val="nil"/>
              <w:left w:val="nil"/>
              <w:bottom w:val="nil"/>
              <w:right w:val="nil"/>
            </w:tcBorders>
            <w:vAlign w:val="center"/>
          </w:tcPr>
          <w:p w14:paraId="2858E21D"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.182</w:t>
            </w:r>
          </w:p>
        </w:tc>
        <w:tc>
          <w:tcPr>
            <w:tcW w:w="252" w:type="pct"/>
            <w:tcBorders>
              <w:top w:val="nil"/>
              <w:left w:val="nil"/>
              <w:bottom w:val="nil"/>
              <w:right w:val="nil"/>
            </w:tcBorders>
            <w:vAlign w:val="center"/>
          </w:tcPr>
          <w:p w14:paraId="74E736B8"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(.340)</w:t>
            </w:r>
          </w:p>
        </w:tc>
        <w:tc>
          <w:tcPr>
            <w:tcW w:w="252" w:type="pct"/>
            <w:tcBorders>
              <w:top w:val="nil"/>
              <w:left w:val="nil"/>
              <w:right w:val="nil"/>
            </w:tcBorders>
            <w:vAlign w:val="center"/>
          </w:tcPr>
          <w:p w14:paraId="652B15EC" w14:textId="77777777" w:rsidR="000A27DC" w:rsidRPr="008A0E33" w:rsidRDefault="000A27DC" w:rsidP="0057484E">
            <w:pPr>
              <w:autoSpaceDE w:val="0"/>
              <w:autoSpaceDN w:val="0"/>
              <w:adjustRightInd w:val="0"/>
              <w:snapToGrid w:val="0"/>
              <w:jc w:val="right"/>
              <w:rPr>
                <w:sz w:val="18"/>
                <w:szCs w:val="18"/>
              </w:rPr>
            </w:pPr>
            <w:r w:rsidRPr="008A0E33">
              <w:rPr>
                <w:kern w:val="0"/>
                <w:sz w:val="18"/>
                <w:szCs w:val="18"/>
              </w:rPr>
              <w:t>.035</w:t>
            </w:r>
          </w:p>
        </w:tc>
        <w:tc>
          <w:tcPr>
            <w:tcW w:w="252" w:type="pct"/>
            <w:tcBorders>
              <w:top w:val="nil"/>
              <w:left w:val="nil"/>
              <w:right w:val="nil"/>
            </w:tcBorders>
            <w:vAlign w:val="center"/>
          </w:tcPr>
          <w:p w14:paraId="40F4D9EC" w14:textId="77777777" w:rsidR="000A27DC" w:rsidRPr="008A0E33" w:rsidRDefault="000A27DC" w:rsidP="0057484E">
            <w:pPr>
              <w:autoSpaceDE w:val="0"/>
              <w:autoSpaceDN w:val="0"/>
              <w:adjustRightInd w:val="0"/>
              <w:snapToGrid w:val="0"/>
              <w:rPr>
                <w:sz w:val="18"/>
                <w:szCs w:val="18"/>
              </w:rPr>
            </w:pPr>
            <w:r w:rsidRPr="008A0E33">
              <w:rPr>
                <w:kern w:val="0"/>
                <w:sz w:val="18"/>
                <w:szCs w:val="18"/>
              </w:rPr>
              <w:t>(.340)</w:t>
            </w:r>
          </w:p>
        </w:tc>
        <w:tc>
          <w:tcPr>
            <w:tcW w:w="252" w:type="pct"/>
            <w:tcBorders>
              <w:top w:val="nil"/>
              <w:left w:val="nil"/>
              <w:right w:val="nil"/>
            </w:tcBorders>
            <w:vAlign w:val="center"/>
          </w:tcPr>
          <w:p w14:paraId="0C590EC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.037</w:t>
            </w:r>
          </w:p>
        </w:tc>
        <w:tc>
          <w:tcPr>
            <w:tcW w:w="253" w:type="pct"/>
            <w:tcBorders>
              <w:top w:val="nil"/>
              <w:left w:val="nil"/>
              <w:right w:val="nil"/>
            </w:tcBorders>
            <w:vAlign w:val="center"/>
          </w:tcPr>
          <w:p w14:paraId="4F979153" w14:textId="77777777" w:rsidR="000A27DC" w:rsidRPr="008A0E33" w:rsidRDefault="000A27DC" w:rsidP="0057484E">
            <w:pPr>
              <w:autoSpaceDE w:val="0"/>
              <w:autoSpaceDN w:val="0"/>
              <w:adjustRightInd w:val="0"/>
              <w:snapToGrid w:val="0"/>
              <w:rPr>
                <w:sz w:val="18"/>
                <w:szCs w:val="18"/>
              </w:rPr>
            </w:pPr>
            <w:r w:rsidRPr="008A0E33">
              <w:rPr>
                <w:kern w:val="0"/>
                <w:sz w:val="18"/>
                <w:szCs w:val="18"/>
              </w:rPr>
              <w:t>(.853)</w:t>
            </w:r>
          </w:p>
        </w:tc>
        <w:tc>
          <w:tcPr>
            <w:tcW w:w="252" w:type="pct"/>
            <w:tcBorders>
              <w:left w:val="nil"/>
              <w:right w:val="nil"/>
            </w:tcBorders>
            <w:vAlign w:val="center"/>
          </w:tcPr>
          <w:p w14:paraId="04AEF220"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.063</w:t>
            </w:r>
          </w:p>
        </w:tc>
        <w:tc>
          <w:tcPr>
            <w:tcW w:w="252" w:type="pct"/>
            <w:tcBorders>
              <w:left w:val="nil"/>
              <w:right w:val="nil"/>
            </w:tcBorders>
            <w:vAlign w:val="center"/>
          </w:tcPr>
          <w:p w14:paraId="468B685A"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(.685)</w:t>
            </w:r>
          </w:p>
        </w:tc>
        <w:tc>
          <w:tcPr>
            <w:tcW w:w="252" w:type="pct"/>
            <w:tcBorders>
              <w:left w:val="nil"/>
              <w:right w:val="nil"/>
            </w:tcBorders>
            <w:vAlign w:val="center"/>
          </w:tcPr>
          <w:p w14:paraId="6D2F1D6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-.030</w:t>
            </w:r>
          </w:p>
        </w:tc>
        <w:tc>
          <w:tcPr>
            <w:tcW w:w="252" w:type="pct"/>
            <w:tcBorders>
              <w:left w:val="nil"/>
              <w:right w:val="nil"/>
            </w:tcBorders>
            <w:vAlign w:val="center"/>
          </w:tcPr>
          <w:p w14:paraId="43882162" w14:textId="77777777" w:rsidR="000A27DC" w:rsidRPr="008A0E33" w:rsidRDefault="000A27DC" w:rsidP="0057484E">
            <w:pPr>
              <w:autoSpaceDE w:val="0"/>
              <w:autoSpaceDN w:val="0"/>
              <w:adjustRightInd w:val="0"/>
              <w:snapToGrid w:val="0"/>
              <w:rPr>
                <w:sz w:val="18"/>
                <w:szCs w:val="18"/>
              </w:rPr>
            </w:pPr>
            <w:r w:rsidRPr="008A0E33">
              <w:rPr>
                <w:kern w:val="0"/>
                <w:sz w:val="18"/>
                <w:szCs w:val="18"/>
              </w:rPr>
              <w:t>(.806)</w:t>
            </w:r>
          </w:p>
        </w:tc>
        <w:tc>
          <w:tcPr>
            <w:tcW w:w="253" w:type="pct"/>
            <w:tcBorders>
              <w:left w:val="nil"/>
              <w:right w:val="nil"/>
            </w:tcBorders>
            <w:vAlign w:val="center"/>
          </w:tcPr>
          <w:p w14:paraId="58757727"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-.030</w:t>
            </w:r>
          </w:p>
        </w:tc>
        <w:tc>
          <w:tcPr>
            <w:tcW w:w="252" w:type="pct"/>
            <w:tcBorders>
              <w:left w:val="nil"/>
              <w:right w:val="nil"/>
            </w:tcBorders>
            <w:vAlign w:val="center"/>
          </w:tcPr>
          <w:p w14:paraId="2D69091B" w14:textId="77777777" w:rsidR="000A27DC" w:rsidRPr="008A0E33" w:rsidRDefault="000A27DC" w:rsidP="0057484E">
            <w:pPr>
              <w:autoSpaceDE w:val="0"/>
              <w:autoSpaceDN w:val="0"/>
              <w:adjustRightInd w:val="0"/>
              <w:snapToGrid w:val="0"/>
              <w:rPr>
                <w:sz w:val="18"/>
                <w:szCs w:val="18"/>
              </w:rPr>
            </w:pPr>
            <w:r w:rsidRPr="008A0E33">
              <w:rPr>
                <w:kern w:val="0"/>
                <w:sz w:val="18"/>
                <w:szCs w:val="18"/>
              </w:rPr>
              <w:t>(.853)</w:t>
            </w:r>
          </w:p>
        </w:tc>
        <w:tc>
          <w:tcPr>
            <w:tcW w:w="252" w:type="pct"/>
            <w:tcBorders>
              <w:top w:val="nil"/>
              <w:left w:val="nil"/>
              <w:bottom w:val="nil"/>
              <w:right w:val="nil"/>
            </w:tcBorders>
            <w:vAlign w:val="center"/>
          </w:tcPr>
          <w:p w14:paraId="318F26E7"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-.015</w:t>
            </w:r>
          </w:p>
        </w:tc>
        <w:tc>
          <w:tcPr>
            <w:tcW w:w="252" w:type="pct"/>
            <w:tcBorders>
              <w:top w:val="nil"/>
              <w:left w:val="nil"/>
              <w:bottom w:val="nil"/>
              <w:right w:val="nil"/>
            </w:tcBorders>
            <w:vAlign w:val="center"/>
          </w:tcPr>
          <w:p w14:paraId="5BD43A71"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(.931)</w:t>
            </w:r>
          </w:p>
        </w:tc>
        <w:tc>
          <w:tcPr>
            <w:tcW w:w="252" w:type="pct"/>
            <w:tcBorders>
              <w:left w:val="nil"/>
              <w:right w:val="nil"/>
            </w:tcBorders>
            <w:vAlign w:val="center"/>
          </w:tcPr>
          <w:p w14:paraId="77D2E8AC"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-.002</w:t>
            </w:r>
          </w:p>
        </w:tc>
        <w:tc>
          <w:tcPr>
            <w:tcW w:w="253" w:type="pct"/>
            <w:tcBorders>
              <w:left w:val="nil"/>
              <w:right w:val="nil"/>
            </w:tcBorders>
            <w:vAlign w:val="center"/>
          </w:tcPr>
          <w:p w14:paraId="713516B4"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(.992)</w:t>
            </w:r>
          </w:p>
        </w:tc>
      </w:tr>
      <w:tr w:rsidR="008A0E33" w:rsidRPr="008A0E33" w14:paraId="7C23E72A" w14:textId="77777777" w:rsidTr="00B40DF7">
        <w:trPr>
          <w:trHeight w:val="342"/>
        </w:trPr>
        <w:tc>
          <w:tcPr>
            <w:tcW w:w="965" w:type="pct"/>
            <w:vAlign w:val="center"/>
          </w:tcPr>
          <w:p w14:paraId="6119072D" w14:textId="20B37968" w:rsidR="000A27DC" w:rsidRPr="008A0E33" w:rsidRDefault="003F07A1" w:rsidP="0057484E">
            <w:pPr>
              <w:autoSpaceDE w:val="0"/>
              <w:autoSpaceDN w:val="0"/>
              <w:adjustRightInd w:val="0"/>
              <w:rPr>
                <w:kern w:val="0"/>
                <w:sz w:val="20"/>
                <w:szCs w:val="20"/>
              </w:rPr>
            </w:pPr>
            <w:r w:rsidRPr="008A0E33">
              <w:rPr>
                <w:rFonts w:eastAsia="標楷體" w:cs="Times New Roman"/>
                <w:sz w:val="18"/>
                <w:szCs w:val="18"/>
              </w:rPr>
              <w:t>Organizational munificence</w:t>
            </w:r>
          </w:p>
        </w:tc>
        <w:tc>
          <w:tcPr>
            <w:tcW w:w="252" w:type="pct"/>
            <w:tcBorders>
              <w:top w:val="nil"/>
              <w:left w:val="nil"/>
              <w:bottom w:val="nil"/>
              <w:right w:val="nil"/>
            </w:tcBorders>
            <w:vAlign w:val="center"/>
          </w:tcPr>
          <w:p w14:paraId="18353E63"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4DA72B2A" w14:textId="77777777" w:rsidR="000A27DC" w:rsidRPr="008A0E33" w:rsidRDefault="000A27DC" w:rsidP="0057484E">
            <w:pPr>
              <w:autoSpaceDE w:val="0"/>
              <w:autoSpaceDN w:val="0"/>
              <w:adjustRightInd w:val="0"/>
              <w:snapToGrid w:val="0"/>
              <w:rPr>
                <w:kern w:val="0"/>
                <w:sz w:val="18"/>
                <w:szCs w:val="18"/>
              </w:rPr>
            </w:pPr>
          </w:p>
        </w:tc>
        <w:tc>
          <w:tcPr>
            <w:tcW w:w="252" w:type="pct"/>
            <w:tcBorders>
              <w:top w:val="nil"/>
              <w:left w:val="nil"/>
              <w:right w:val="nil"/>
            </w:tcBorders>
            <w:vAlign w:val="center"/>
          </w:tcPr>
          <w:p w14:paraId="212FC3E0" w14:textId="77777777" w:rsidR="000A27DC" w:rsidRPr="008A0E33" w:rsidRDefault="000A27DC" w:rsidP="0057484E">
            <w:pPr>
              <w:autoSpaceDE w:val="0"/>
              <w:autoSpaceDN w:val="0"/>
              <w:adjustRightInd w:val="0"/>
              <w:snapToGrid w:val="0"/>
              <w:jc w:val="right"/>
              <w:rPr>
                <w:sz w:val="18"/>
                <w:szCs w:val="18"/>
              </w:rPr>
            </w:pPr>
            <w:r w:rsidRPr="008A0E33">
              <w:rPr>
                <w:kern w:val="0"/>
                <w:sz w:val="18"/>
                <w:szCs w:val="18"/>
              </w:rPr>
              <w:t>.251*</w:t>
            </w:r>
          </w:p>
        </w:tc>
        <w:tc>
          <w:tcPr>
            <w:tcW w:w="252" w:type="pct"/>
            <w:tcBorders>
              <w:top w:val="nil"/>
              <w:left w:val="nil"/>
              <w:right w:val="nil"/>
            </w:tcBorders>
            <w:vAlign w:val="center"/>
          </w:tcPr>
          <w:p w14:paraId="407A2524" w14:textId="77777777" w:rsidR="000A27DC" w:rsidRPr="008A0E33" w:rsidRDefault="000A27DC" w:rsidP="0057484E">
            <w:pPr>
              <w:autoSpaceDE w:val="0"/>
              <w:autoSpaceDN w:val="0"/>
              <w:adjustRightInd w:val="0"/>
              <w:snapToGrid w:val="0"/>
              <w:rPr>
                <w:sz w:val="18"/>
                <w:szCs w:val="18"/>
              </w:rPr>
            </w:pPr>
            <w:r w:rsidRPr="008A0E33">
              <w:rPr>
                <w:kern w:val="0"/>
                <w:sz w:val="18"/>
                <w:szCs w:val="18"/>
              </w:rPr>
              <w:t>(.019)</w:t>
            </w:r>
          </w:p>
        </w:tc>
        <w:tc>
          <w:tcPr>
            <w:tcW w:w="252" w:type="pct"/>
            <w:tcBorders>
              <w:top w:val="nil"/>
              <w:left w:val="nil"/>
              <w:right w:val="nil"/>
            </w:tcBorders>
            <w:vAlign w:val="center"/>
          </w:tcPr>
          <w:p w14:paraId="28EFBBD5" w14:textId="77777777" w:rsidR="000A27DC" w:rsidRPr="008A0E33" w:rsidRDefault="000A27DC" w:rsidP="0057484E">
            <w:pPr>
              <w:autoSpaceDE w:val="0"/>
              <w:autoSpaceDN w:val="0"/>
              <w:adjustRightInd w:val="0"/>
              <w:snapToGrid w:val="0"/>
              <w:jc w:val="right"/>
              <w:rPr>
                <w:kern w:val="0"/>
                <w:sz w:val="18"/>
                <w:szCs w:val="18"/>
              </w:rPr>
            </w:pPr>
          </w:p>
        </w:tc>
        <w:tc>
          <w:tcPr>
            <w:tcW w:w="253" w:type="pct"/>
            <w:tcBorders>
              <w:top w:val="nil"/>
              <w:left w:val="nil"/>
              <w:right w:val="nil"/>
            </w:tcBorders>
            <w:vAlign w:val="center"/>
          </w:tcPr>
          <w:p w14:paraId="1005A77C" w14:textId="77777777" w:rsidR="000A27DC" w:rsidRPr="008A0E33" w:rsidRDefault="000A27DC" w:rsidP="0057484E">
            <w:pPr>
              <w:autoSpaceDE w:val="0"/>
              <w:autoSpaceDN w:val="0"/>
              <w:adjustRightInd w:val="0"/>
              <w:snapToGrid w:val="0"/>
              <w:rPr>
                <w:sz w:val="18"/>
                <w:szCs w:val="18"/>
              </w:rPr>
            </w:pPr>
          </w:p>
        </w:tc>
        <w:tc>
          <w:tcPr>
            <w:tcW w:w="252" w:type="pct"/>
            <w:tcBorders>
              <w:left w:val="nil"/>
              <w:right w:val="nil"/>
            </w:tcBorders>
            <w:vAlign w:val="center"/>
          </w:tcPr>
          <w:p w14:paraId="43F6F000"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7362136D" w14:textId="77777777" w:rsidR="000A27DC" w:rsidRPr="008A0E33" w:rsidRDefault="000A27DC" w:rsidP="0057484E">
            <w:pPr>
              <w:autoSpaceDE w:val="0"/>
              <w:autoSpaceDN w:val="0"/>
              <w:adjustRightInd w:val="0"/>
              <w:snapToGrid w:val="0"/>
              <w:jc w:val="both"/>
              <w:rPr>
                <w:sz w:val="18"/>
                <w:szCs w:val="18"/>
              </w:rPr>
            </w:pPr>
          </w:p>
        </w:tc>
        <w:tc>
          <w:tcPr>
            <w:tcW w:w="252" w:type="pct"/>
            <w:tcBorders>
              <w:left w:val="nil"/>
              <w:right w:val="nil"/>
            </w:tcBorders>
            <w:vAlign w:val="center"/>
          </w:tcPr>
          <w:p w14:paraId="14903E3A"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.175*</w:t>
            </w:r>
          </w:p>
        </w:tc>
        <w:tc>
          <w:tcPr>
            <w:tcW w:w="252" w:type="pct"/>
            <w:tcBorders>
              <w:left w:val="nil"/>
              <w:right w:val="nil"/>
            </w:tcBorders>
            <w:vAlign w:val="center"/>
          </w:tcPr>
          <w:p w14:paraId="7CAFF3D5" w14:textId="77777777" w:rsidR="000A27DC" w:rsidRPr="008A0E33" w:rsidRDefault="000A27DC" w:rsidP="0057484E">
            <w:pPr>
              <w:autoSpaceDE w:val="0"/>
              <w:autoSpaceDN w:val="0"/>
              <w:adjustRightInd w:val="0"/>
              <w:snapToGrid w:val="0"/>
              <w:rPr>
                <w:sz w:val="18"/>
                <w:szCs w:val="18"/>
              </w:rPr>
            </w:pPr>
            <w:r w:rsidRPr="008A0E33">
              <w:rPr>
                <w:kern w:val="0"/>
                <w:sz w:val="18"/>
                <w:szCs w:val="18"/>
              </w:rPr>
              <w:t>(.046)</w:t>
            </w:r>
          </w:p>
        </w:tc>
        <w:tc>
          <w:tcPr>
            <w:tcW w:w="253" w:type="pct"/>
            <w:tcBorders>
              <w:left w:val="nil"/>
              <w:right w:val="nil"/>
            </w:tcBorders>
            <w:vAlign w:val="center"/>
          </w:tcPr>
          <w:p w14:paraId="052A3E80"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0AC5B63" w14:textId="77777777" w:rsidR="000A27DC" w:rsidRPr="008A0E33" w:rsidRDefault="000A27DC" w:rsidP="0057484E">
            <w:pPr>
              <w:autoSpaceDE w:val="0"/>
              <w:autoSpaceDN w:val="0"/>
              <w:adjustRightInd w:val="0"/>
              <w:snapToGrid w:val="0"/>
              <w:rPr>
                <w:sz w:val="18"/>
                <w:szCs w:val="18"/>
              </w:rPr>
            </w:pPr>
          </w:p>
        </w:tc>
        <w:tc>
          <w:tcPr>
            <w:tcW w:w="252" w:type="pct"/>
            <w:tcBorders>
              <w:top w:val="nil"/>
              <w:left w:val="nil"/>
              <w:bottom w:val="nil"/>
              <w:right w:val="nil"/>
            </w:tcBorders>
            <w:vAlign w:val="center"/>
          </w:tcPr>
          <w:p w14:paraId="2F3AC938"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.216*</w:t>
            </w:r>
          </w:p>
        </w:tc>
        <w:tc>
          <w:tcPr>
            <w:tcW w:w="252" w:type="pct"/>
            <w:tcBorders>
              <w:top w:val="nil"/>
              <w:left w:val="nil"/>
              <w:bottom w:val="nil"/>
              <w:right w:val="nil"/>
            </w:tcBorders>
            <w:vAlign w:val="center"/>
          </w:tcPr>
          <w:p w14:paraId="7D464487" w14:textId="77777777" w:rsidR="000A27DC" w:rsidRPr="008A0E33" w:rsidRDefault="000A27DC" w:rsidP="0057484E">
            <w:pPr>
              <w:autoSpaceDE w:val="0"/>
              <w:autoSpaceDN w:val="0"/>
              <w:adjustRightInd w:val="0"/>
              <w:snapToGrid w:val="0"/>
              <w:jc w:val="both"/>
              <w:rPr>
                <w:sz w:val="18"/>
                <w:szCs w:val="18"/>
              </w:rPr>
            </w:pPr>
            <w:r w:rsidRPr="008A0E33">
              <w:rPr>
                <w:kern w:val="0"/>
                <w:sz w:val="18"/>
                <w:szCs w:val="18"/>
              </w:rPr>
              <w:t>(.046)</w:t>
            </w:r>
          </w:p>
        </w:tc>
        <w:tc>
          <w:tcPr>
            <w:tcW w:w="252" w:type="pct"/>
            <w:tcBorders>
              <w:left w:val="nil"/>
              <w:right w:val="nil"/>
            </w:tcBorders>
            <w:vAlign w:val="center"/>
          </w:tcPr>
          <w:p w14:paraId="0BBFF16C" w14:textId="77777777" w:rsidR="000A27DC" w:rsidRPr="008A0E33" w:rsidRDefault="000A27DC" w:rsidP="0057484E">
            <w:pPr>
              <w:autoSpaceDE w:val="0"/>
              <w:autoSpaceDN w:val="0"/>
              <w:adjustRightInd w:val="0"/>
              <w:snapToGrid w:val="0"/>
              <w:jc w:val="right"/>
              <w:rPr>
                <w:kern w:val="0"/>
                <w:sz w:val="18"/>
                <w:szCs w:val="18"/>
              </w:rPr>
            </w:pPr>
          </w:p>
        </w:tc>
        <w:tc>
          <w:tcPr>
            <w:tcW w:w="253" w:type="pct"/>
            <w:tcBorders>
              <w:left w:val="nil"/>
              <w:right w:val="nil"/>
            </w:tcBorders>
            <w:vAlign w:val="center"/>
          </w:tcPr>
          <w:p w14:paraId="5D9D71CE" w14:textId="77777777" w:rsidR="000A27DC" w:rsidRPr="008A0E33" w:rsidRDefault="000A27DC" w:rsidP="0057484E">
            <w:pPr>
              <w:autoSpaceDE w:val="0"/>
              <w:autoSpaceDN w:val="0"/>
              <w:adjustRightInd w:val="0"/>
              <w:snapToGrid w:val="0"/>
              <w:jc w:val="both"/>
              <w:rPr>
                <w:sz w:val="18"/>
                <w:szCs w:val="18"/>
              </w:rPr>
            </w:pPr>
          </w:p>
        </w:tc>
      </w:tr>
      <w:tr w:rsidR="008A0E33" w:rsidRPr="008A0E33" w14:paraId="32175131" w14:textId="77777777" w:rsidTr="00B40DF7">
        <w:trPr>
          <w:trHeight w:val="332"/>
        </w:trPr>
        <w:tc>
          <w:tcPr>
            <w:tcW w:w="965" w:type="pct"/>
            <w:vAlign w:val="center"/>
          </w:tcPr>
          <w:p w14:paraId="086835B7" w14:textId="77777777" w:rsidR="000A27DC" w:rsidRPr="008A0E33" w:rsidRDefault="000A27DC" w:rsidP="0057484E">
            <w:pPr>
              <w:autoSpaceDE w:val="0"/>
              <w:autoSpaceDN w:val="0"/>
              <w:adjustRightInd w:val="0"/>
              <w:rPr>
                <w:kern w:val="0"/>
                <w:sz w:val="20"/>
                <w:szCs w:val="20"/>
              </w:rPr>
            </w:pPr>
            <w:r w:rsidRPr="008A0E33">
              <w:rPr>
                <w:rFonts w:eastAsia="標楷體" w:cs="Times New Roman"/>
                <w:sz w:val="18"/>
                <w:szCs w:val="18"/>
              </w:rPr>
              <w:t>Organizational</w:t>
            </w:r>
            <w:r w:rsidRPr="008A0E33">
              <w:rPr>
                <w:rFonts w:eastAsia="AdvEPSTIM" w:cs="Times New Roman"/>
                <w:kern w:val="0"/>
                <w:sz w:val="18"/>
                <w:szCs w:val="18"/>
              </w:rPr>
              <w:t xml:space="preserve"> flexibility</w:t>
            </w:r>
          </w:p>
        </w:tc>
        <w:tc>
          <w:tcPr>
            <w:tcW w:w="252" w:type="pct"/>
            <w:tcBorders>
              <w:top w:val="nil"/>
              <w:left w:val="nil"/>
              <w:bottom w:val="nil"/>
              <w:right w:val="nil"/>
            </w:tcBorders>
            <w:vAlign w:val="center"/>
          </w:tcPr>
          <w:p w14:paraId="20E15FE9"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01292A7E" w14:textId="77777777" w:rsidR="000A27DC" w:rsidRPr="008A0E33" w:rsidRDefault="000A27DC" w:rsidP="0057484E">
            <w:pPr>
              <w:autoSpaceDE w:val="0"/>
              <w:autoSpaceDN w:val="0"/>
              <w:adjustRightInd w:val="0"/>
              <w:snapToGrid w:val="0"/>
              <w:rPr>
                <w:kern w:val="0"/>
                <w:sz w:val="18"/>
                <w:szCs w:val="18"/>
              </w:rPr>
            </w:pPr>
          </w:p>
        </w:tc>
        <w:tc>
          <w:tcPr>
            <w:tcW w:w="252" w:type="pct"/>
            <w:tcBorders>
              <w:left w:val="nil"/>
              <w:right w:val="nil"/>
            </w:tcBorders>
            <w:vAlign w:val="center"/>
          </w:tcPr>
          <w:p w14:paraId="234FC3C5"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616258C" w14:textId="77777777" w:rsidR="000A27DC" w:rsidRPr="008A0E33" w:rsidRDefault="000A27DC" w:rsidP="0057484E">
            <w:pPr>
              <w:autoSpaceDE w:val="0"/>
              <w:autoSpaceDN w:val="0"/>
              <w:adjustRightInd w:val="0"/>
              <w:snapToGrid w:val="0"/>
              <w:rPr>
                <w:kern w:val="0"/>
                <w:sz w:val="18"/>
                <w:szCs w:val="18"/>
              </w:rPr>
            </w:pPr>
          </w:p>
        </w:tc>
        <w:tc>
          <w:tcPr>
            <w:tcW w:w="252" w:type="pct"/>
            <w:tcBorders>
              <w:left w:val="nil"/>
              <w:right w:val="nil"/>
            </w:tcBorders>
            <w:vAlign w:val="center"/>
          </w:tcPr>
          <w:p w14:paraId="5AAB4E0D"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.237*</w:t>
            </w:r>
          </w:p>
        </w:tc>
        <w:tc>
          <w:tcPr>
            <w:tcW w:w="253" w:type="pct"/>
            <w:tcBorders>
              <w:left w:val="nil"/>
              <w:right w:val="nil"/>
            </w:tcBorders>
            <w:vAlign w:val="center"/>
          </w:tcPr>
          <w:p w14:paraId="78DE3750"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(.030)</w:t>
            </w:r>
          </w:p>
        </w:tc>
        <w:tc>
          <w:tcPr>
            <w:tcW w:w="252" w:type="pct"/>
            <w:tcBorders>
              <w:left w:val="nil"/>
              <w:right w:val="nil"/>
            </w:tcBorders>
            <w:vAlign w:val="center"/>
          </w:tcPr>
          <w:p w14:paraId="7FFCFC28"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276293BA" w14:textId="77777777" w:rsidR="000A27DC" w:rsidRPr="008A0E33" w:rsidRDefault="000A27DC" w:rsidP="0057484E">
            <w:pPr>
              <w:autoSpaceDE w:val="0"/>
              <w:autoSpaceDN w:val="0"/>
              <w:adjustRightInd w:val="0"/>
              <w:snapToGrid w:val="0"/>
              <w:jc w:val="both"/>
              <w:rPr>
                <w:kern w:val="0"/>
                <w:sz w:val="18"/>
                <w:szCs w:val="18"/>
              </w:rPr>
            </w:pPr>
          </w:p>
        </w:tc>
        <w:tc>
          <w:tcPr>
            <w:tcW w:w="252" w:type="pct"/>
            <w:tcBorders>
              <w:left w:val="nil"/>
              <w:right w:val="nil"/>
            </w:tcBorders>
            <w:vAlign w:val="center"/>
          </w:tcPr>
          <w:p w14:paraId="0BCA1087"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61E8C93B" w14:textId="77777777" w:rsidR="000A27DC" w:rsidRPr="008A0E33" w:rsidRDefault="000A27DC" w:rsidP="0057484E">
            <w:pPr>
              <w:autoSpaceDE w:val="0"/>
              <w:autoSpaceDN w:val="0"/>
              <w:adjustRightInd w:val="0"/>
              <w:snapToGrid w:val="0"/>
              <w:rPr>
                <w:kern w:val="0"/>
                <w:sz w:val="18"/>
                <w:szCs w:val="18"/>
              </w:rPr>
            </w:pPr>
          </w:p>
        </w:tc>
        <w:tc>
          <w:tcPr>
            <w:tcW w:w="253" w:type="pct"/>
            <w:tcBorders>
              <w:left w:val="nil"/>
              <w:right w:val="nil"/>
            </w:tcBorders>
            <w:vAlign w:val="center"/>
          </w:tcPr>
          <w:p w14:paraId="3A7CD37F"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.152</w:t>
            </w:r>
            <w:r w:rsidRPr="008A0E33">
              <w:rPr>
                <w:kern w:val="0"/>
                <w:vertAlign w:val="superscript"/>
              </w:rPr>
              <w:t>+</w:t>
            </w:r>
          </w:p>
        </w:tc>
        <w:tc>
          <w:tcPr>
            <w:tcW w:w="252" w:type="pct"/>
            <w:tcBorders>
              <w:left w:val="nil"/>
              <w:right w:val="nil"/>
            </w:tcBorders>
            <w:vAlign w:val="center"/>
          </w:tcPr>
          <w:p w14:paraId="61CA7AAA" w14:textId="77777777" w:rsidR="000A27DC" w:rsidRPr="008A0E33" w:rsidRDefault="000A27DC" w:rsidP="0057484E">
            <w:pPr>
              <w:autoSpaceDE w:val="0"/>
              <w:autoSpaceDN w:val="0"/>
              <w:adjustRightInd w:val="0"/>
              <w:snapToGrid w:val="0"/>
              <w:rPr>
                <w:kern w:val="0"/>
                <w:sz w:val="18"/>
                <w:szCs w:val="18"/>
              </w:rPr>
            </w:pPr>
            <w:r w:rsidRPr="008A0E33">
              <w:rPr>
                <w:kern w:val="0"/>
                <w:sz w:val="18"/>
                <w:szCs w:val="18"/>
              </w:rPr>
              <w:t>(.090)</w:t>
            </w:r>
          </w:p>
        </w:tc>
        <w:tc>
          <w:tcPr>
            <w:tcW w:w="252" w:type="pct"/>
            <w:tcBorders>
              <w:top w:val="nil"/>
              <w:left w:val="nil"/>
              <w:bottom w:val="nil"/>
              <w:right w:val="nil"/>
            </w:tcBorders>
            <w:vAlign w:val="center"/>
          </w:tcPr>
          <w:p w14:paraId="2FD0A932" w14:textId="77777777" w:rsidR="000A27DC" w:rsidRPr="008A0E33" w:rsidRDefault="000A27DC"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72F7AA0B" w14:textId="77777777" w:rsidR="000A27DC" w:rsidRPr="008A0E33" w:rsidRDefault="000A27DC" w:rsidP="0057484E">
            <w:pPr>
              <w:autoSpaceDE w:val="0"/>
              <w:autoSpaceDN w:val="0"/>
              <w:adjustRightInd w:val="0"/>
              <w:snapToGrid w:val="0"/>
              <w:jc w:val="both"/>
              <w:rPr>
                <w:kern w:val="0"/>
                <w:sz w:val="18"/>
                <w:szCs w:val="18"/>
              </w:rPr>
            </w:pPr>
          </w:p>
        </w:tc>
        <w:tc>
          <w:tcPr>
            <w:tcW w:w="252" w:type="pct"/>
            <w:tcBorders>
              <w:left w:val="nil"/>
              <w:right w:val="nil"/>
            </w:tcBorders>
            <w:vAlign w:val="center"/>
          </w:tcPr>
          <w:p w14:paraId="224361C2" w14:textId="77777777" w:rsidR="000A27DC" w:rsidRPr="008A0E33" w:rsidRDefault="000A27DC" w:rsidP="0057484E">
            <w:pPr>
              <w:autoSpaceDE w:val="0"/>
              <w:autoSpaceDN w:val="0"/>
              <w:adjustRightInd w:val="0"/>
              <w:snapToGrid w:val="0"/>
              <w:jc w:val="right"/>
              <w:rPr>
                <w:kern w:val="0"/>
                <w:sz w:val="18"/>
                <w:szCs w:val="18"/>
              </w:rPr>
            </w:pPr>
            <w:r w:rsidRPr="008A0E33">
              <w:rPr>
                <w:kern w:val="0"/>
                <w:sz w:val="18"/>
                <w:szCs w:val="18"/>
              </w:rPr>
              <w:t>.184</w:t>
            </w:r>
            <w:r w:rsidRPr="008A0E33">
              <w:rPr>
                <w:kern w:val="0"/>
                <w:vertAlign w:val="superscript"/>
              </w:rPr>
              <w:t>+</w:t>
            </w:r>
          </w:p>
        </w:tc>
        <w:tc>
          <w:tcPr>
            <w:tcW w:w="253" w:type="pct"/>
            <w:tcBorders>
              <w:left w:val="nil"/>
              <w:right w:val="nil"/>
            </w:tcBorders>
            <w:vAlign w:val="center"/>
          </w:tcPr>
          <w:p w14:paraId="0E0A0966" w14:textId="77777777" w:rsidR="000A27DC" w:rsidRPr="008A0E33" w:rsidRDefault="000A27DC" w:rsidP="0057484E">
            <w:pPr>
              <w:autoSpaceDE w:val="0"/>
              <w:autoSpaceDN w:val="0"/>
              <w:adjustRightInd w:val="0"/>
              <w:snapToGrid w:val="0"/>
              <w:jc w:val="both"/>
              <w:rPr>
                <w:kern w:val="0"/>
                <w:sz w:val="18"/>
                <w:szCs w:val="18"/>
              </w:rPr>
            </w:pPr>
            <w:r w:rsidRPr="008A0E33">
              <w:rPr>
                <w:kern w:val="0"/>
                <w:sz w:val="18"/>
                <w:szCs w:val="18"/>
              </w:rPr>
              <w:t>(.059)</w:t>
            </w:r>
          </w:p>
        </w:tc>
      </w:tr>
      <w:tr w:rsidR="008A0E33" w:rsidRPr="008A0E33" w14:paraId="26FFD537" w14:textId="77777777" w:rsidTr="00B40DF7">
        <w:trPr>
          <w:trHeight w:val="202"/>
        </w:trPr>
        <w:tc>
          <w:tcPr>
            <w:tcW w:w="965" w:type="pct"/>
            <w:tcBorders>
              <w:top w:val="single" w:sz="4" w:space="0" w:color="auto"/>
              <w:bottom w:val="nil"/>
              <w:right w:val="nil"/>
            </w:tcBorders>
            <w:shd w:val="clear" w:color="auto" w:fill="auto"/>
            <w:vAlign w:val="center"/>
          </w:tcPr>
          <w:p w14:paraId="4392950D" w14:textId="77777777" w:rsidR="000A27DC" w:rsidRPr="008A0E33" w:rsidRDefault="000A27DC" w:rsidP="0057484E">
            <w:pPr>
              <w:autoSpaceDE w:val="0"/>
              <w:autoSpaceDN w:val="0"/>
              <w:adjustRightInd w:val="0"/>
              <w:jc w:val="center"/>
              <w:rPr>
                <w:rFonts w:eastAsia="標楷體"/>
                <w:b/>
                <w:sz w:val="20"/>
                <w:szCs w:val="20"/>
              </w:rPr>
            </w:pPr>
            <w:r w:rsidRPr="008A0E33">
              <w:rPr>
                <w:sz w:val="20"/>
                <w:szCs w:val="20"/>
              </w:rPr>
              <w:t>Δ</w:t>
            </w:r>
            <w:r w:rsidRPr="008A0E33">
              <w:rPr>
                <w:i/>
                <w:iCs/>
                <w:sz w:val="20"/>
                <w:szCs w:val="20"/>
              </w:rPr>
              <w:t>R</w:t>
            </w:r>
            <w:r w:rsidRPr="008A0E33">
              <w:rPr>
                <w:i/>
                <w:iCs/>
                <w:sz w:val="20"/>
                <w:szCs w:val="20"/>
                <w:vertAlign w:val="superscript"/>
              </w:rPr>
              <w:t>2</w:t>
            </w:r>
          </w:p>
        </w:tc>
        <w:tc>
          <w:tcPr>
            <w:tcW w:w="504" w:type="pct"/>
            <w:gridSpan w:val="2"/>
            <w:tcBorders>
              <w:top w:val="single" w:sz="4" w:space="0" w:color="auto"/>
              <w:left w:val="nil"/>
              <w:bottom w:val="nil"/>
              <w:right w:val="nil"/>
            </w:tcBorders>
            <w:shd w:val="clear" w:color="auto" w:fill="auto"/>
            <w:vAlign w:val="center"/>
          </w:tcPr>
          <w:p w14:paraId="696CDBCD" w14:textId="77777777" w:rsidR="000A27DC" w:rsidRPr="008A0E33" w:rsidRDefault="000A27DC" w:rsidP="0057484E">
            <w:pPr>
              <w:autoSpaceDE w:val="0"/>
              <w:autoSpaceDN w:val="0"/>
              <w:adjustRightInd w:val="0"/>
              <w:snapToGrid w:val="0"/>
              <w:jc w:val="center"/>
              <w:rPr>
                <w:sz w:val="18"/>
                <w:szCs w:val="18"/>
              </w:rPr>
            </w:pPr>
          </w:p>
        </w:tc>
        <w:tc>
          <w:tcPr>
            <w:tcW w:w="504" w:type="pct"/>
            <w:gridSpan w:val="2"/>
            <w:tcBorders>
              <w:top w:val="single" w:sz="4" w:space="0" w:color="auto"/>
              <w:left w:val="nil"/>
              <w:bottom w:val="nil"/>
              <w:right w:val="nil"/>
            </w:tcBorders>
            <w:vAlign w:val="center"/>
          </w:tcPr>
          <w:p w14:paraId="10393DA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.054*</w:t>
            </w:r>
          </w:p>
        </w:tc>
        <w:tc>
          <w:tcPr>
            <w:tcW w:w="505" w:type="pct"/>
            <w:gridSpan w:val="2"/>
            <w:tcBorders>
              <w:top w:val="single" w:sz="4" w:space="0" w:color="auto"/>
              <w:left w:val="nil"/>
              <w:bottom w:val="nil"/>
              <w:right w:val="nil"/>
            </w:tcBorders>
            <w:vAlign w:val="center"/>
          </w:tcPr>
          <w:p w14:paraId="7EFE5AD8"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.047*</w:t>
            </w:r>
          </w:p>
        </w:tc>
        <w:tc>
          <w:tcPr>
            <w:tcW w:w="504" w:type="pct"/>
            <w:gridSpan w:val="2"/>
            <w:tcBorders>
              <w:top w:val="single" w:sz="4" w:space="0" w:color="auto"/>
              <w:left w:val="nil"/>
              <w:bottom w:val="nil"/>
              <w:right w:val="nil"/>
            </w:tcBorders>
            <w:vAlign w:val="center"/>
          </w:tcPr>
          <w:p w14:paraId="7EF01F5A" w14:textId="77777777" w:rsidR="000A27DC" w:rsidRPr="008A0E33" w:rsidRDefault="000A27DC" w:rsidP="0057484E">
            <w:pPr>
              <w:autoSpaceDE w:val="0"/>
              <w:autoSpaceDN w:val="0"/>
              <w:adjustRightInd w:val="0"/>
              <w:snapToGrid w:val="0"/>
              <w:jc w:val="center"/>
              <w:rPr>
                <w:sz w:val="18"/>
                <w:szCs w:val="18"/>
              </w:rPr>
            </w:pPr>
          </w:p>
        </w:tc>
        <w:tc>
          <w:tcPr>
            <w:tcW w:w="504" w:type="pct"/>
            <w:gridSpan w:val="2"/>
            <w:tcBorders>
              <w:top w:val="single" w:sz="4" w:space="0" w:color="auto"/>
              <w:left w:val="nil"/>
              <w:bottom w:val="nil"/>
              <w:right w:val="nil"/>
            </w:tcBorders>
            <w:vAlign w:val="center"/>
          </w:tcPr>
          <w:p w14:paraId="5CEFCEE2"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.026*</w:t>
            </w:r>
          </w:p>
        </w:tc>
        <w:tc>
          <w:tcPr>
            <w:tcW w:w="505" w:type="pct"/>
            <w:gridSpan w:val="2"/>
            <w:tcBorders>
              <w:top w:val="single" w:sz="4" w:space="0" w:color="auto"/>
              <w:left w:val="nil"/>
              <w:bottom w:val="nil"/>
              <w:right w:val="nil"/>
            </w:tcBorders>
            <w:vAlign w:val="center"/>
          </w:tcPr>
          <w:p w14:paraId="76E0926F"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.019</w:t>
            </w:r>
            <w:r w:rsidRPr="008A0E33">
              <w:rPr>
                <w:vertAlign w:val="superscript"/>
              </w:rPr>
              <w:t>+</w:t>
            </w:r>
          </w:p>
        </w:tc>
        <w:tc>
          <w:tcPr>
            <w:tcW w:w="504" w:type="pct"/>
            <w:gridSpan w:val="2"/>
            <w:tcBorders>
              <w:top w:val="single" w:sz="4" w:space="0" w:color="auto"/>
              <w:left w:val="nil"/>
              <w:bottom w:val="nil"/>
              <w:right w:val="nil"/>
            </w:tcBorders>
            <w:vAlign w:val="center"/>
          </w:tcPr>
          <w:p w14:paraId="205EA077"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.040*</w:t>
            </w:r>
          </w:p>
        </w:tc>
        <w:tc>
          <w:tcPr>
            <w:tcW w:w="505" w:type="pct"/>
            <w:gridSpan w:val="2"/>
            <w:tcBorders>
              <w:top w:val="single" w:sz="4" w:space="0" w:color="auto"/>
              <w:left w:val="nil"/>
              <w:bottom w:val="nil"/>
              <w:right w:val="nil"/>
            </w:tcBorders>
            <w:vAlign w:val="center"/>
          </w:tcPr>
          <w:p w14:paraId="693EBDAF"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.028</w:t>
            </w:r>
            <w:r w:rsidRPr="008A0E33">
              <w:rPr>
                <w:vertAlign w:val="superscript"/>
              </w:rPr>
              <w:t>+</w:t>
            </w:r>
          </w:p>
        </w:tc>
      </w:tr>
      <w:tr w:rsidR="008A0E33" w:rsidRPr="008A0E33" w14:paraId="332F4868" w14:textId="77777777" w:rsidTr="00B40DF7">
        <w:trPr>
          <w:trHeight w:val="332"/>
        </w:trPr>
        <w:tc>
          <w:tcPr>
            <w:tcW w:w="965" w:type="pct"/>
            <w:tcBorders>
              <w:top w:val="nil"/>
              <w:bottom w:val="nil"/>
              <w:right w:val="nil"/>
            </w:tcBorders>
            <w:shd w:val="clear" w:color="auto" w:fill="auto"/>
            <w:vAlign w:val="center"/>
          </w:tcPr>
          <w:p w14:paraId="3FA37560" w14:textId="77777777" w:rsidR="000A27DC" w:rsidRPr="008A0E33" w:rsidRDefault="000A27DC" w:rsidP="0057484E">
            <w:pPr>
              <w:autoSpaceDE w:val="0"/>
              <w:autoSpaceDN w:val="0"/>
              <w:adjustRightInd w:val="0"/>
              <w:jc w:val="center"/>
              <w:rPr>
                <w:rFonts w:eastAsia="標楷體"/>
                <w:b/>
                <w:sz w:val="20"/>
                <w:szCs w:val="20"/>
              </w:rPr>
            </w:pPr>
            <w:r w:rsidRPr="008A0E33">
              <w:rPr>
                <w:i/>
                <w:iCs/>
                <w:sz w:val="20"/>
                <w:szCs w:val="20"/>
              </w:rPr>
              <w:t>R</w:t>
            </w:r>
            <w:r w:rsidRPr="008A0E33">
              <w:rPr>
                <w:i/>
                <w:iCs/>
                <w:sz w:val="20"/>
                <w:szCs w:val="20"/>
                <w:vertAlign w:val="superscript"/>
              </w:rPr>
              <w:t>2</w:t>
            </w:r>
          </w:p>
        </w:tc>
        <w:tc>
          <w:tcPr>
            <w:tcW w:w="504" w:type="pct"/>
            <w:gridSpan w:val="2"/>
            <w:tcBorders>
              <w:top w:val="nil"/>
              <w:left w:val="nil"/>
              <w:bottom w:val="nil"/>
              <w:right w:val="nil"/>
            </w:tcBorders>
            <w:shd w:val="clear" w:color="auto" w:fill="auto"/>
            <w:vAlign w:val="center"/>
          </w:tcPr>
          <w:p w14:paraId="7CDAA7E8"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.068</w:t>
            </w:r>
          </w:p>
        </w:tc>
        <w:tc>
          <w:tcPr>
            <w:tcW w:w="504" w:type="pct"/>
            <w:gridSpan w:val="2"/>
            <w:tcBorders>
              <w:top w:val="nil"/>
              <w:left w:val="nil"/>
              <w:bottom w:val="nil"/>
              <w:right w:val="nil"/>
            </w:tcBorders>
            <w:vAlign w:val="center"/>
          </w:tcPr>
          <w:p w14:paraId="6B686CC9"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.122</w:t>
            </w:r>
          </w:p>
        </w:tc>
        <w:tc>
          <w:tcPr>
            <w:tcW w:w="505" w:type="pct"/>
            <w:gridSpan w:val="2"/>
            <w:tcBorders>
              <w:top w:val="nil"/>
              <w:left w:val="nil"/>
              <w:bottom w:val="nil"/>
              <w:right w:val="nil"/>
            </w:tcBorders>
            <w:vAlign w:val="center"/>
          </w:tcPr>
          <w:p w14:paraId="20223E74"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.114</w:t>
            </w:r>
          </w:p>
        </w:tc>
        <w:tc>
          <w:tcPr>
            <w:tcW w:w="504" w:type="pct"/>
            <w:gridSpan w:val="2"/>
            <w:tcBorders>
              <w:top w:val="nil"/>
              <w:left w:val="nil"/>
              <w:bottom w:val="nil"/>
              <w:right w:val="nil"/>
            </w:tcBorders>
            <w:vAlign w:val="center"/>
          </w:tcPr>
          <w:p w14:paraId="5CC29D1D"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.383</w:t>
            </w:r>
          </w:p>
        </w:tc>
        <w:tc>
          <w:tcPr>
            <w:tcW w:w="504" w:type="pct"/>
            <w:gridSpan w:val="2"/>
            <w:tcBorders>
              <w:top w:val="nil"/>
              <w:left w:val="nil"/>
              <w:bottom w:val="nil"/>
              <w:right w:val="nil"/>
            </w:tcBorders>
            <w:vAlign w:val="center"/>
          </w:tcPr>
          <w:p w14:paraId="31124B7C"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.410</w:t>
            </w:r>
          </w:p>
        </w:tc>
        <w:tc>
          <w:tcPr>
            <w:tcW w:w="505" w:type="pct"/>
            <w:gridSpan w:val="2"/>
            <w:tcBorders>
              <w:top w:val="nil"/>
              <w:left w:val="nil"/>
              <w:bottom w:val="nil"/>
              <w:right w:val="nil"/>
            </w:tcBorders>
            <w:vAlign w:val="center"/>
          </w:tcPr>
          <w:p w14:paraId="25E6A7BE"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.402</w:t>
            </w:r>
          </w:p>
        </w:tc>
        <w:tc>
          <w:tcPr>
            <w:tcW w:w="504" w:type="pct"/>
            <w:gridSpan w:val="2"/>
            <w:tcBorders>
              <w:top w:val="nil"/>
              <w:left w:val="nil"/>
              <w:bottom w:val="nil"/>
              <w:right w:val="nil"/>
            </w:tcBorders>
            <w:vAlign w:val="center"/>
          </w:tcPr>
          <w:p w14:paraId="1CBDF9BE"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.306</w:t>
            </w:r>
          </w:p>
        </w:tc>
        <w:tc>
          <w:tcPr>
            <w:tcW w:w="505" w:type="pct"/>
            <w:gridSpan w:val="2"/>
            <w:tcBorders>
              <w:top w:val="nil"/>
              <w:left w:val="nil"/>
              <w:bottom w:val="nil"/>
              <w:right w:val="nil"/>
            </w:tcBorders>
            <w:vAlign w:val="center"/>
          </w:tcPr>
          <w:p w14:paraId="3F22C012"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.294</w:t>
            </w:r>
          </w:p>
        </w:tc>
      </w:tr>
      <w:tr w:rsidR="008A0E33" w:rsidRPr="008A0E33" w14:paraId="4E950473" w14:textId="77777777" w:rsidTr="00B40DF7">
        <w:trPr>
          <w:trHeight w:val="332"/>
        </w:trPr>
        <w:tc>
          <w:tcPr>
            <w:tcW w:w="965" w:type="pct"/>
            <w:tcBorders>
              <w:top w:val="nil"/>
              <w:bottom w:val="nil"/>
              <w:right w:val="nil"/>
            </w:tcBorders>
            <w:shd w:val="clear" w:color="auto" w:fill="auto"/>
            <w:vAlign w:val="center"/>
          </w:tcPr>
          <w:p w14:paraId="37F99DC4" w14:textId="77777777" w:rsidR="000A27DC" w:rsidRPr="008A0E33" w:rsidRDefault="000A27DC" w:rsidP="0057484E">
            <w:pPr>
              <w:autoSpaceDE w:val="0"/>
              <w:autoSpaceDN w:val="0"/>
              <w:adjustRightInd w:val="0"/>
              <w:jc w:val="center"/>
              <w:rPr>
                <w:rFonts w:eastAsia="標楷體"/>
                <w:b/>
                <w:sz w:val="20"/>
                <w:szCs w:val="20"/>
              </w:rPr>
            </w:pPr>
            <w:r w:rsidRPr="008A0E33">
              <w:rPr>
                <w:sz w:val="20"/>
                <w:szCs w:val="20"/>
              </w:rPr>
              <w:t xml:space="preserve">Adjusted </w:t>
            </w:r>
            <w:r w:rsidRPr="008A0E33">
              <w:rPr>
                <w:i/>
                <w:iCs/>
                <w:sz w:val="20"/>
                <w:szCs w:val="20"/>
              </w:rPr>
              <w:t>R</w:t>
            </w:r>
            <w:r w:rsidRPr="008A0E33">
              <w:rPr>
                <w:i/>
                <w:iCs/>
                <w:sz w:val="20"/>
                <w:szCs w:val="20"/>
                <w:vertAlign w:val="superscript"/>
              </w:rPr>
              <w:t>2</w:t>
            </w:r>
          </w:p>
        </w:tc>
        <w:tc>
          <w:tcPr>
            <w:tcW w:w="504" w:type="pct"/>
            <w:gridSpan w:val="2"/>
            <w:tcBorders>
              <w:top w:val="nil"/>
              <w:left w:val="nil"/>
              <w:bottom w:val="nil"/>
              <w:right w:val="nil"/>
            </w:tcBorders>
            <w:shd w:val="clear" w:color="auto" w:fill="auto"/>
            <w:vAlign w:val="center"/>
          </w:tcPr>
          <w:p w14:paraId="7E2635D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.017</w:t>
            </w:r>
          </w:p>
        </w:tc>
        <w:tc>
          <w:tcPr>
            <w:tcW w:w="504" w:type="pct"/>
            <w:gridSpan w:val="2"/>
            <w:tcBorders>
              <w:top w:val="nil"/>
              <w:left w:val="nil"/>
              <w:bottom w:val="nil"/>
              <w:right w:val="nil"/>
            </w:tcBorders>
            <w:vAlign w:val="center"/>
          </w:tcPr>
          <w:p w14:paraId="1AEBE6C0"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.065</w:t>
            </w:r>
          </w:p>
        </w:tc>
        <w:tc>
          <w:tcPr>
            <w:tcW w:w="505" w:type="pct"/>
            <w:gridSpan w:val="2"/>
            <w:tcBorders>
              <w:top w:val="nil"/>
              <w:left w:val="nil"/>
              <w:bottom w:val="nil"/>
              <w:right w:val="nil"/>
            </w:tcBorders>
            <w:vAlign w:val="center"/>
          </w:tcPr>
          <w:p w14:paraId="67001A68"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.056</w:t>
            </w:r>
          </w:p>
        </w:tc>
        <w:tc>
          <w:tcPr>
            <w:tcW w:w="504" w:type="pct"/>
            <w:gridSpan w:val="2"/>
            <w:tcBorders>
              <w:top w:val="nil"/>
              <w:left w:val="nil"/>
              <w:bottom w:val="nil"/>
              <w:right w:val="nil"/>
            </w:tcBorders>
            <w:vAlign w:val="center"/>
          </w:tcPr>
          <w:p w14:paraId="0A01ECA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.350</w:t>
            </w:r>
          </w:p>
        </w:tc>
        <w:tc>
          <w:tcPr>
            <w:tcW w:w="504" w:type="pct"/>
            <w:gridSpan w:val="2"/>
            <w:tcBorders>
              <w:top w:val="nil"/>
              <w:left w:val="nil"/>
              <w:bottom w:val="nil"/>
              <w:right w:val="nil"/>
            </w:tcBorders>
            <w:vAlign w:val="center"/>
          </w:tcPr>
          <w:p w14:paraId="06DFEF6D"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.371</w:t>
            </w:r>
          </w:p>
        </w:tc>
        <w:tc>
          <w:tcPr>
            <w:tcW w:w="505" w:type="pct"/>
            <w:gridSpan w:val="2"/>
            <w:tcBorders>
              <w:top w:val="nil"/>
              <w:left w:val="nil"/>
              <w:bottom w:val="nil"/>
              <w:right w:val="nil"/>
            </w:tcBorders>
            <w:vAlign w:val="center"/>
          </w:tcPr>
          <w:p w14:paraId="57F0E3A4"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.363</w:t>
            </w:r>
          </w:p>
        </w:tc>
        <w:tc>
          <w:tcPr>
            <w:tcW w:w="504" w:type="pct"/>
            <w:gridSpan w:val="2"/>
            <w:tcBorders>
              <w:top w:val="nil"/>
              <w:left w:val="nil"/>
              <w:bottom w:val="nil"/>
              <w:right w:val="nil"/>
            </w:tcBorders>
            <w:vAlign w:val="center"/>
          </w:tcPr>
          <w:p w14:paraId="4F59E98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.261</w:t>
            </w:r>
          </w:p>
        </w:tc>
        <w:tc>
          <w:tcPr>
            <w:tcW w:w="505" w:type="pct"/>
            <w:gridSpan w:val="2"/>
            <w:tcBorders>
              <w:top w:val="nil"/>
              <w:left w:val="nil"/>
              <w:bottom w:val="nil"/>
              <w:right w:val="nil"/>
            </w:tcBorders>
            <w:vAlign w:val="center"/>
          </w:tcPr>
          <w:p w14:paraId="476025C0"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.248</w:t>
            </w:r>
          </w:p>
        </w:tc>
      </w:tr>
      <w:tr w:rsidR="008A0E33" w:rsidRPr="008A0E33" w14:paraId="5B165DAE" w14:textId="77777777" w:rsidTr="00B40DF7">
        <w:trPr>
          <w:trHeight w:val="332"/>
        </w:trPr>
        <w:tc>
          <w:tcPr>
            <w:tcW w:w="965" w:type="pct"/>
            <w:tcBorders>
              <w:top w:val="nil"/>
              <w:bottom w:val="single" w:sz="12" w:space="0" w:color="auto"/>
              <w:right w:val="nil"/>
            </w:tcBorders>
            <w:shd w:val="clear" w:color="auto" w:fill="auto"/>
            <w:vAlign w:val="center"/>
          </w:tcPr>
          <w:p w14:paraId="45D8977A" w14:textId="77777777" w:rsidR="000A27DC" w:rsidRPr="008A0E33" w:rsidRDefault="000A27DC" w:rsidP="0057484E">
            <w:pPr>
              <w:autoSpaceDE w:val="0"/>
              <w:autoSpaceDN w:val="0"/>
              <w:adjustRightInd w:val="0"/>
              <w:jc w:val="center"/>
              <w:rPr>
                <w:rFonts w:eastAsia="標楷體"/>
                <w:b/>
                <w:sz w:val="20"/>
                <w:szCs w:val="20"/>
              </w:rPr>
            </w:pPr>
            <w:r w:rsidRPr="008A0E33">
              <w:rPr>
                <w:iCs/>
                <w:sz w:val="20"/>
                <w:szCs w:val="20"/>
              </w:rPr>
              <w:t>ANOVA F</w:t>
            </w:r>
          </w:p>
        </w:tc>
        <w:tc>
          <w:tcPr>
            <w:tcW w:w="504" w:type="pct"/>
            <w:gridSpan w:val="2"/>
            <w:tcBorders>
              <w:top w:val="nil"/>
              <w:left w:val="nil"/>
              <w:bottom w:val="single" w:sz="12" w:space="0" w:color="auto"/>
              <w:right w:val="nil"/>
            </w:tcBorders>
            <w:shd w:val="clear" w:color="auto" w:fill="auto"/>
            <w:vAlign w:val="center"/>
          </w:tcPr>
          <w:p w14:paraId="21380C26"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1.347</w:t>
            </w:r>
          </w:p>
        </w:tc>
        <w:tc>
          <w:tcPr>
            <w:tcW w:w="504" w:type="pct"/>
            <w:gridSpan w:val="2"/>
            <w:tcBorders>
              <w:top w:val="nil"/>
              <w:left w:val="nil"/>
              <w:bottom w:val="single" w:sz="12" w:space="0" w:color="auto"/>
              <w:right w:val="nil"/>
            </w:tcBorders>
            <w:vAlign w:val="center"/>
          </w:tcPr>
          <w:p w14:paraId="7E36C5B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2.131</w:t>
            </w:r>
            <w:r w:rsidRPr="008A0E33">
              <w:rPr>
                <w:vertAlign w:val="superscript"/>
              </w:rPr>
              <w:t>+</w:t>
            </w:r>
          </w:p>
        </w:tc>
        <w:tc>
          <w:tcPr>
            <w:tcW w:w="505" w:type="pct"/>
            <w:gridSpan w:val="2"/>
            <w:tcBorders>
              <w:top w:val="nil"/>
              <w:left w:val="nil"/>
              <w:bottom w:val="single" w:sz="12" w:space="0" w:color="auto"/>
              <w:right w:val="nil"/>
            </w:tcBorders>
            <w:vAlign w:val="center"/>
          </w:tcPr>
          <w:p w14:paraId="164B513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1.975</w:t>
            </w:r>
            <w:r w:rsidRPr="008A0E33">
              <w:rPr>
                <w:vertAlign w:val="superscript"/>
              </w:rPr>
              <w:t>+</w:t>
            </w:r>
          </w:p>
        </w:tc>
        <w:tc>
          <w:tcPr>
            <w:tcW w:w="504" w:type="pct"/>
            <w:gridSpan w:val="2"/>
            <w:tcBorders>
              <w:top w:val="nil"/>
              <w:left w:val="nil"/>
              <w:bottom w:val="single" w:sz="12" w:space="0" w:color="auto"/>
              <w:right w:val="nil"/>
            </w:tcBorders>
            <w:vAlign w:val="center"/>
          </w:tcPr>
          <w:p w14:paraId="6276DE07"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11.556***</w:t>
            </w:r>
          </w:p>
        </w:tc>
        <w:tc>
          <w:tcPr>
            <w:tcW w:w="504" w:type="pct"/>
            <w:gridSpan w:val="2"/>
            <w:tcBorders>
              <w:top w:val="nil"/>
              <w:left w:val="nil"/>
              <w:bottom w:val="single" w:sz="12" w:space="0" w:color="auto"/>
              <w:right w:val="nil"/>
            </w:tcBorders>
            <w:vAlign w:val="center"/>
          </w:tcPr>
          <w:p w14:paraId="05309DD8"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10.635***</w:t>
            </w:r>
          </w:p>
        </w:tc>
        <w:tc>
          <w:tcPr>
            <w:tcW w:w="505" w:type="pct"/>
            <w:gridSpan w:val="2"/>
            <w:tcBorders>
              <w:top w:val="nil"/>
              <w:left w:val="nil"/>
              <w:bottom w:val="single" w:sz="12" w:space="0" w:color="auto"/>
              <w:right w:val="nil"/>
            </w:tcBorders>
            <w:vAlign w:val="center"/>
          </w:tcPr>
          <w:p w14:paraId="35241F24"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10.317***</w:t>
            </w:r>
          </w:p>
        </w:tc>
        <w:tc>
          <w:tcPr>
            <w:tcW w:w="504" w:type="pct"/>
            <w:gridSpan w:val="2"/>
            <w:tcBorders>
              <w:top w:val="nil"/>
              <w:left w:val="nil"/>
              <w:bottom w:val="single" w:sz="12" w:space="0" w:color="auto"/>
              <w:right w:val="nil"/>
            </w:tcBorders>
            <w:vAlign w:val="center"/>
          </w:tcPr>
          <w:p w14:paraId="45CB8058"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6.775***</w:t>
            </w:r>
          </w:p>
        </w:tc>
        <w:tc>
          <w:tcPr>
            <w:tcW w:w="505" w:type="pct"/>
            <w:gridSpan w:val="2"/>
            <w:tcBorders>
              <w:top w:val="nil"/>
              <w:left w:val="nil"/>
              <w:bottom w:val="single" w:sz="12" w:space="0" w:color="auto"/>
              <w:right w:val="nil"/>
            </w:tcBorders>
            <w:vAlign w:val="center"/>
          </w:tcPr>
          <w:p w14:paraId="2B0788C3" w14:textId="77777777" w:rsidR="000A27DC" w:rsidRPr="008A0E33" w:rsidRDefault="000A27DC" w:rsidP="0057484E">
            <w:pPr>
              <w:autoSpaceDE w:val="0"/>
              <w:autoSpaceDN w:val="0"/>
              <w:adjustRightInd w:val="0"/>
              <w:snapToGrid w:val="0"/>
              <w:jc w:val="center"/>
              <w:rPr>
                <w:sz w:val="18"/>
                <w:szCs w:val="18"/>
              </w:rPr>
            </w:pPr>
            <w:r w:rsidRPr="008A0E33">
              <w:rPr>
                <w:sz w:val="18"/>
                <w:szCs w:val="18"/>
              </w:rPr>
              <w:t>6.400***</w:t>
            </w:r>
          </w:p>
        </w:tc>
      </w:tr>
    </w:tbl>
    <w:p w14:paraId="0414C8F0" w14:textId="77777777" w:rsidR="000A27DC" w:rsidRPr="008A0E33" w:rsidRDefault="000A27DC" w:rsidP="0057484E">
      <w:pPr>
        <w:snapToGrid w:val="0"/>
        <w:ind w:right="-694"/>
        <w:rPr>
          <w:sz w:val="18"/>
          <w:szCs w:val="18"/>
        </w:rPr>
      </w:pPr>
      <w:proofErr w:type="spellStart"/>
      <w:proofErr w:type="gramStart"/>
      <w:r w:rsidRPr="008A0E33">
        <w:rPr>
          <w:sz w:val="18"/>
          <w:szCs w:val="18"/>
          <w:vertAlign w:val="superscript"/>
        </w:rPr>
        <w:t>a</w:t>
      </w:r>
      <w:proofErr w:type="spellEnd"/>
      <w:proofErr w:type="gramEnd"/>
      <w:r w:rsidRPr="008A0E33">
        <w:rPr>
          <w:sz w:val="18"/>
          <w:szCs w:val="18"/>
        </w:rPr>
        <w:t xml:space="preserve"> For all models, N = 99. Standardized coefficients are shown. </w:t>
      </w:r>
    </w:p>
    <w:p w14:paraId="2C6D41CE" w14:textId="77777777" w:rsidR="000A27DC" w:rsidRPr="008A0E33" w:rsidRDefault="000A27DC" w:rsidP="0057484E">
      <w:pPr>
        <w:autoSpaceDE w:val="0"/>
        <w:autoSpaceDN w:val="0"/>
        <w:adjustRightInd w:val="0"/>
        <w:snapToGrid w:val="0"/>
        <w:jc w:val="both"/>
      </w:pPr>
      <w:r w:rsidRPr="008A0E33">
        <w:rPr>
          <w:rFonts w:hint="eastAsia"/>
          <w:sz w:val="18"/>
          <w:szCs w:val="18"/>
          <w:vertAlign w:val="superscript"/>
        </w:rPr>
        <w:t xml:space="preserve">+ </w:t>
      </w:r>
      <w:proofErr w:type="gramStart"/>
      <w:r w:rsidRPr="008A0E33">
        <w:rPr>
          <w:i/>
          <w:iCs/>
          <w:sz w:val="18"/>
          <w:szCs w:val="18"/>
        </w:rPr>
        <w:t>p</w:t>
      </w:r>
      <w:proofErr w:type="gramEnd"/>
      <w:r w:rsidRPr="008A0E33">
        <w:rPr>
          <w:sz w:val="18"/>
          <w:szCs w:val="18"/>
        </w:rPr>
        <w:t xml:space="preserve"> ≤ .</w:t>
      </w:r>
      <w:r w:rsidRPr="008A0E33">
        <w:rPr>
          <w:rFonts w:hint="eastAsia"/>
          <w:sz w:val="18"/>
          <w:szCs w:val="18"/>
        </w:rPr>
        <w:t>1</w:t>
      </w:r>
      <w:r w:rsidRPr="008A0E33">
        <w:rPr>
          <w:sz w:val="18"/>
          <w:szCs w:val="18"/>
        </w:rPr>
        <w:t xml:space="preserve">;* </w:t>
      </w:r>
      <w:r w:rsidRPr="008A0E33">
        <w:rPr>
          <w:i/>
          <w:iCs/>
          <w:sz w:val="18"/>
          <w:szCs w:val="18"/>
        </w:rPr>
        <w:t>p</w:t>
      </w:r>
      <w:r w:rsidRPr="008A0E33">
        <w:rPr>
          <w:sz w:val="18"/>
          <w:szCs w:val="18"/>
        </w:rPr>
        <w:t xml:space="preserve"> ≤ .05; **</w:t>
      </w:r>
      <w:r w:rsidRPr="008A0E33">
        <w:rPr>
          <w:i/>
          <w:iCs/>
          <w:sz w:val="18"/>
          <w:szCs w:val="18"/>
        </w:rPr>
        <w:t xml:space="preserve"> p</w:t>
      </w:r>
      <w:r w:rsidRPr="008A0E33">
        <w:rPr>
          <w:sz w:val="18"/>
          <w:szCs w:val="18"/>
        </w:rPr>
        <w:t xml:space="preserve"> ≤ .01; ***</w:t>
      </w:r>
      <w:r w:rsidRPr="008A0E33">
        <w:rPr>
          <w:i/>
          <w:iCs/>
          <w:sz w:val="18"/>
          <w:szCs w:val="18"/>
        </w:rPr>
        <w:t xml:space="preserve"> p</w:t>
      </w:r>
      <w:r w:rsidRPr="008A0E33">
        <w:rPr>
          <w:sz w:val="18"/>
          <w:szCs w:val="18"/>
        </w:rPr>
        <w:t xml:space="preserve"> ≤ .00</w:t>
      </w:r>
      <w:r w:rsidRPr="008A0E33">
        <w:rPr>
          <w:rFonts w:hint="eastAsia"/>
          <w:sz w:val="18"/>
          <w:szCs w:val="18"/>
        </w:rPr>
        <w:t>1</w:t>
      </w:r>
    </w:p>
    <w:p w14:paraId="76825286" w14:textId="77777777" w:rsidR="000A27DC" w:rsidRPr="008A0E33" w:rsidRDefault="000A27DC" w:rsidP="0057484E">
      <w:pPr>
        <w:widowControl/>
        <w:rPr>
          <w:rFonts w:ascii="Times New Roman" w:eastAsia="新細明體" w:hAnsi="Times New Roman" w:cs="Times New Roman"/>
          <w:b/>
        </w:rPr>
      </w:pPr>
      <w:r w:rsidRPr="008A0E33">
        <w:rPr>
          <w:b/>
        </w:rPr>
        <w:br w:type="page"/>
      </w:r>
    </w:p>
    <w:p w14:paraId="00A4E4F5" w14:textId="1B5211C8" w:rsidR="000A27DC" w:rsidRPr="008A0E33" w:rsidRDefault="000A27DC" w:rsidP="0057484E">
      <w:pPr>
        <w:pStyle w:val="ab"/>
        <w:keepNext/>
        <w:rPr>
          <w:sz w:val="24"/>
          <w:szCs w:val="24"/>
          <w:vertAlign w:val="superscript"/>
        </w:rPr>
      </w:pPr>
      <w:r w:rsidRPr="008A0E33">
        <w:rPr>
          <w:b/>
          <w:sz w:val="24"/>
          <w:szCs w:val="24"/>
        </w:rPr>
        <w:lastRenderedPageBreak/>
        <w:t xml:space="preserve">Table 6 The relationship between </w:t>
      </w:r>
      <w:r w:rsidR="009F663E" w:rsidRPr="008A0E33">
        <w:rPr>
          <w:b/>
          <w:sz w:val="24"/>
          <w:szCs w:val="24"/>
        </w:rPr>
        <w:t xml:space="preserve">the </w:t>
      </w:r>
      <w:r w:rsidRPr="008A0E33">
        <w:rPr>
          <w:b/>
          <w:noProof/>
          <w:sz w:val="24"/>
          <w:szCs w:val="24"/>
        </w:rPr>
        <w:t>development</w:t>
      </w:r>
      <w:r w:rsidRPr="008A0E33">
        <w:rPr>
          <w:b/>
          <w:sz w:val="24"/>
          <w:szCs w:val="24"/>
        </w:rPr>
        <w:t xml:space="preserve"> of Pasteurian orientation and </w:t>
      </w:r>
      <w:r w:rsidR="002A46B9" w:rsidRPr="008A0E33">
        <w:rPr>
          <w:b/>
          <w:sz w:val="24"/>
          <w:szCs w:val="24"/>
        </w:rPr>
        <w:t>Departmental collective efficacy</w:t>
      </w:r>
      <w:r w:rsidRPr="008A0E33">
        <w:rPr>
          <w:b/>
          <w:sz w:val="24"/>
          <w:szCs w:val="24"/>
        </w:rPr>
        <w:t xml:space="preserve"> </w:t>
      </w:r>
      <w:r w:rsidRPr="008A0E33">
        <w:rPr>
          <w:noProof/>
          <w:sz w:val="24"/>
          <w:szCs w:val="24"/>
          <w:vertAlign w:val="superscript"/>
        </w:rPr>
        <w:t>a</w:t>
      </w:r>
    </w:p>
    <w:tbl>
      <w:tblPr>
        <w:tblW w:w="5000" w:type="pct"/>
        <w:tblBorders>
          <w:top w:val="single" w:sz="12" w:space="0" w:color="auto"/>
          <w:bottom w:val="single" w:sz="12" w:space="0" w:color="auto"/>
        </w:tblBorders>
        <w:tblLayout w:type="fixed"/>
        <w:tblCellMar>
          <w:left w:w="28" w:type="dxa"/>
          <w:right w:w="28" w:type="dxa"/>
        </w:tblCellMar>
        <w:tblLook w:val="0000" w:firstRow="0" w:lastRow="0" w:firstColumn="0" w:lastColumn="0" w:noHBand="0" w:noVBand="0"/>
      </w:tblPr>
      <w:tblGrid>
        <w:gridCol w:w="2693"/>
        <w:gridCol w:w="703"/>
        <w:gridCol w:w="703"/>
        <w:gridCol w:w="703"/>
        <w:gridCol w:w="704"/>
        <w:gridCol w:w="704"/>
        <w:gridCol w:w="706"/>
        <w:gridCol w:w="704"/>
        <w:gridCol w:w="704"/>
        <w:gridCol w:w="704"/>
        <w:gridCol w:w="704"/>
        <w:gridCol w:w="706"/>
        <w:gridCol w:w="704"/>
        <w:gridCol w:w="704"/>
        <w:gridCol w:w="704"/>
        <w:gridCol w:w="704"/>
        <w:gridCol w:w="706"/>
      </w:tblGrid>
      <w:tr w:rsidR="008A0E33" w:rsidRPr="008A0E33" w14:paraId="7B111223" w14:textId="77777777" w:rsidTr="00B40DF7">
        <w:trPr>
          <w:trHeight w:val="384"/>
        </w:trPr>
        <w:tc>
          <w:tcPr>
            <w:tcW w:w="965" w:type="pct"/>
            <w:vMerge w:val="restart"/>
            <w:tcBorders>
              <w:top w:val="single" w:sz="12" w:space="0" w:color="auto"/>
              <w:right w:val="nil"/>
            </w:tcBorders>
          </w:tcPr>
          <w:p w14:paraId="50F02B4C" w14:textId="77777777" w:rsidR="000A27DC" w:rsidRPr="008A0E33" w:rsidRDefault="000A27DC" w:rsidP="0057484E">
            <w:pPr>
              <w:jc w:val="center"/>
              <w:rPr>
                <w:b/>
                <w:sz w:val="20"/>
                <w:szCs w:val="20"/>
              </w:rPr>
            </w:pPr>
          </w:p>
          <w:p w14:paraId="28B9E777" w14:textId="77777777" w:rsidR="000A27DC" w:rsidRPr="008A0E33" w:rsidRDefault="000A27DC" w:rsidP="0057484E">
            <w:pPr>
              <w:jc w:val="center"/>
              <w:rPr>
                <w:b/>
                <w:bCs/>
                <w:sz w:val="20"/>
                <w:szCs w:val="20"/>
              </w:rPr>
            </w:pPr>
            <w:r w:rsidRPr="008A0E33">
              <w:rPr>
                <w:b/>
                <w:sz w:val="20"/>
                <w:szCs w:val="20"/>
              </w:rPr>
              <w:t>Independent Variables</w:t>
            </w:r>
          </w:p>
        </w:tc>
        <w:tc>
          <w:tcPr>
            <w:tcW w:w="504" w:type="pct"/>
            <w:gridSpan w:val="2"/>
            <w:tcBorders>
              <w:top w:val="single" w:sz="12" w:space="0" w:color="auto"/>
              <w:left w:val="nil"/>
              <w:bottom w:val="single" w:sz="4" w:space="0" w:color="auto"/>
              <w:right w:val="nil"/>
            </w:tcBorders>
            <w:vAlign w:val="center"/>
          </w:tcPr>
          <w:p w14:paraId="7EF191E6" w14:textId="59B057E9" w:rsidR="000A27DC" w:rsidRPr="008A0E33" w:rsidRDefault="000A27DC" w:rsidP="0057484E">
            <w:pPr>
              <w:snapToGrid w:val="0"/>
              <w:jc w:val="center"/>
              <w:rPr>
                <w:b/>
                <w:sz w:val="18"/>
                <w:szCs w:val="18"/>
              </w:rPr>
            </w:pPr>
            <w:r w:rsidRPr="008A0E33">
              <w:rPr>
                <w:b/>
                <w:sz w:val="18"/>
                <w:szCs w:val="18"/>
              </w:rPr>
              <w:t xml:space="preserve">Model </w:t>
            </w:r>
            <w:r w:rsidR="00C233A0" w:rsidRPr="008A0E33">
              <w:rPr>
                <w:b/>
                <w:sz w:val="18"/>
                <w:szCs w:val="18"/>
              </w:rPr>
              <w:t>9</w:t>
            </w:r>
          </w:p>
        </w:tc>
        <w:tc>
          <w:tcPr>
            <w:tcW w:w="504" w:type="pct"/>
            <w:gridSpan w:val="2"/>
            <w:tcBorders>
              <w:top w:val="single" w:sz="12" w:space="0" w:color="auto"/>
              <w:left w:val="nil"/>
              <w:bottom w:val="single" w:sz="4" w:space="0" w:color="auto"/>
              <w:right w:val="nil"/>
            </w:tcBorders>
            <w:vAlign w:val="center"/>
          </w:tcPr>
          <w:p w14:paraId="1477244F" w14:textId="32EBC613" w:rsidR="000A27DC" w:rsidRPr="008A0E33" w:rsidRDefault="000A27DC" w:rsidP="0057484E">
            <w:pPr>
              <w:snapToGrid w:val="0"/>
              <w:jc w:val="center"/>
              <w:rPr>
                <w:b/>
                <w:sz w:val="18"/>
                <w:szCs w:val="18"/>
              </w:rPr>
            </w:pPr>
            <w:r w:rsidRPr="008A0E33">
              <w:rPr>
                <w:b/>
                <w:sz w:val="18"/>
                <w:szCs w:val="18"/>
              </w:rPr>
              <w:t xml:space="preserve">Model </w:t>
            </w:r>
            <w:r w:rsidR="00C233A0" w:rsidRPr="008A0E33">
              <w:rPr>
                <w:b/>
                <w:sz w:val="18"/>
                <w:szCs w:val="18"/>
              </w:rPr>
              <w:t>10</w:t>
            </w:r>
          </w:p>
        </w:tc>
        <w:tc>
          <w:tcPr>
            <w:tcW w:w="505" w:type="pct"/>
            <w:gridSpan w:val="2"/>
            <w:tcBorders>
              <w:top w:val="single" w:sz="12" w:space="0" w:color="auto"/>
              <w:left w:val="nil"/>
              <w:bottom w:val="single" w:sz="4" w:space="0" w:color="auto"/>
              <w:right w:val="nil"/>
            </w:tcBorders>
            <w:vAlign w:val="center"/>
          </w:tcPr>
          <w:p w14:paraId="39B8B900" w14:textId="192F36E8" w:rsidR="000A27DC" w:rsidRPr="008A0E33" w:rsidRDefault="000A27DC" w:rsidP="0057484E">
            <w:pPr>
              <w:snapToGrid w:val="0"/>
              <w:ind w:left="706" w:hangingChars="392" w:hanging="706"/>
              <w:jc w:val="center"/>
              <w:rPr>
                <w:b/>
                <w:sz w:val="18"/>
                <w:szCs w:val="18"/>
              </w:rPr>
            </w:pPr>
            <w:r w:rsidRPr="008A0E33">
              <w:rPr>
                <w:b/>
                <w:sz w:val="18"/>
                <w:szCs w:val="18"/>
              </w:rPr>
              <w:t xml:space="preserve">Model </w:t>
            </w:r>
            <w:r w:rsidR="00C233A0" w:rsidRPr="008A0E33">
              <w:rPr>
                <w:b/>
                <w:sz w:val="18"/>
                <w:szCs w:val="18"/>
              </w:rPr>
              <w:t>11</w:t>
            </w:r>
          </w:p>
        </w:tc>
        <w:tc>
          <w:tcPr>
            <w:tcW w:w="504" w:type="pct"/>
            <w:gridSpan w:val="2"/>
            <w:tcBorders>
              <w:top w:val="single" w:sz="12" w:space="0" w:color="auto"/>
              <w:left w:val="nil"/>
              <w:bottom w:val="single" w:sz="4" w:space="0" w:color="auto"/>
              <w:right w:val="nil"/>
            </w:tcBorders>
            <w:vAlign w:val="center"/>
          </w:tcPr>
          <w:p w14:paraId="7E9E07B8" w14:textId="236E3947" w:rsidR="000A27DC" w:rsidRPr="008A0E33" w:rsidRDefault="000A27DC" w:rsidP="0057484E">
            <w:pPr>
              <w:snapToGrid w:val="0"/>
              <w:ind w:left="706" w:hangingChars="392" w:hanging="706"/>
              <w:jc w:val="center"/>
              <w:rPr>
                <w:b/>
                <w:sz w:val="18"/>
                <w:szCs w:val="18"/>
              </w:rPr>
            </w:pPr>
            <w:r w:rsidRPr="008A0E33">
              <w:rPr>
                <w:b/>
                <w:sz w:val="18"/>
                <w:szCs w:val="18"/>
              </w:rPr>
              <w:t xml:space="preserve">Model </w:t>
            </w:r>
            <w:r w:rsidR="00C233A0" w:rsidRPr="008A0E33">
              <w:rPr>
                <w:b/>
                <w:sz w:val="18"/>
                <w:szCs w:val="18"/>
              </w:rPr>
              <w:t>12</w:t>
            </w:r>
          </w:p>
        </w:tc>
        <w:tc>
          <w:tcPr>
            <w:tcW w:w="504" w:type="pct"/>
            <w:gridSpan w:val="2"/>
            <w:tcBorders>
              <w:top w:val="single" w:sz="12" w:space="0" w:color="auto"/>
              <w:left w:val="nil"/>
              <w:bottom w:val="single" w:sz="4" w:space="0" w:color="auto"/>
              <w:right w:val="nil"/>
            </w:tcBorders>
            <w:vAlign w:val="center"/>
          </w:tcPr>
          <w:p w14:paraId="0F9B0C11" w14:textId="073EE8AF" w:rsidR="000A27DC" w:rsidRPr="008A0E33" w:rsidRDefault="000A27DC" w:rsidP="0057484E">
            <w:pPr>
              <w:snapToGrid w:val="0"/>
              <w:jc w:val="center"/>
              <w:rPr>
                <w:b/>
                <w:sz w:val="18"/>
                <w:szCs w:val="18"/>
              </w:rPr>
            </w:pPr>
            <w:r w:rsidRPr="008A0E33">
              <w:rPr>
                <w:b/>
                <w:sz w:val="18"/>
                <w:szCs w:val="18"/>
              </w:rPr>
              <w:t xml:space="preserve">Model </w:t>
            </w:r>
            <w:r w:rsidR="00C233A0" w:rsidRPr="008A0E33">
              <w:rPr>
                <w:b/>
                <w:sz w:val="18"/>
                <w:szCs w:val="18"/>
              </w:rPr>
              <w:t>13</w:t>
            </w:r>
          </w:p>
        </w:tc>
        <w:tc>
          <w:tcPr>
            <w:tcW w:w="505" w:type="pct"/>
            <w:gridSpan w:val="2"/>
            <w:tcBorders>
              <w:top w:val="single" w:sz="12" w:space="0" w:color="auto"/>
              <w:left w:val="nil"/>
              <w:bottom w:val="single" w:sz="4" w:space="0" w:color="auto"/>
              <w:right w:val="nil"/>
            </w:tcBorders>
            <w:vAlign w:val="center"/>
          </w:tcPr>
          <w:p w14:paraId="4A2AA325" w14:textId="732B78CA" w:rsidR="000A27DC" w:rsidRPr="008A0E33" w:rsidRDefault="000A27DC" w:rsidP="0057484E">
            <w:pPr>
              <w:snapToGrid w:val="0"/>
              <w:ind w:left="706" w:hangingChars="392" w:hanging="706"/>
              <w:jc w:val="center"/>
              <w:rPr>
                <w:b/>
                <w:sz w:val="18"/>
                <w:szCs w:val="18"/>
              </w:rPr>
            </w:pPr>
            <w:r w:rsidRPr="008A0E33">
              <w:rPr>
                <w:b/>
                <w:sz w:val="18"/>
                <w:szCs w:val="18"/>
              </w:rPr>
              <w:t xml:space="preserve">Model </w:t>
            </w:r>
            <w:r w:rsidR="00C233A0" w:rsidRPr="008A0E33">
              <w:rPr>
                <w:b/>
                <w:sz w:val="18"/>
                <w:szCs w:val="18"/>
              </w:rPr>
              <w:t>14</w:t>
            </w:r>
          </w:p>
        </w:tc>
        <w:tc>
          <w:tcPr>
            <w:tcW w:w="504" w:type="pct"/>
            <w:gridSpan w:val="2"/>
            <w:tcBorders>
              <w:top w:val="single" w:sz="12" w:space="0" w:color="auto"/>
              <w:left w:val="nil"/>
              <w:bottom w:val="single" w:sz="4" w:space="0" w:color="auto"/>
              <w:right w:val="nil"/>
            </w:tcBorders>
            <w:vAlign w:val="center"/>
          </w:tcPr>
          <w:p w14:paraId="60C19A68" w14:textId="3CA1BC0A" w:rsidR="000A27DC" w:rsidRPr="008A0E33" w:rsidRDefault="000A27DC" w:rsidP="0057484E">
            <w:pPr>
              <w:snapToGrid w:val="0"/>
              <w:ind w:left="706" w:hangingChars="392" w:hanging="706"/>
              <w:jc w:val="center"/>
              <w:rPr>
                <w:b/>
                <w:sz w:val="18"/>
                <w:szCs w:val="18"/>
              </w:rPr>
            </w:pPr>
            <w:r w:rsidRPr="008A0E33">
              <w:rPr>
                <w:b/>
                <w:sz w:val="18"/>
                <w:szCs w:val="18"/>
              </w:rPr>
              <w:t xml:space="preserve">Model </w:t>
            </w:r>
            <w:r w:rsidR="00C233A0" w:rsidRPr="008A0E33">
              <w:rPr>
                <w:b/>
                <w:sz w:val="18"/>
                <w:szCs w:val="18"/>
              </w:rPr>
              <w:t>15</w:t>
            </w:r>
          </w:p>
        </w:tc>
        <w:tc>
          <w:tcPr>
            <w:tcW w:w="505" w:type="pct"/>
            <w:gridSpan w:val="2"/>
            <w:tcBorders>
              <w:top w:val="single" w:sz="12" w:space="0" w:color="auto"/>
              <w:left w:val="nil"/>
              <w:bottom w:val="single" w:sz="4" w:space="0" w:color="auto"/>
              <w:right w:val="nil"/>
            </w:tcBorders>
            <w:vAlign w:val="center"/>
          </w:tcPr>
          <w:p w14:paraId="7E4D6B0F" w14:textId="450B523F" w:rsidR="000A27DC" w:rsidRPr="008A0E33" w:rsidRDefault="000A27DC" w:rsidP="0057484E">
            <w:pPr>
              <w:snapToGrid w:val="0"/>
              <w:ind w:left="706" w:hangingChars="392" w:hanging="706"/>
              <w:jc w:val="center"/>
              <w:rPr>
                <w:b/>
                <w:sz w:val="18"/>
                <w:szCs w:val="18"/>
              </w:rPr>
            </w:pPr>
            <w:r w:rsidRPr="008A0E33">
              <w:rPr>
                <w:b/>
                <w:sz w:val="18"/>
                <w:szCs w:val="18"/>
              </w:rPr>
              <w:t xml:space="preserve">Model </w:t>
            </w:r>
            <w:r w:rsidR="00C233A0" w:rsidRPr="008A0E33">
              <w:rPr>
                <w:b/>
                <w:sz w:val="18"/>
                <w:szCs w:val="18"/>
              </w:rPr>
              <w:t>16</w:t>
            </w:r>
          </w:p>
        </w:tc>
      </w:tr>
      <w:tr w:rsidR="008A0E33" w:rsidRPr="008A0E33" w14:paraId="30C7381B" w14:textId="77777777" w:rsidTr="00B40DF7">
        <w:trPr>
          <w:trHeight w:val="384"/>
        </w:trPr>
        <w:tc>
          <w:tcPr>
            <w:tcW w:w="965" w:type="pct"/>
            <w:vMerge/>
            <w:tcBorders>
              <w:bottom w:val="single" w:sz="12" w:space="0" w:color="auto"/>
              <w:right w:val="nil"/>
            </w:tcBorders>
          </w:tcPr>
          <w:p w14:paraId="58F1B3F0" w14:textId="77777777" w:rsidR="000A27DC" w:rsidRPr="008A0E33" w:rsidRDefault="000A27DC" w:rsidP="0057484E">
            <w:pPr>
              <w:jc w:val="center"/>
              <w:rPr>
                <w:b/>
                <w:sz w:val="20"/>
                <w:szCs w:val="20"/>
              </w:rPr>
            </w:pPr>
          </w:p>
        </w:tc>
        <w:tc>
          <w:tcPr>
            <w:tcW w:w="504" w:type="pct"/>
            <w:gridSpan w:val="2"/>
            <w:tcBorders>
              <w:top w:val="single" w:sz="4" w:space="0" w:color="auto"/>
              <w:left w:val="nil"/>
              <w:bottom w:val="single" w:sz="12" w:space="0" w:color="auto"/>
              <w:right w:val="nil"/>
            </w:tcBorders>
          </w:tcPr>
          <w:p w14:paraId="4B90D554" w14:textId="77777777" w:rsidR="000A27DC" w:rsidRPr="008A0E33" w:rsidRDefault="000A27DC" w:rsidP="0057484E">
            <w:pPr>
              <w:snapToGrid w:val="0"/>
              <w:jc w:val="center"/>
              <w:rPr>
                <w:b/>
                <w:sz w:val="18"/>
                <w:szCs w:val="18"/>
              </w:rPr>
            </w:pPr>
            <w:r w:rsidRPr="008A0E33">
              <w:rPr>
                <w:b/>
                <w:sz w:val="18"/>
                <w:szCs w:val="18"/>
              </w:rPr>
              <w:t>Knowledge utilization</w:t>
            </w:r>
          </w:p>
        </w:tc>
        <w:tc>
          <w:tcPr>
            <w:tcW w:w="504" w:type="pct"/>
            <w:gridSpan w:val="2"/>
            <w:tcBorders>
              <w:top w:val="single" w:sz="4" w:space="0" w:color="auto"/>
              <w:left w:val="nil"/>
              <w:bottom w:val="single" w:sz="12" w:space="0" w:color="auto"/>
              <w:right w:val="nil"/>
            </w:tcBorders>
          </w:tcPr>
          <w:p w14:paraId="0E54DAE0" w14:textId="032F4FB2" w:rsidR="000A27DC" w:rsidRPr="008A0E33" w:rsidRDefault="002A46B9" w:rsidP="0057484E">
            <w:pPr>
              <w:snapToGrid w:val="0"/>
              <w:jc w:val="center"/>
              <w:rPr>
                <w:b/>
                <w:sz w:val="18"/>
                <w:szCs w:val="18"/>
              </w:rPr>
            </w:pPr>
            <w:r w:rsidRPr="008A0E33">
              <w:rPr>
                <w:b/>
                <w:sz w:val="18"/>
                <w:szCs w:val="18"/>
              </w:rPr>
              <w:t>Departmental collective efficacy</w:t>
            </w:r>
          </w:p>
        </w:tc>
        <w:tc>
          <w:tcPr>
            <w:tcW w:w="505" w:type="pct"/>
            <w:gridSpan w:val="2"/>
            <w:tcBorders>
              <w:top w:val="single" w:sz="4" w:space="0" w:color="auto"/>
              <w:left w:val="nil"/>
              <w:bottom w:val="single" w:sz="12" w:space="0" w:color="auto"/>
              <w:right w:val="nil"/>
            </w:tcBorders>
          </w:tcPr>
          <w:p w14:paraId="685D714E" w14:textId="2FAD9707" w:rsidR="000A27DC" w:rsidRPr="008A0E33" w:rsidRDefault="002A46B9" w:rsidP="0057484E">
            <w:pPr>
              <w:snapToGrid w:val="0"/>
              <w:jc w:val="center"/>
              <w:rPr>
                <w:b/>
                <w:sz w:val="18"/>
                <w:szCs w:val="18"/>
              </w:rPr>
            </w:pPr>
            <w:r w:rsidRPr="008A0E33">
              <w:rPr>
                <w:b/>
                <w:sz w:val="18"/>
                <w:szCs w:val="18"/>
              </w:rPr>
              <w:t>Departmental collective efficacy</w:t>
            </w:r>
          </w:p>
        </w:tc>
        <w:tc>
          <w:tcPr>
            <w:tcW w:w="504" w:type="pct"/>
            <w:gridSpan w:val="2"/>
            <w:tcBorders>
              <w:top w:val="single" w:sz="4" w:space="0" w:color="auto"/>
              <w:left w:val="nil"/>
              <w:bottom w:val="single" w:sz="12" w:space="0" w:color="auto"/>
              <w:right w:val="nil"/>
            </w:tcBorders>
          </w:tcPr>
          <w:p w14:paraId="63D0A46F" w14:textId="40157E25" w:rsidR="000A27DC" w:rsidRPr="008A0E33" w:rsidRDefault="002A46B9" w:rsidP="0057484E">
            <w:pPr>
              <w:snapToGrid w:val="0"/>
              <w:jc w:val="center"/>
              <w:rPr>
                <w:b/>
                <w:sz w:val="18"/>
                <w:szCs w:val="18"/>
              </w:rPr>
            </w:pPr>
            <w:r w:rsidRPr="008A0E33">
              <w:rPr>
                <w:b/>
                <w:sz w:val="18"/>
                <w:szCs w:val="18"/>
              </w:rPr>
              <w:t>Departmental collective efficacy</w:t>
            </w:r>
          </w:p>
        </w:tc>
        <w:tc>
          <w:tcPr>
            <w:tcW w:w="504" w:type="pct"/>
            <w:gridSpan w:val="2"/>
            <w:tcBorders>
              <w:top w:val="single" w:sz="4" w:space="0" w:color="auto"/>
              <w:left w:val="nil"/>
              <w:bottom w:val="single" w:sz="12" w:space="0" w:color="auto"/>
              <w:right w:val="nil"/>
            </w:tcBorders>
          </w:tcPr>
          <w:p w14:paraId="56413421" w14:textId="5BFAE2B7" w:rsidR="000A27DC" w:rsidRPr="008A0E33" w:rsidRDefault="002A46B9" w:rsidP="0057484E">
            <w:pPr>
              <w:snapToGrid w:val="0"/>
              <w:jc w:val="center"/>
              <w:rPr>
                <w:b/>
                <w:sz w:val="18"/>
                <w:szCs w:val="18"/>
              </w:rPr>
            </w:pPr>
            <w:r w:rsidRPr="008A0E33">
              <w:rPr>
                <w:b/>
                <w:sz w:val="18"/>
                <w:szCs w:val="18"/>
              </w:rPr>
              <w:t>Departmental collective efficacy</w:t>
            </w:r>
          </w:p>
        </w:tc>
        <w:tc>
          <w:tcPr>
            <w:tcW w:w="505" w:type="pct"/>
            <w:gridSpan w:val="2"/>
            <w:tcBorders>
              <w:top w:val="single" w:sz="4" w:space="0" w:color="auto"/>
              <w:left w:val="nil"/>
              <w:bottom w:val="single" w:sz="12" w:space="0" w:color="auto"/>
              <w:right w:val="nil"/>
            </w:tcBorders>
          </w:tcPr>
          <w:p w14:paraId="1E79AEDB" w14:textId="051037A4" w:rsidR="000A27DC" w:rsidRPr="008A0E33" w:rsidRDefault="002A46B9" w:rsidP="0057484E">
            <w:pPr>
              <w:snapToGrid w:val="0"/>
              <w:jc w:val="center"/>
              <w:rPr>
                <w:b/>
                <w:sz w:val="18"/>
                <w:szCs w:val="18"/>
              </w:rPr>
            </w:pPr>
            <w:r w:rsidRPr="008A0E33">
              <w:rPr>
                <w:b/>
                <w:sz w:val="18"/>
                <w:szCs w:val="18"/>
              </w:rPr>
              <w:t>Departmental collective efficacy</w:t>
            </w:r>
          </w:p>
        </w:tc>
        <w:tc>
          <w:tcPr>
            <w:tcW w:w="504" w:type="pct"/>
            <w:gridSpan w:val="2"/>
            <w:tcBorders>
              <w:top w:val="single" w:sz="4" w:space="0" w:color="auto"/>
              <w:left w:val="nil"/>
              <w:bottom w:val="single" w:sz="12" w:space="0" w:color="auto"/>
              <w:right w:val="nil"/>
            </w:tcBorders>
          </w:tcPr>
          <w:p w14:paraId="3D35CB5F" w14:textId="7CCFF55D" w:rsidR="000A27DC" w:rsidRPr="008A0E33" w:rsidRDefault="002A46B9" w:rsidP="0057484E">
            <w:pPr>
              <w:snapToGrid w:val="0"/>
              <w:jc w:val="center"/>
              <w:rPr>
                <w:b/>
                <w:sz w:val="18"/>
                <w:szCs w:val="18"/>
              </w:rPr>
            </w:pPr>
            <w:r w:rsidRPr="008A0E33">
              <w:rPr>
                <w:b/>
                <w:sz w:val="18"/>
                <w:szCs w:val="18"/>
              </w:rPr>
              <w:t>Departmental collective efficacy</w:t>
            </w:r>
          </w:p>
        </w:tc>
        <w:tc>
          <w:tcPr>
            <w:tcW w:w="505" w:type="pct"/>
            <w:gridSpan w:val="2"/>
            <w:tcBorders>
              <w:top w:val="single" w:sz="4" w:space="0" w:color="auto"/>
              <w:left w:val="nil"/>
              <w:bottom w:val="single" w:sz="12" w:space="0" w:color="auto"/>
              <w:right w:val="nil"/>
            </w:tcBorders>
          </w:tcPr>
          <w:p w14:paraId="53C7BDBF" w14:textId="46CBBE01" w:rsidR="000A27DC" w:rsidRPr="008A0E33" w:rsidRDefault="002A46B9" w:rsidP="0057484E">
            <w:pPr>
              <w:snapToGrid w:val="0"/>
              <w:jc w:val="center"/>
              <w:rPr>
                <w:b/>
                <w:sz w:val="18"/>
                <w:szCs w:val="18"/>
              </w:rPr>
            </w:pPr>
            <w:r w:rsidRPr="008A0E33">
              <w:rPr>
                <w:b/>
                <w:sz w:val="18"/>
                <w:szCs w:val="18"/>
              </w:rPr>
              <w:t>Departmental collective efficacy</w:t>
            </w:r>
          </w:p>
        </w:tc>
      </w:tr>
      <w:tr w:rsidR="008A0E33" w:rsidRPr="008A0E33" w14:paraId="67542D82" w14:textId="77777777" w:rsidTr="00B40DF7">
        <w:trPr>
          <w:trHeight w:val="342"/>
        </w:trPr>
        <w:tc>
          <w:tcPr>
            <w:tcW w:w="965" w:type="pct"/>
            <w:tcBorders>
              <w:top w:val="single" w:sz="12" w:space="0" w:color="auto"/>
            </w:tcBorders>
            <w:vAlign w:val="center"/>
          </w:tcPr>
          <w:p w14:paraId="65C036FA" w14:textId="77777777" w:rsidR="008B2853" w:rsidRPr="008A0E33" w:rsidRDefault="008B2853" w:rsidP="0057484E">
            <w:pPr>
              <w:autoSpaceDE w:val="0"/>
              <w:autoSpaceDN w:val="0"/>
              <w:adjustRightInd w:val="0"/>
              <w:rPr>
                <w:sz w:val="20"/>
                <w:szCs w:val="20"/>
              </w:rPr>
            </w:pPr>
            <w:r w:rsidRPr="008A0E33">
              <w:rPr>
                <w:rFonts w:cs="Times New Roman"/>
                <w:kern w:val="0"/>
                <w:sz w:val="18"/>
                <w:szCs w:val="18"/>
              </w:rPr>
              <w:t>Public university</w:t>
            </w:r>
          </w:p>
        </w:tc>
        <w:tc>
          <w:tcPr>
            <w:tcW w:w="252" w:type="pct"/>
            <w:tcBorders>
              <w:top w:val="single" w:sz="12" w:space="0" w:color="auto"/>
              <w:left w:val="nil"/>
              <w:right w:val="nil"/>
            </w:tcBorders>
            <w:vAlign w:val="center"/>
          </w:tcPr>
          <w:p w14:paraId="1A0A067D" w14:textId="30DE281C"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-.261***</w:t>
            </w:r>
          </w:p>
        </w:tc>
        <w:tc>
          <w:tcPr>
            <w:tcW w:w="252" w:type="pct"/>
            <w:tcBorders>
              <w:top w:val="single" w:sz="12" w:space="0" w:color="auto"/>
              <w:left w:val="nil"/>
              <w:right w:val="nil"/>
            </w:tcBorders>
            <w:vAlign w:val="center"/>
          </w:tcPr>
          <w:p w14:paraId="0DA7B1F2" w14:textId="55B598BB" w:rsidR="008B2853" w:rsidRPr="008A0E33" w:rsidRDefault="008B2853" w:rsidP="0057484E">
            <w:pPr>
              <w:autoSpaceDE w:val="0"/>
              <w:autoSpaceDN w:val="0"/>
              <w:adjustRightInd w:val="0"/>
              <w:snapToGrid w:val="0"/>
              <w:rPr>
                <w:kern w:val="0"/>
                <w:sz w:val="18"/>
                <w:szCs w:val="18"/>
              </w:rPr>
            </w:pPr>
            <w:r w:rsidRPr="008A0E33">
              <w:rPr>
                <w:kern w:val="0"/>
                <w:sz w:val="18"/>
                <w:szCs w:val="18"/>
              </w:rPr>
              <w:t>(.000)</w:t>
            </w:r>
          </w:p>
        </w:tc>
        <w:tc>
          <w:tcPr>
            <w:tcW w:w="252" w:type="pct"/>
            <w:tcBorders>
              <w:top w:val="single" w:sz="12" w:space="0" w:color="auto"/>
              <w:left w:val="nil"/>
              <w:bottom w:val="nil"/>
              <w:right w:val="nil"/>
            </w:tcBorders>
            <w:vAlign w:val="center"/>
          </w:tcPr>
          <w:p w14:paraId="75623DCB" w14:textId="3BE15EB2"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46</w:t>
            </w:r>
          </w:p>
        </w:tc>
        <w:tc>
          <w:tcPr>
            <w:tcW w:w="252" w:type="pct"/>
            <w:tcBorders>
              <w:top w:val="single" w:sz="12" w:space="0" w:color="auto"/>
              <w:left w:val="nil"/>
              <w:bottom w:val="nil"/>
              <w:right w:val="nil"/>
            </w:tcBorders>
            <w:vAlign w:val="center"/>
          </w:tcPr>
          <w:p w14:paraId="54E98D61" w14:textId="4FFA95A6"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610</w:t>
            </w:r>
            <w:r w:rsidRPr="008A0E33">
              <w:rPr>
                <w:kern w:val="0"/>
                <w:sz w:val="18"/>
                <w:szCs w:val="18"/>
              </w:rPr>
              <w:t>)</w:t>
            </w:r>
          </w:p>
        </w:tc>
        <w:tc>
          <w:tcPr>
            <w:tcW w:w="252" w:type="pct"/>
            <w:tcBorders>
              <w:top w:val="single" w:sz="12" w:space="0" w:color="auto"/>
              <w:left w:val="nil"/>
              <w:bottom w:val="nil"/>
              <w:right w:val="nil"/>
            </w:tcBorders>
            <w:vAlign w:val="center"/>
          </w:tcPr>
          <w:p w14:paraId="1EE1AD2A" w14:textId="5457C30E"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61</w:t>
            </w:r>
          </w:p>
        </w:tc>
        <w:tc>
          <w:tcPr>
            <w:tcW w:w="253" w:type="pct"/>
            <w:tcBorders>
              <w:top w:val="single" w:sz="12" w:space="0" w:color="auto"/>
              <w:left w:val="nil"/>
              <w:bottom w:val="nil"/>
              <w:right w:val="nil"/>
            </w:tcBorders>
            <w:vAlign w:val="center"/>
          </w:tcPr>
          <w:p w14:paraId="52BCDF73" w14:textId="45E2CC9F"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530</w:t>
            </w:r>
            <w:r w:rsidRPr="008A0E33">
              <w:rPr>
                <w:kern w:val="0"/>
                <w:sz w:val="18"/>
                <w:szCs w:val="18"/>
              </w:rPr>
              <w:t>)</w:t>
            </w:r>
          </w:p>
        </w:tc>
        <w:tc>
          <w:tcPr>
            <w:tcW w:w="252" w:type="pct"/>
            <w:tcBorders>
              <w:top w:val="single" w:sz="12" w:space="0" w:color="auto"/>
              <w:left w:val="nil"/>
              <w:right w:val="nil"/>
            </w:tcBorders>
            <w:vAlign w:val="center"/>
          </w:tcPr>
          <w:p w14:paraId="32D52BA6" w14:textId="6A21F74A"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37</w:t>
            </w:r>
          </w:p>
        </w:tc>
        <w:tc>
          <w:tcPr>
            <w:tcW w:w="252" w:type="pct"/>
            <w:tcBorders>
              <w:top w:val="single" w:sz="12" w:space="0" w:color="auto"/>
              <w:left w:val="nil"/>
              <w:right w:val="nil"/>
            </w:tcBorders>
            <w:vAlign w:val="center"/>
          </w:tcPr>
          <w:p w14:paraId="36F85639" w14:textId="06AC3E79"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(.688)</w:t>
            </w:r>
          </w:p>
        </w:tc>
        <w:tc>
          <w:tcPr>
            <w:tcW w:w="252" w:type="pct"/>
            <w:tcBorders>
              <w:top w:val="single" w:sz="12" w:space="0" w:color="auto"/>
              <w:left w:val="nil"/>
              <w:right w:val="nil"/>
            </w:tcBorders>
            <w:vAlign w:val="center"/>
          </w:tcPr>
          <w:p w14:paraId="70109728"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44</w:t>
            </w:r>
          </w:p>
        </w:tc>
        <w:tc>
          <w:tcPr>
            <w:tcW w:w="252" w:type="pct"/>
            <w:tcBorders>
              <w:top w:val="single" w:sz="12" w:space="0" w:color="auto"/>
              <w:left w:val="nil"/>
              <w:right w:val="nil"/>
            </w:tcBorders>
            <w:vAlign w:val="center"/>
          </w:tcPr>
          <w:p w14:paraId="4783BA30" w14:textId="77777777"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648</w:t>
            </w:r>
            <w:r w:rsidRPr="008A0E33">
              <w:rPr>
                <w:kern w:val="0"/>
                <w:sz w:val="18"/>
                <w:szCs w:val="18"/>
              </w:rPr>
              <w:t>)</w:t>
            </w:r>
          </w:p>
        </w:tc>
        <w:tc>
          <w:tcPr>
            <w:tcW w:w="253" w:type="pct"/>
            <w:tcBorders>
              <w:top w:val="single" w:sz="12" w:space="0" w:color="auto"/>
              <w:left w:val="nil"/>
              <w:right w:val="nil"/>
            </w:tcBorders>
            <w:vAlign w:val="center"/>
          </w:tcPr>
          <w:p w14:paraId="238AA991"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58</w:t>
            </w:r>
          </w:p>
        </w:tc>
        <w:tc>
          <w:tcPr>
            <w:tcW w:w="252" w:type="pct"/>
            <w:tcBorders>
              <w:top w:val="single" w:sz="12" w:space="0" w:color="auto"/>
              <w:left w:val="nil"/>
              <w:right w:val="nil"/>
            </w:tcBorders>
            <w:vAlign w:val="center"/>
          </w:tcPr>
          <w:p w14:paraId="1997E942" w14:textId="77777777" w:rsidR="008B2853" w:rsidRPr="008A0E33" w:rsidRDefault="008B2853" w:rsidP="0057484E">
            <w:pPr>
              <w:autoSpaceDE w:val="0"/>
              <w:autoSpaceDN w:val="0"/>
              <w:adjustRightInd w:val="0"/>
              <w:snapToGrid w:val="0"/>
              <w:rPr>
                <w:kern w:val="0"/>
                <w:sz w:val="18"/>
                <w:szCs w:val="18"/>
              </w:rPr>
            </w:pPr>
            <w:r w:rsidRPr="008A0E33">
              <w:rPr>
                <w:kern w:val="0"/>
                <w:sz w:val="18"/>
                <w:szCs w:val="18"/>
              </w:rPr>
              <w:t>(.523)</w:t>
            </w:r>
          </w:p>
        </w:tc>
        <w:tc>
          <w:tcPr>
            <w:tcW w:w="252" w:type="pct"/>
            <w:tcBorders>
              <w:top w:val="single" w:sz="12" w:space="0" w:color="auto"/>
              <w:left w:val="nil"/>
              <w:bottom w:val="nil"/>
              <w:right w:val="nil"/>
            </w:tcBorders>
            <w:vAlign w:val="center"/>
          </w:tcPr>
          <w:p w14:paraId="73DC4AB0"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-.062</w:t>
            </w:r>
          </w:p>
        </w:tc>
        <w:tc>
          <w:tcPr>
            <w:tcW w:w="252" w:type="pct"/>
            <w:tcBorders>
              <w:top w:val="single" w:sz="12" w:space="0" w:color="auto"/>
              <w:left w:val="nil"/>
              <w:bottom w:val="nil"/>
              <w:right w:val="nil"/>
            </w:tcBorders>
            <w:vAlign w:val="center"/>
          </w:tcPr>
          <w:p w14:paraId="652A273D"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(.536)</w:t>
            </w:r>
          </w:p>
        </w:tc>
        <w:tc>
          <w:tcPr>
            <w:tcW w:w="252" w:type="pct"/>
            <w:tcBorders>
              <w:top w:val="single" w:sz="12" w:space="0" w:color="auto"/>
              <w:left w:val="nil"/>
              <w:right w:val="nil"/>
            </w:tcBorders>
            <w:vAlign w:val="center"/>
          </w:tcPr>
          <w:p w14:paraId="1D303F2E"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-.049</w:t>
            </w:r>
          </w:p>
        </w:tc>
        <w:tc>
          <w:tcPr>
            <w:tcW w:w="253" w:type="pct"/>
            <w:tcBorders>
              <w:top w:val="single" w:sz="12" w:space="0" w:color="auto"/>
              <w:left w:val="nil"/>
              <w:right w:val="nil"/>
            </w:tcBorders>
            <w:vAlign w:val="center"/>
          </w:tcPr>
          <w:p w14:paraId="5EF49064"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(.599)</w:t>
            </w:r>
          </w:p>
        </w:tc>
      </w:tr>
      <w:tr w:rsidR="008A0E33" w:rsidRPr="008A0E33" w14:paraId="78EC1A4C" w14:textId="77777777" w:rsidTr="00B40DF7">
        <w:trPr>
          <w:trHeight w:val="342"/>
        </w:trPr>
        <w:tc>
          <w:tcPr>
            <w:tcW w:w="965" w:type="pct"/>
            <w:vAlign w:val="center"/>
          </w:tcPr>
          <w:p w14:paraId="2362C49F" w14:textId="77777777" w:rsidR="008B2853" w:rsidRPr="008A0E33" w:rsidRDefault="008B2853" w:rsidP="0057484E">
            <w:pPr>
              <w:autoSpaceDE w:val="0"/>
              <w:autoSpaceDN w:val="0"/>
              <w:adjustRightInd w:val="0"/>
              <w:rPr>
                <w:kern w:val="0"/>
                <w:sz w:val="20"/>
                <w:szCs w:val="20"/>
              </w:rPr>
            </w:pPr>
            <w:r w:rsidRPr="008A0E33">
              <w:rPr>
                <w:rFonts w:cs="Times New Roman"/>
                <w:kern w:val="0"/>
                <w:sz w:val="18"/>
                <w:szCs w:val="18"/>
              </w:rPr>
              <w:t>Departmental size</w:t>
            </w:r>
          </w:p>
        </w:tc>
        <w:tc>
          <w:tcPr>
            <w:tcW w:w="252" w:type="pct"/>
            <w:tcBorders>
              <w:left w:val="nil"/>
              <w:right w:val="nil"/>
            </w:tcBorders>
            <w:vAlign w:val="center"/>
          </w:tcPr>
          <w:p w14:paraId="1F1DCCEC" w14:textId="32B1209E"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.007</w:t>
            </w:r>
          </w:p>
        </w:tc>
        <w:tc>
          <w:tcPr>
            <w:tcW w:w="252" w:type="pct"/>
            <w:tcBorders>
              <w:left w:val="nil"/>
              <w:right w:val="nil"/>
            </w:tcBorders>
            <w:vAlign w:val="center"/>
          </w:tcPr>
          <w:p w14:paraId="554B464F" w14:textId="503D0957" w:rsidR="008B2853" w:rsidRPr="008A0E33" w:rsidRDefault="008B2853" w:rsidP="0057484E">
            <w:pPr>
              <w:autoSpaceDE w:val="0"/>
              <w:autoSpaceDN w:val="0"/>
              <w:adjustRightInd w:val="0"/>
              <w:snapToGrid w:val="0"/>
              <w:rPr>
                <w:kern w:val="0"/>
                <w:sz w:val="18"/>
                <w:szCs w:val="18"/>
              </w:rPr>
            </w:pPr>
            <w:r w:rsidRPr="008A0E33">
              <w:rPr>
                <w:kern w:val="0"/>
                <w:sz w:val="18"/>
                <w:szCs w:val="18"/>
              </w:rPr>
              <w:t>(.907)</w:t>
            </w:r>
          </w:p>
        </w:tc>
        <w:tc>
          <w:tcPr>
            <w:tcW w:w="252" w:type="pct"/>
            <w:tcBorders>
              <w:top w:val="nil"/>
              <w:left w:val="nil"/>
              <w:right w:val="nil"/>
            </w:tcBorders>
            <w:vAlign w:val="center"/>
          </w:tcPr>
          <w:p w14:paraId="43D536F7" w14:textId="5B4BE9FA"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90</w:t>
            </w:r>
          </w:p>
        </w:tc>
        <w:tc>
          <w:tcPr>
            <w:tcW w:w="252" w:type="pct"/>
            <w:tcBorders>
              <w:top w:val="nil"/>
              <w:left w:val="nil"/>
              <w:right w:val="nil"/>
            </w:tcBorders>
            <w:vAlign w:val="center"/>
          </w:tcPr>
          <w:p w14:paraId="65AA7BA4" w14:textId="0A5C1283"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327</w:t>
            </w:r>
            <w:r w:rsidRPr="008A0E33">
              <w:rPr>
                <w:kern w:val="0"/>
                <w:sz w:val="18"/>
                <w:szCs w:val="18"/>
              </w:rPr>
              <w:t>)</w:t>
            </w:r>
          </w:p>
        </w:tc>
        <w:tc>
          <w:tcPr>
            <w:tcW w:w="252" w:type="pct"/>
            <w:tcBorders>
              <w:top w:val="nil"/>
              <w:left w:val="nil"/>
              <w:right w:val="nil"/>
            </w:tcBorders>
            <w:vAlign w:val="center"/>
          </w:tcPr>
          <w:p w14:paraId="58564195" w14:textId="28D0D61E"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95</w:t>
            </w:r>
          </w:p>
        </w:tc>
        <w:tc>
          <w:tcPr>
            <w:tcW w:w="253" w:type="pct"/>
            <w:tcBorders>
              <w:top w:val="nil"/>
              <w:left w:val="nil"/>
              <w:right w:val="nil"/>
            </w:tcBorders>
            <w:vAlign w:val="center"/>
          </w:tcPr>
          <w:p w14:paraId="001EC667" w14:textId="6EB2F504"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304</w:t>
            </w:r>
            <w:r w:rsidRPr="008A0E33">
              <w:rPr>
                <w:kern w:val="0"/>
                <w:sz w:val="18"/>
                <w:szCs w:val="18"/>
              </w:rPr>
              <w:t>)</w:t>
            </w:r>
          </w:p>
        </w:tc>
        <w:tc>
          <w:tcPr>
            <w:tcW w:w="252" w:type="pct"/>
            <w:tcBorders>
              <w:left w:val="nil"/>
              <w:right w:val="nil"/>
            </w:tcBorders>
            <w:vAlign w:val="center"/>
          </w:tcPr>
          <w:p w14:paraId="37AE05A8" w14:textId="21928BD2"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9</w:t>
            </w:r>
            <w:r w:rsidRPr="008A0E33">
              <w:rPr>
                <w:kern w:val="0"/>
                <w:sz w:val="18"/>
                <w:szCs w:val="18"/>
              </w:rPr>
              <w:t>3</w:t>
            </w:r>
          </w:p>
        </w:tc>
        <w:tc>
          <w:tcPr>
            <w:tcW w:w="252" w:type="pct"/>
            <w:tcBorders>
              <w:left w:val="nil"/>
              <w:right w:val="nil"/>
            </w:tcBorders>
            <w:vAlign w:val="center"/>
          </w:tcPr>
          <w:p w14:paraId="2A1BC644" w14:textId="60574F2C"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w:t>
            </w:r>
            <w:r w:rsidRPr="008A0E33">
              <w:rPr>
                <w:rFonts w:hint="eastAsia"/>
                <w:kern w:val="0"/>
                <w:sz w:val="18"/>
                <w:szCs w:val="18"/>
              </w:rPr>
              <w:t>30</w:t>
            </w:r>
            <w:r w:rsidRPr="008A0E33">
              <w:rPr>
                <w:kern w:val="0"/>
                <w:sz w:val="18"/>
                <w:szCs w:val="18"/>
              </w:rPr>
              <w:t>3)</w:t>
            </w:r>
          </w:p>
        </w:tc>
        <w:tc>
          <w:tcPr>
            <w:tcW w:w="252" w:type="pct"/>
            <w:tcBorders>
              <w:left w:val="nil"/>
              <w:right w:val="nil"/>
            </w:tcBorders>
            <w:vAlign w:val="center"/>
          </w:tcPr>
          <w:p w14:paraId="0691E477"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99</w:t>
            </w:r>
          </w:p>
        </w:tc>
        <w:tc>
          <w:tcPr>
            <w:tcW w:w="252" w:type="pct"/>
            <w:tcBorders>
              <w:left w:val="nil"/>
              <w:right w:val="nil"/>
            </w:tcBorders>
            <w:vAlign w:val="center"/>
          </w:tcPr>
          <w:p w14:paraId="25F660D4" w14:textId="77777777" w:rsidR="008B2853" w:rsidRPr="008A0E33" w:rsidRDefault="008B2853" w:rsidP="0057484E">
            <w:pPr>
              <w:autoSpaceDE w:val="0"/>
              <w:autoSpaceDN w:val="0"/>
              <w:adjustRightInd w:val="0"/>
              <w:snapToGrid w:val="0"/>
              <w:rPr>
                <w:kern w:val="0"/>
                <w:sz w:val="18"/>
                <w:szCs w:val="18"/>
              </w:rPr>
            </w:pPr>
            <w:r w:rsidRPr="008A0E33">
              <w:rPr>
                <w:kern w:val="0"/>
                <w:sz w:val="18"/>
                <w:szCs w:val="18"/>
              </w:rPr>
              <w:t>(.</w:t>
            </w:r>
            <w:r w:rsidRPr="008A0E33">
              <w:rPr>
                <w:rFonts w:hint="eastAsia"/>
                <w:kern w:val="0"/>
                <w:sz w:val="18"/>
                <w:szCs w:val="18"/>
              </w:rPr>
              <w:t>311</w:t>
            </w:r>
            <w:r w:rsidRPr="008A0E33">
              <w:rPr>
                <w:kern w:val="0"/>
                <w:sz w:val="18"/>
                <w:szCs w:val="18"/>
              </w:rPr>
              <w:t>)</w:t>
            </w:r>
          </w:p>
        </w:tc>
        <w:tc>
          <w:tcPr>
            <w:tcW w:w="253" w:type="pct"/>
            <w:tcBorders>
              <w:left w:val="nil"/>
              <w:right w:val="nil"/>
            </w:tcBorders>
            <w:vAlign w:val="center"/>
          </w:tcPr>
          <w:p w14:paraId="77ED764F"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w:t>
            </w:r>
            <w:r w:rsidRPr="008A0E33">
              <w:rPr>
                <w:rFonts w:hint="eastAsia"/>
                <w:kern w:val="0"/>
                <w:sz w:val="18"/>
                <w:szCs w:val="18"/>
              </w:rPr>
              <w:t>96</w:t>
            </w:r>
          </w:p>
        </w:tc>
        <w:tc>
          <w:tcPr>
            <w:tcW w:w="252" w:type="pct"/>
            <w:tcBorders>
              <w:left w:val="nil"/>
              <w:right w:val="nil"/>
            </w:tcBorders>
            <w:vAlign w:val="center"/>
          </w:tcPr>
          <w:p w14:paraId="6BE0B7F9" w14:textId="77777777" w:rsidR="008B2853" w:rsidRPr="008A0E33" w:rsidRDefault="008B2853" w:rsidP="0057484E">
            <w:pPr>
              <w:autoSpaceDE w:val="0"/>
              <w:autoSpaceDN w:val="0"/>
              <w:adjustRightInd w:val="0"/>
              <w:snapToGrid w:val="0"/>
              <w:rPr>
                <w:kern w:val="0"/>
                <w:sz w:val="18"/>
                <w:szCs w:val="18"/>
              </w:rPr>
            </w:pPr>
            <w:r w:rsidRPr="008A0E33">
              <w:rPr>
                <w:kern w:val="0"/>
                <w:sz w:val="18"/>
                <w:szCs w:val="18"/>
              </w:rPr>
              <w:t>(.282)</w:t>
            </w:r>
          </w:p>
        </w:tc>
        <w:tc>
          <w:tcPr>
            <w:tcW w:w="252" w:type="pct"/>
            <w:tcBorders>
              <w:top w:val="nil"/>
              <w:left w:val="nil"/>
              <w:bottom w:val="nil"/>
              <w:right w:val="nil"/>
            </w:tcBorders>
            <w:vAlign w:val="center"/>
          </w:tcPr>
          <w:p w14:paraId="26FEAE4A"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-.088</w:t>
            </w:r>
          </w:p>
        </w:tc>
        <w:tc>
          <w:tcPr>
            <w:tcW w:w="252" w:type="pct"/>
            <w:tcBorders>
              <w:top w:val="nil"/>
              <w:left w:val="nil"/>
              <w:bottom w:val="nil"/>
              <w:right w:val="nil"/>
            </w:tcBorders>
            <w:vAlign w:val="center"/>
          </w:tcPr>
          <w:p w14:paraId="137116D7"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(.379)</w:t>
            </w:r>
          </w:p>
        </w:tc>
        <w:tc>
          <w:tcPr>
            <w:tcW w:w="252" w:type="pct"/>
            <w:tcBorders>
              <w:left w:val="nil"/>
              <w:right w:val="nil"/>
            </w:tcBorders>
            <w:vAlign w:val="center"/>
          </w:tcPr>
          <w:p w14:paraId="7485F44B"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-.090</w:t>
            </w:r>
          </w:p>
        </w:tc>
        <w:tc>
          <w:tcPr>
            <w:tcW w:w="253" w:type="pct"/>
            <w:tcBorders>
              <w:left w:val="nil"/>
              <w:right w:val="nil"/>
            </w:tcBorders>
            <w:vAlign w:val="center"/>
          </w:tcPr>
          <w:p w14:paraId="51F9D84E"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(.322)</w:t>
            </w:r>
          </w:p>
        </w:tc>
      </w:tr>
      <w:tr w:rsidR="008A0E33" w:rsidRPr="008A0E33" w14:paraId="1FF87C3F" w14:textId="77777777" w:rsidTr="00B40DF7">
        <w:trPr>
          <w:trHeight w:val="342"/>
        </w:trPr>
        <w:tc>
          <w:tcPr>
            <w:tcW w:w="965" w:type="pct"/>
            <w:vAlign w:val="center"/>
          </w:tcPr>
          <w:p w14:paraId="14B9E061" w14:textId="6DED456E" w:rsidR="008B2853" w:rsidRPr="008A0E33" w:rsidRDefault="008B2853" w:rsidP="0057484E">
            <w:pPr>
              <w:autoSpaceDE w:val="0"/>
              <w:autoSpaceDN w:val="0"/>
              <w:adjustRightInd w:val="0"/>
              <w:rPr>
                <w:kern w:val="0"/>
                <w:sz w:val="20"/>
                <w:szCs w:val="20"/>
              </w:rPr>
            </w:pPr>
            <w:r w:rsidRPr="008A0E33">
              <w:rPr>
                <w:rFonts w:cs="Times New Roman"/>
                <w:kern w:val="0"/>
                <w:sz w:val="18"/>
                <w:szCs w:val="18"/>
              </w:rPr>
              <w:t>Engineer</w:t>
            </w:r>
            <w:r w:rsidR="009B6FA9">
              <w:rPr>
                <w:rFonts w:cs="Times New Roman"/>
                <w:kern w:val="0"/>
                <w:sz w:val="18"/>
                <w:szCs w:val="18"/>
              </w:rPr>
              <w:t>ing</w:t>
            </w:r>
            <w:r w:rsidRPr="008A0E33">
              <w:rPr>
                <w:rFonts w:cs="Times New Roman"/>
                <w:kern w:val="0"/>
                <w:sz w:val="18"/>
                <w:szCs w:val="18"/>
              </w:rPr>
              <w:t xml:space="preserve"> college</w:t>
            </w:r>
          </w:p>
        </w:tc>
        <w:tc>
          <w:tcPr>
            <w:tcW w:w="252" w:type="pct"/>
            <w:tcBorders>
              <w:left w:val="nil"/>
              <w:right w:val="nil"/>
            </w:tcBorders>
            <w:vAlign w:val="center"/>
          </w:tcPr>
          <w:p w14:paraId="39E1AC00" w14:textId="509C346F"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.239*</w:t>
            </w:r>
          </w:p>
        </w:tc>
        <w:tc>
          <w:tcPr>
            <w:tcW w:w="252" w:type="pct"/>
            <w:tcBorders>
              <w:left w:val="nil"/>
              <w:right w:val="nil"/>
            </w:tcBorders>
            <w:vAlign w:val="center"/>
          </w:tcPr>
          <w:p w14:paraId="21904FC6" w14:textId="13945A66" w:rsidR="008B2853" w:rsidRPr="008A0E33" w:rsidRDefault="008B2853" w:rsidP="0057484E">
            <w:pPr>
              <w:autoSpaceDE w:val="0"/>
              <w:autoSpaceDN w:val="0"/>
              <w:adjustRightInd w:val="0"/>
              <w:snapToGrid w:val="0"/>
              <w:rPr>
                <w:kern w:val="0"/>
                <w:sz w:val="18"/>
                <w:szCs w:val="18"/>
              </w:rPr>
            </w:pPr>
            <w:r w:rsidRPr="008A0E33">
              <w:rPr>
                <w:kern w:val="0"/>
                <w:sz w:val="18"/>
                <w:szCs w:val="18"/>
              </w:rPr>
              <w:t>(.038)</w:t>
            </w:r>
          </w:p>
        </w:tc>
        <w:tc>
          <w:tcPr>
            <w:tcW w:w="252" w:type="pct"/>
            <w:tcBorders>
              <w:top w:val="nil"/>
              <w:left w:val="nil"/>
              <w:right w:val="nil"/>
            </w:tcBorders>
            <w:vAlign w:val="center"/>
          </w:tcPr>
          <w:p w14:paraId="38511541" w14:textId="093ED448" w:rsidR="008B2853" w:rsidRPr="008A0E33" w:rsidRDefault="008B2853" w:rsidP="0057484E">
            <w:pPr>
              <w:autoSpaceDE w:val="0"/>
              <w:autoSpaceDN w:val="0"/>
              <w:adjustRightInd w:val="0"/>
              <w:snapToGrid w:val="0"/>
              <w:jc w:val="right"/>
              <w:rPr>
                <w:sz w:val="18"/>
                <w:szCs w:val="18"/>
              </w:rPr>
            </w:pPr>
            <w:r w:rsidRPr="008A0E33">
              <w:rPr>
                <w:kern w:val="0"/>
                <w:sz w:val="18"/>
                <w:szCs w:val="18"/>
              </w:rPr>
              <w:t>.</w:t>
            </w:r>
            <w:r w:rsidRPr="008A0E33">
              <w:rPr>
                <w:rFonts w:hint="eastAsia"/>
                <w:kern w:val="0"/>
                <w:sz w:val="18"/>
                <w:szCs w:val="18"/>
              </w:rPr>
              <w:t>792***</w:t>
            </w:r>
          </w:p>
        </w:tc>
        <w:tc>
          <w:tcPr>
            <w:tcW w:w="252" w:type="pct"/>
            <w:tcBorders>
              <w:top w:val="nil"/>
              <w:left w:val="nil"/>
              <w:right w:val="nil"/>
            </w:tcBorders>
            <w:vAlign w:val="center"/>
          </w:tcPr>
          <w:p w14:paraId="19A92C8B" w14:textId="4A627378"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2" w:type="pct"/>
            <w:tcBorders>
              <w:top w:val="nil"/>
              <w:left w:val="nil"/>
              <w:right w:val="nil"/>
            </w:tcBorders>
            <w:vAlign w:val="center"/>
          </w:tcPr>
          <w:p w14:paraId="0A1E8061" w14:textId="0F6057C3"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7</w:t>
            </w:r>
            <w:r w:rsidRPr="008A0E33">
              <w:rPr>
                <w:kern w:val="0"/>
                <w:sz w:val="18"/>
                <w:szCs w:val="18"/>
              </w:rPr>
              <w:t>27</w:t>
            </w:r>
            <w:r w:rsidRPr="008A0E33">
              <w:rPr>
                <w:rFonts w:hint="eastAsia"/>
                <w:kern w:val="0"/>
                <w:sz w:val="18"/>
                <w:szCs w:val="18"/>
              </w:rPr>
              <w:t>***</w:t>
            </w:r>
          </w:p>
        </w:tc>
        <w:tc>
          <w:tcPr>
            <w:tcW w:w="253" w:type="pct"/>
            <w:tcBorders>
              <w:top w:val="nil"/>
              <w:left w:val="nil"/>
              <w:right w:val="nil"/>
            </w:tcBorders>
            <w:vAlign w:val="center"/>
          </w:tcPr>
          <w:p w14:paraId="4F2FBF56" w14:textId="4877CD78"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2" w:type="pct"/>
            <w:tcBorders>
              <w:left w:val="nil"/>
              <w:right w:val="nil"/>
            </w:tcBorders>
            <w:vAlign w:val="center"/>
          </w:tcPr>
          <w:p w14:paraId="75CC259F" w14:textId="02206AE4"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7</w:t>
            </w:r>
            <w:r w:rsidRPr="008A0E33">
              <w:rPr>
                <w:kern w:val="0"/>
                <w:sz w:val="18"/>
                <w:szCs w:val="18"/>
              </w:rPr>
              <w:t>27</w:t>
            </w:r>
            <w:r w:rsidRPr="008A0E33">
              <w:rPr>
                <w:rFonts w:hint="eastAsia"/>
                <w:kern w:val="0"/>
                <w:sz w:val="18"/>
                <w:szCs w:val="18"/>
              </w:rPr>
              <w:t>***</w:t>
            </w:r>
          </w:p>
        </w:tc>
        <w:tc>
          <w:tcPr>
            <w:tcW w:w="252" w:type="pct"/>
            <w:tcBorders>
              <w:left w:val="nil"/>
              <w:right w:val="nil"/>
            </w:tcBorders>
            <w:vAlign w:val="center"/>
          </w:tcPr>
          <w:p w14:paraId="33CC4DBB" w14:textId="62B2FB42"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2" w:type="pct"/>
            <w:tcBorders>
              <w:left w:val="nil"/>
              <w:right w:val="nil"/>
            </w:tcBorders>
            <w:vAlign w:val="center"/>
          </w:tcPr>
          <w:p w14:paraId="3FCEDA46"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771***</w:t>
            </w:r>
          </w:p>
        </w:tc>
        <w:tc>
          <w:tcPr>
            <w:tcW w:w="252" w:type="pct"/>
            <w:tcBorders>
              <w:left w:val="nil"/>
              <w:right w:val="nil"/>
            </w:tcBorders>
            <w:vAlign w:val="center"/>
          </w:tcPr>
          <w:p w14:paraId="7D987303"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3" w:type="pct"/>
            <w:tcBorders>
              <w:left w:val="nil"/>
              <w:right w:val="nil"/>
            </w:tcBorders>
            <w:vAlign w:val="center"/>
          </w:tcPr>
          <w:p w14:paraId="5C813426"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648***</w:t>
            </w:r>
          </w:p>
        </w:tc>
        <w:tc>
          <w:tcPr>
            <w:tcW w:w="252" w:type="pct"/>
            <w:tcBorders>
              <w:left w:val="nil"/>
              <w:right w:val="nil"/>
            </w:tcBorders>
            <w:vAlign w:val="center"/>
          </w:tcPr>
          <w:p w14:paraId="63BA6B99"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2" w:type="pct"/>
            <w:tcBorders>
              <w:top w:val="nil"/>
              <w:left w:val="nil"/>
              <w:bottom w:val="nil"/>
              <w:right w:val="nil"/>
            </w:tcBorders>
            <w:vAlign w:val="center"/>
          </w:tcPr>
          <w:p w14:paraId="01BEA59A"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.858</w:t>
            </w:r>
            <w:r w:rsidRPr="008A0E33">
              <w:rPr>
                <w:rFonts w:hint="eastAsia"/>
                <w:kern w:val="0"/>
                <w:sz w:val="18"/>
                <w:szCs w:val="18"/>
              </w:rPr>
              <w:t>***</w:t>
            </w:r>
          </w:p>
        </w:tc>
        <w:tc>
          <w:tcPr>
            <w:tcW w:w="252" w:type="pct"/>
            <w:tcBorders>
              <w:top w:val="nil"/>
              <w:left w:val="nil"/>
              <w:bottom w:val="nil"/>
              <w:right w:val="nil"/>
            </w:tcBorders>
            <w:vAlign w:val="center"/>
          </w:tcPr>
          <w:p w14:paraId="09E3B055"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c>
          <w:tcPr>
            <w:tcW w:w="252" w:type="pct"/>
            <w:tcBorders>
              <w:left w:val="nil"/>
              <w:right w:val="nil"/>
            </w:tcBorders>
            <w:vAlign w:val="center"/>
          </w:tcPr>
          <w:p w14:paraId="7EF066DF"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.704</w:t>
            </w:r>
            <w:r w:rsidRPr="008A0E33">
              <w:rPr>
                <w:rFonts w:hint="eastAsia"/>
                <w:kern w:val="0"/>
                <w:sz w:val="18"/>
                <w:szCs w:val="18"/>
              </w:rPr>
              <w:t>***</w:t>
            </w:r>
          </w:p>
        </w:tc>
        <w:tc>
          <w:tcPr>
            <w:tcW w:w="253" w:type="pct"/>
            <w:tcBorders>
              <w:left w:val="nil"/>
              <w:right w:val="nil"/>
            </w:tcBorders>
            <w:vAlign w:val="center"/>
          </w:tcPr>
          <w:p w14:paraId="67A78078"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000</w:t>
            </w:r>
            <w:r w:rsidRPr="008A0E33">
              <w:rPr>
                <w:kern w:val="0"/>
                <w:sz w:val="18"/>
                <w:szCs w:val="18"/>
              </w:rPr>
              <w:t>)</w:t>
            </w:r>
          </w:p>
        </w:tc>
      </w:tr>
      <w:tr w:rsidR="008A0E33" w:rsidRPr="008A0E33" w14:paraId="5F898559" w14:textId="77777777" w:rsidTr="00B40DF7">
        <w:trPr>
          <w:trHeight w:val="342"/>
        </w:trPr>
        <w:tc>
          <w:tcPr>
            <w:tcW w:w="965" w:type="pct"/>
            <w:vAlign w:val="center"/>
          </w:tcPr>
          <w:p w14:paraId="1AC35202" w14:textId="77777777" w:rsidR="008B2853" w:rsidRPr="008A0E33" w:rsidRDefault="008B2853" w:rsidP="0057484E">
            <w:pPr>
              <w:autoSpaceDE w:val="0"/>
              <w:autoSpaceDN w:val="0"/>
              <w:adjustRightInd w:val="0"/>
              <w:rPr>
                <w:kern w:val="0"/>
                <w:sz w:val="20"/>
                <w:szCs w:val="20"/>
              </w:rPr>
            </w:pPr>
            <w:r w:rsidRPr="008A0E33">
              <w:rPr>
                <w:rFonts w:cs="Times New Roman"/>
                <w:kern w:val="0"/>
                <w:sz w:val="18"/>
                <w:szCs w:val="18"/>
              </w:rPr>
              <w:t>Science college</w:t>
            </w:r>
          </w:p>
        </w:tc>
        <w:tc>
          <w:tcPr>
            <w:tcW w:w="252" w:type="pct"/>
            <w:tcBorders>
              <w:left w:val="nil"/>
              <w:right w:val="nil"/>
            </w:tcBorders>
            <w:vAlign w:val="center"/>
          </w:tcPr>
          <w:p w14:paraId="522DD764" w14:textId="3D5CA6E3"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-.126</w:t>
            </w:r>
          </w:p>
        </w:tc>
        <w:tc>
          <w:tcPr>
            <w:tcW w:w="252" w:type="pct"/>
            <w:tcBorders>
              <w:left w:val="nil"/>
              <w:right w:val="nil"/>
            </w:tcBorders>
            <w:vAlign w:val="center"/>
          </w:tcPr>
          <w:p w14:paraId="43ACE7CD" w14:textId="267B3645" w:rsidR="008B2853" w:rsidRPr="008A0E33" w:rsidRDefault="008B2853" w:rsidP="0057484E">
            <w:pPr>
              <w:autoSpaceDE w:val="0"/>
              <w:autoSpaceDN w:val="0"/>
              <w:adjustRightInd w:val="0"/>
              <w:snapToGrid w:val="0"/>
              <w:rPr>
                <w:kern w:val="0"/>
                <w:sz w:val="18"/>
                <w:szCs w:val="18"/>
              </w:rPr>
            </w:pPr>
            <w:r w:rsidRPr="008A0E33">
              <w:rPr>
                <w:kern w:val="0"/>
                <w:sz w:val="18"/>
                <w:szCs w:val="18"/>
              </w:rPr>
              <w:t>(.157)</w:t>
            </w:r>
          </w:p>
        </w:tc>
        <w:tc>
          <w:tcPr>
            <w:tcW w:w="252" w:type="pct"/>
            <w:tcBorders>
              <w:top w:val="nil"/>
              <w:left w:val="nil"/>
              <w:right w:val="nil"/>
            </w:tcBorders>
            <w:vAlign w:val="center"/>
          </w:tcPr>
          <w:p w14:paraId="5B458075" w14:textId="3DF4ADF7" w:rsidR="008B2853" w:rsidRPr="008A0E33" w:rsidRDefault="008B2853" w:rsidP="0057484E">
            <w:pPr>
              <w:autoSpaceDE w:val="0"/>
              <w:autoSpaceDN w:val="0"/>
              <w:adjustRightInd w:val="0"/>
              <w:snapToGrid w:val="0"/>
              <w:jc w:val="right"/>
              <w:rPr>
                <w:sz w:val="18"/>
                <w:szCs w:val="18"/>
              </w:rPr>
            </w:pPr>
            <w:r w:rsidRPr="008A0E33">
              <w:rPr>
                <w:kern w:val="0"/>
                <w:sz w:val="18"/>
                <w:szCs w:val="18"/>
              </w:rPr>
              <w:t>.</w:t>
            </w:r>
            <w:r w:rsidRPr="008A0E33">
              <w:rPr>
                <w:rFonts w:hint="eastAsia"/>
                <w:kern w:val="0"/>
                <w:sz w:val="18"/>
                <w:szCs w:val="18"/>
              </w:rPr>
              <w:t>363**</w:t>
            </w:r>
          </w:p>
        </w:tc>
        <w:tc>
          <w:tcPr>
            <w:tcW w:w="252" w:type="pct"/>
            <w:tcBorders>
              <w:top w:val="nil"/>
              <w:left w:val="nil"/>
              <w:right w:val="nil"/>
            </w:tcBorders>
            <w:vAlign w:val="center"/>
          </w:tcPr>
          <w:p w14:paraId="145DF24E" w14:textId="6EC2C1BB"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006</w:t>
            </w:r>
            <w:r w:rsidRPr="008A0E33">
              <w:rPr>
                <w:kern w:val="0"/>
                <w:sz w:val="18"/>
                <w:szCs w:val="18"/>
              </w:rPr>
              <w:t>)</w:t>
            </w:r>
          </w:p>
        </w:tc>
        <w:tc>
          <w:tcPr>
            <w:tcW w:w="252" w:type="pct"/>
            <w:tcBorders>
              <w:top w:val="nil"/>
              <w:left w:val="nil"/>
              <w:right w:val="nil"/>
            </w:tcBorders>
            <w:vAlign w:val="center"/>
          </w:tcPr>
          <w:p w14:paraId="73256017" w14:textId="37125A0C"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433**</w:t>
            </w:r>
          </w:p>
        </w:tc>
        <w:tc>
          <w:tcPr>
            <w:tcW w:w="253" w:type="pct"/>
            <w:tcBorders>
              <w:top w:val="nil"/>
              <w:left w:val="nil"/>
              <w:right w:val="nil"/>
            </w:tcBorders>
            <w:vAlign w:val="center"/>
          </w:tcPr>
          <w:p w14:paraId="7BE456AD" w14:textId="561555F3"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001</w:t>
            </w:r>
            <w:r w:rsidRPr="008A0E33">
              <w:rPr>
                <w:kern w:val="0"/>
                <w:sz w:val="18"/>
                <w:szCs w:val="18"/>
              </w:rPr>
              <w:t>)</w:t>
            </w:r>
          </w:p>
        </w:tc>
        <w:tc>
          <w:tcPr>
            <w:tcW w:w="252" w:type="pct"/>
            <w:tcBorders>
              <w:left w:val="nil"/>
              <w:right w:val="nil"/>
            </w:tcBorders>
            <w:vAlign w:val="center"/>
          </w:tcPr>
          <w:p w14:paraId="01DE22AA" w14:textId="4175EE9A"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w:t>
            </w:r>
            <w:r w:rsidRPr="008A0E33">
              <w:rPr>
                <w:kern w:val="0"/>
                <w:sz w:val="18"/>
                <w:szCs w:val="18"/>
              </w:rPr>
              <w:t>07</w:t>
            </w:r>
            <w:r w:rsidRPr="008A0E33">
              <w:rPr>
                <w:rFonts w:hint="eastAsia"/>
                <w:kern w:val="0"/>
                <w:sz w:val="18"/>
                <w:szCs w:val="18"/>
              </w:rPr>
              <w:t>**</w:t>
            </w:r>
          </w:p>
        </w:tc>
        <w:tc>
          <w:tcPr>
            <w:tcW w:w="252" w:type="pct"/>
            <w:tcBorders>
              <w:left w:val="nil"/>
              <w:right w:val="nil"/>
            </w:tcBorders>
            <w:vAlign w:val="center"/>
          </w:tcPr>
          <w:p w14:paraId="41E471F4" w14:textId="3D46B213"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001</w:t>
            </w:r>
            <w:r w:rsidRPr="008A0E33">
              <w:rPr>
                <w:kern w:val="0"/>
                <w:sz w:val="18"/>
                <w:szCs w:val="18"/>
              </w:rPr>
              <w:t>)</w:t>
            </w:r>
          </w:p>
        </w:tc>
        <w:tc>
          <w:tcPr>
            <w:tcW w:w="252" w:type="pct"/>
            <w:tcBorders>
              <w:left w:val="nil"/>
              <w:right w:val="nil"/>
            </w:tcBorders>
            <w:vAlign w:val="center"/>
          </w:tcPr>
          <w:p w14:paraId="73F47F32"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307*</w:t>
            </w:r>
          </w:p>
        </w:tc>
        <w:tc>
          <w:tcPr>
            <w:tcW w:w="252" w:type="pct"/>
            <w:tcBorders>
              <w:left w:val="nil"/>
              <w:right w:val="nil"/>
            </w:tcBorders>
            <w:vAlign w:val="center"/>
          </w:tcPr>
          <w:p w14:paraId="05C0A50B"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031</w:t>
            </w:r>
            <w:r w:rsidRPr="008A0E33">
              <w:rPr>
                <w:kern w:val="0"/>
                <w:sz w:val="18"/>
                <w:szCs w:val="18"/>
              </w:rPr>
              <w:t>)</w:t>
            </w:r>
          </w:p>
        </w:tc>
        <w:tc>
          <w:tcPr>
            <w:tcW w:w="253" w:type="pct"/>
            <w:tcBorders>
              <w:left w:val="nil"/>
              <w:right w:val="nil"/>
            </w:tcBorders>
            <w:vAlign w:val="center"/>
          </w:tcPr>
          <w:p w14:paraId="4A883E7C"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341</w:t>
            </w:r>
            <w:r w:rsidRPr="008A0E33">
              <w:rPr>
                <w:kern w:val="0"/>
                <w:sz w:val="18"/>
                <w:szCs w:val="18"/>
              </w:rPr>
              <w:t>*</w:t>
            </w:r>
            <w:r w:rsidRPr="008A0E33">
              <w:rPr>
                <w:rFonts w:hint="eastAsia"/>
                <w:kern w:val="0"/>
                <w:sz w:val="18"/>
                <w:szCs w:val="18"/>
              </w:rPr>
              <w:t>*</w:t>
            </w:r>
          </w:p>
        </w:tc>
        <w:tc>
          <w:tcPr>
            <w:tcW w:w="252" w:type="pct"/>
            <w:tcBorders>
              <w:left w:val="nil"/>
              <w:right w:val="nil"/>
            </w:tcBorders>
            <w:vAlign w:val="center"/>
          </w:tcPr>
          <w:p w14:paraId="67D1EA52"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w:t>
            </w:r>
            <w:r w:rsidRPr="008A0E33">
              <w:rPr>
                <w:kern w:val="0"/>
                <w:sz w:val="18"/>
                <w:szCs w:val="18"/>
              </w:rPr>
              <w:t>09)</w:t>
            </w:r>
          </w:p>
        </w:tc>
        <w:tc>
          <w:tcPr>
            <w:tcW w:w="252" w:type="pct"/>
            <w:tcBorders>
              <w:top w:val="nil"/>
              <w:left w:val="nil"/>
              <w:bottom w:val="nil"/>
              <w:right w:val="nil"/>
            </w:tcBorders>
            <w:vAlign w:val="center"/>
          </w:tcPr>
          <w:p w14:paraId="7B172C5E"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.371</w:t>
            </w:r>
            <w:r w:rsidRPr="008A0E33">
              <w:rPr>
                <w:rFonts w:hint="eastAsia"/>
                <w:kern w:val="0"/>
                <w:sz w:val="18"/>
                <w:szCs w:val="18"/>
              </w:rPr>
              <w:t>*</w:t>
            </w:r>
          </w:p>
        </w:tc>
        <w:tc>
          <w:tcPr>
            <w:tcW w:w="252" w:type="pct"/>
            <w:tcBorders>
              <w:top w:val="nil"/>
              <w:left w:val="nil"/>
              <w:bottom w:val="nil"/>
              <w:right w:val="nil"/>
            </w:tcBorders>
            <w:vAlign w:val="center"/>
          </w:tcPr>
          <w:p w14:paraId="430E1785"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w:t>
            </w:r>
            <w:r w:rsidRPr="008A0E33">
              <w:rPr>
                <w:kern w:val="0"/>
                <w:sz w:val="18"/>
                <w:szCs w:val="18"/>
              </w:rPr>
              <w:t>10)</w:t>
            </w:r>
          </w:p>
        </w:tc>
        <w:tc>
          <w:tcPr>
            <w:tcW w:w="252" w:type="pct"/>
            <w:tcBorders>
              <w:left w:val="nil"/>
              <w:right w:val="nil"/>
            </w:tcBorders>
            <w:vAlign w:val="center"/>
          </w:tcPr>
          <w:p w14:paraId="0EA92F72"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.390*</w:t>
            </w:r>
            <w:r w:rsidRPr="008A0E33">
              <w:rPr>
                <w:rFonts w:hint="eastAsia"/>
                <w:kern w:val="0"/>
                <w:sz w:val="18"/>
                <w:szCs w:val="18"/>
              </w:rPr>
              <w:t>*</w:t>
            </w:r>
          </w:p>
        </w:tc>
        <w:tc>
          <w:tcPr>
            <w:tcW w:w="253" w:type="pct"/>
            <w:tcBorders>
              <w:left w:val="nil"/>
              <w:right w:val="nil"/>
            </w:tcBorders>
            <w:vAlign w:val="center"/>
          </w:tcPr>
          <w:p w14:paraId="0B8DF1FF"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w:t>
            </w:r>
            <w:r w:rsidRPr="008A0E33">
              <w:rPr>
                <w:kern w:val="0"/>
                <w:sz w:val="18"/>
                <w:szCs w:val="18"/>
              </w:rPr>
              <w:t>03)</w:t>
            </w:r>
          </w:p>
        </w:tc>
      </w:tr>
      <w:tr w:rsidR="008A0E33" w:rsidRPr="008A0E33" w14:paraId="225729C3" w14:textId="77777777" w:rsidTr="00B40DF7">
        <w:trPr>
          <w:trHeight w:val="342"/>
        </w:trPr>
        <w:tc>
          <w:tcPr>
            <w:tcW w:w="965" w:type="pct"/>
            <w:vAlign w:val="center"/>
          </w:tcPr>
          <w:p w14:paraId="39CD8CA3" w14:textId="77777777" w:rsidR="008B2853" w:rsidRPr="008A0E33" w:rsidRDefault="008B2853" w:rsidP="0057484E">
            <w:pPr>
              <w:autoSpaceDE w:val="0"/>
              <w:autoSpaceDN w:val="0"/>
              <w:adjustRightInd w:val="0"/>
              <w:rPr>
                <w:kern w:val="0"/>
                <w:sz w:val="20"/>
                <w:szCs w:val="20"/>
              </w:rPr>
            </w:pPr>
            <w:r w:rsidRPr="008A0E33">
              <w:rPr>
                <w:rFonts w:cs="Times New Roman"/>
                <w:kern w:val="0"/>
                <w:sz w:val="18"/>
                <w:szCs w:val="18"/>
              </w:rPr>
              <w:t>Life Sci. and Med. college</w:t>
            </w:r>
          </w:p>
        </w:tc>
        <w:tc>
          <w:tcPr>
            <w:tcW w:w="252" w:type="pct"/>
            <w:tcBorders>
              <w:left w:val="nil"/>
              <w:right w:val="nil"/>
            </w:tcBorders>
            <w:vAlign w:val="center"/>
          </w:tcPr>
          <w:p w14:paraId="1D9912DF" w14:textId="5FDDCCCE"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-.047</w:t>
            </w:r>
          </w:p>
        </w:tc>
        <w:tc>
          <w:tcPr>
            <w:tcW w:w="252" w:type="pct"/>
            <w:tcBorders>
              <w:left w:val="nil"/>
              <w:right w:val="nil"/>
            </w:tcBorders>
            <w:vAlign w:val="center"/>
          </w:tcPr>
          <w:p w14:paraId="1475BDB2" w14:textId="5B06EF93" w:rsidR="008B2853" w:rsidRPr="008A0E33" w:rsidRDefault="008B2853" w:rsidP="0057484E">
            <w:pPr>
              <w:autoSpaceDE w:val="0"/>
              <w:autoSpaceDN w:val="0"/>
              <w:adjustRightInd w:val="0"/>
              <w:snapToGrid w:val="0"/>
              <w:rPr>
                <w:kern w:val="0"/>
                <w:sz w:val="18"/>
                <w:szCs w:val="18"/>
              </w:rPr>
            </w:pPr>
            <w:r w:rsidRPr="008A0E33">
              <w:rPr>
                <w:kern w:val="0"/>
                <w:sz w:val="18"/>
                <w:szCs w:val="18"/>
              </w:rPr>
              <w:t>(.651)</w:t>
            </w:r>
          </w:p>
        </w:tc>
        <w:tc>
          <w:tcPr>
            <w:tcW w:w="252" w:type="pct"/>
            <w:tcBorders>
              <w:top w:val="nil"/>
              <w:left w:val="nil"/>
              <w:right w:val="nil"/>
            </w:tcBorders>
            <w:vAlign w:val="center"/>
          </w:tcPr>
          <w:p w14:paraId="03FB107D" w14:textId="408F1D71" w:rsidR="008B2853" w:rsidRPr="008A0E33" w:rsidRDefault="008B2853" w:rsidP="0057484E">
            <w:pPr>
              <w:autoSpaceDE w:val="0"/>
              <w:autoSpaceDN w:val="0"/>
              <w:adjustRightInd w:val="0"/>
              <w:snapToGrid w:val="0"/>
              <w:jc w:val="right"/>
              <w:rPr>
                <w:sz w:val="18"/>
                <w:szCs w:val="18"/>
              </w:rPr>
            </w:pPr>
            <w:r w:rsidRPr="008A0E33">
              <w:rPr>
                <w:kern w:val="0"/>
                <w:sz w:val="18"/>
                <w:szCs w:val="18"/>
              </w:rPr>
              <w:t>.</w:t>
            </w:r>
            <w:r w:rsidRPr="008A0E33">
              <w:rPr>
                <w:rFonts w:hint="eastAsia"/>
                <w:kern w:val="0"/>
                <w:sz w:val="18"/>
                <w:szCs w:val="18"/>
              </w:rPr>
              <w:t>490**</w:t>
            </w:r>
          </w:p>
        </w:tc>
        <w:tc>
          <w:tcPr>
            <w:tcW w:w="252" w:type="pct"/>
            <w:tcBorders>
              <w:top w:val="nil"/>
              <w:left w:val="nil"/>
              <w:right w:val="nil"/>
            </w:tcBorders>
            <w:vAlign w:val="center"/>
          </w:tcPr>
          <w:p w14:paraId="51B42F13" w14:textId="4D69514A"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002</w:t>
            </w:r>
            <w:r w:rsidRPr="008A0E33">
              <w:rPr>
                <w:kern w:val="0"/>
                <w:sz w:val="18"/>
                <w:szCs w:val="18"/>
              </w:rPr>
              <w:t>)</w:t>
            </w:r>
          </w:p>
        </w:tc>
        <w:tc>
          <w:tcPr>
            <w:tcW w:w="252" w:type="pct"/>
            <w:tcBorders>
              <w:top w:val="nil"/>
              <w:left w:val="nil"/>
              <w:right w:val="nil"/>
            </w:tcBorders>
            <w:vAlign w:val="center"/>
          </w:tcPr>
          <w:p w14:paraId="087ED76E" w14:textId="0B8F3215"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531**</w:t>
            </w:r>
          </w:p>
        </w:tc>
        <w:tc>
          <w:tcPr>
            <w:tcW w:w="253" w:type="pct"/>
            <w:tcBorders>
              <w:top w:val="nil"/>
              <w:left w:val="nil"/>
              <w:right w:val="nil"/>
            </w:tcBorders>
            <w:vAlign w:val="center"/>
          </w:tcPr>
          <w:p w14:paraId="051B3D2E" w14:textId="0F810B33"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001</w:t>
            </w:r>
            <w:r w:rsidRPr="008A0E33">
              <w:rPr>
                <w:kern w:val="0"/>
                <w:sz w:val="18"/>
                <w:szCs w:val="18"/>
              </w:rPr>
              <w:t>)</w:t>
            </w:r>
          </w:p>
        </w:tc>
        <w:tc>
          <w:tcPr>
            <w:tcW w:w="252" w:type="pct"/>
            <w:tcBorders>
              <w:left w:val="nil"/>
              <w:right w:val="nil"/>
            </w:tcBorders>
            <w:vAlign w:val="center"/>
          </w:tcPr>
          <w:p w14:paraId="0106B341" w14:textId="516FC7DF"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409**</w:t>
            </w:r>
          </w:p>
        </w:tc>
        <w:tc>
          <w:tcPr>
            <w:tcW w:w="252" w:type="pct"/>
            <w:tcBorders>
              <w:left w:val="nil"/>
              <w:right w:val="nil"/>
            </w:tcBorders>
            <w:vAlign w:val="center"/>
          </w:tcPr>
          <w:p w14:paraId="79177829" w14:textId="61376B0E"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001</w:t>
            </w:r>
            <w:r w:rsidRPr="008A0E33">
              <w:rPr>
                <w:kern w:val="0"/>
                <w:sz w:val="18"/>
                <w:szCs w:val="18"/>
              </w:rPr>
              <w:t>)</w:t>
            </w:r>
          </w:p>
        </w:tc>
        <w:tc>
          <w:tcPr>
            <w:tcW w:w="252" w:type="pct"/>
            <w:tcBorders>
              <w:left w:val="nil"/>
              <w:right w:val="nil"/>
            </w:tcBorders>
            <w:vAlign w:val="center"/>
          </w:tcPr>
          <w:p w14:paraId="1469BBE7"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404*</w:t>
            </w:r>
          </w:p>
        </w:tc>
        <w:tc>
          <w:tcPr>
            <w:tcW w:w="252" w:type="pct"/>
            <w:tcBorders>
              <w:left w:val="nil"/>
              <w:right w:val="nil"/>
            </w:tcBorders>
            <w:vAlign w:val="center"/>
          </w:tcPr>
          <w:p w14:paraId="375A4770"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019</w:t>
            </w:r>
            <w:r w:rsidRPr="008A0E33">
              <w:rPr>
                <w:kern w:val="0"/>
                <w:sz w:val="18"/>
                <w:szCs w:val="18"/>
              </w:rPr>
              <w:t>)</w:t>
            </w:r>
          </w:p>
        </w:tc>
        <w:tc>
          <w:tcPr>
            <w:tcW w:w="253" w:type="pct"/>
            <w:tcBorders>
              <w:left w:val="nil"/>
              <w:right w:val="nil"/>
            </w:tcBorders>
            <w:vAlign w:val="center"/>
          </w:tcPr>
          <w:p w14:paraId="1D736836"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410</w:t>
            </w:r>
            <w:r w:rsidRPr="008A0E33">
              <w:rPr>
                <w:kern w:val="0"/>
                <w:sz w:val="18"/>
                <w:szCs w:val="18"/>
              </w:rPr>
              <w:t>*</w:t>
            </w:r>
            <w:r w:rsidRPr="008A0E33">
              <w:rPr>
                <w:rFonts w:hint="eastAsia"/>
                <w:kern w:val="0"/>
                <w:sz w:val="18"/>
                <w:szCs w:val="18"/>
              </w:rPr>
              <w:t>*</w:t>
            </w:r>
          </w:p>
        </w:tc>
        <w:tc>
          <w:tcPr>
            <w:tcW w:w="252" w:type="pct"/>
            <w:tcBorders>
              <w:left w:val="nil"/>
              <w:right w:val="nil"/>
            </w:tcBorders>
            <w:vAlign w:val="center"/>
          </w:tcPr>
          <w:p w14:paraId="6F718EE5" w14:textId="77777777" w:rsidR="008B2853" w:rsidRPr="008A0E33" w:rsidRDefault="008B2853" w:rsidP="0057484E">
            <w:pPr>
              <w:autoSpaceDE w:val="0"/>
              <w:autoSpaceDN w:val="0"/>
              <w:adjustRightInd w:val="0"/>
              <w:snapToGrid w:val="0"/>
              <w:rPr>
                <w:sz w:val="18"/>
                <w:szCs w:val="18"/>
              </w:rPr>
            </w:pPr>
            <w:r w:rsidRPr="008A0E33">
              <w:rPr>
                <w:kern w:val="0"/>
                <w:sz w:val="18"/>
                <w:szCs w:val="18"/>
              </w:rPr>
              <w:t>(.</w:t>
            </w:r>
            <w:r w:rsidRPr="008A0E33">
              <w:rPr>
                <w:rFonts w:hint="eastAsia"/>
                <w:kern w:val="0"/>
                <w:sz w:val="18"/>
                <w:szCs w:val="18"/>
              </w:rPr>
              <w:t>0</w:t>
            </w:r>
            <w:r w:rsidRPr="008A0E33">
              <w:rPr>
                <w:kern w:val="0"/>
                <w:sz w:val="18"/>
                <w:szCs w:val="18"/>
              </w:rPr>
              <w:t>09)</w:t>
            </w:r>
          </w:p>
        </w:tc>
        <w:tc>
          <w:tcPr>
            <w:tcW w:w="252" w:type="pct"/>
            <w:tcBorders>
              <w:top w:val="nil"/>
              <w:left w:val="nil"/>
              <w:bottom w:val="nil"/>
              <w:right w:val="nil"/>
            </w:tcBorders>
            <w:vAlign w:val="center"/>
          </w:tcPr>
          <w:p w14:paraId="7283D8A1"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w:t>
            </w:r>
            <w:r w:rsidRPr="008A0E33">
              <w:rPr>
                <w:kern w:val="0"/>
                <w:sz w:val="18"/>
                <w:szCs w:val="18"/>
              </w:rPr>
              <w:t>60</w:t>
            </w:r>
            <w:r w:rsidRPr="008A0E33">
              <w:rPr>
                <w:rFonts w:hint="eastAsia"/>
                <w:kern w:val="0"/>
                <w:sz w:val="18"/>
                <w:szCs w:val="18"/>
              </w:rPr>
              <w:t>*</w:t>
            </w:r>
          </w:p>
        </w:tc>
        <w:tc>
          <w:tcPr>
            <w:tcW w:w="252" w:type="pct"/>
            <w:tcBorders>
              <w:top w:val="nil"/>
              <w:left w:val="nil"/>
              <w:bottom w:val="nil"/>
              <w:right w:val="nil"/>
            </w:tcBorders>
            <w:vAlign w:val="center"/>
          </w:tcPr>
          <w:p w14:paraId="471A98FD"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01</w:t>
            </w:r>
            <w:r w:rsidRPr="008A0E33">
              <w:rPr>
                <w:kern w:val="0"/>
                <w:sz w:val="18"/>
                <w:szCs w:val="18"/>
              </w:rPr>
              <w:t>0)</w:t>
            </w:r>
          </w:p>
        </w:tc>
        <w:tc>
          <w:tcPr>
            <w:tcW w:w="252" w:type="pct"/>
            <w:tcBorders>
              <w:left w:val="nil"/>
              <w:right w:val="nil"/>
            </w:tcBorders>
            <w:vAlign w:val="center"/>
          </w:tcPr>
          <w:p w14:paraId="626C0F87"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w:t>
            </w:r>
            <w:r w:rsidRPr="008A0E33">
              <w:rPr>
                <w:kern w:val="0"/>
                <w:sz w:val="18"/>
                <w:szCs w:val="18"/>
              </w:rPr>
              <w:t>61*</w:t>
            </w:r>
            <w:r w:rsidRPr="008A0E33">
              <w:rPr>
                <w:rFonts w:hint="eastAsia"/>
                <w:kern w:val="0"/>
                <w:sz w:val="18"/>
                <w:szCs w:val="18"/>
              </w:rPr>
              <w:t>*</w:t>
            </w:r>
          </w:p>
        </w:tc>
        <w:tc>
          <w:tcPr>
            <w:tcW w:w="253" w:type="pct"/>
            <w:tcBorders>
              <w:left w:val="nil"/>
              <w:right w:val="nil"/>
            </w:tcBorders>
            <w:vAlign w:val="center"/>
          </w:tcPr>
          <w:p w14:paraId="669CA447" w14:textId="77777777" w:rsidR="008B2853" w:rsidRPr="008A0E33" w:rsidRDefault="008B2853" w:rsidP="0057484E">
            <w:pPr>
              <w:autoSpaceDE w:val="0"/>
              <w:autoSpaceDN w:val="0"/>
              <w:adjustRightInd w:val="0"/>
              <w:snapToGrid w:val="0"/>
              <w:jc w:val="both"/>
              <w:rPr>
                <w:sz w:val="18"/>
                <w:szCs w:val="18"/>
              </w:rPr>
            </w:pPr>
            <w:r w:rsidRPr="008A0E33">
              <w:rPr>
                <w:kern w:val="0"/>
                <w:sz w:val="18"/>
                <w:szCs w:val="18"/>
              </w:rPr>
              <w:t>(.</w:t>
            </w:r>
            <w:r w:rsidRPr="008A0E33">
              <w:rPr>
                <w:rFonts w:hint="eastAsia"/>
                <w:kern w:val="0"/>
                <w:sz w:val="18"/>
                <w:szCs w:val="18"/>
              </w:rPr>
              <w:t>0</w:t>
            </w:r>
            <w:r w:rsidRPr="008A0E33">
              <w:rPr>
                <w:kern w:val="0"/>
                <w:sz w:val="18"/>
                <w:szCs w:val="18"/>
              </w:rPr>
              <w:t>04)</w:t>
            </w:r>
          </w:p>
        </w:tc>
      </w:tr>
      <w:tr w:rsidR="008A0E33" w:rsidRPr="008A0E33" w14:paraId="4F9298E3" w14:textId="77777777" w:rsidTr="00B40DF7">
        <w:trPr>
          <w:trHeight w:val="342"/>
        </w:trPr>
        <w:tc>
          <w:tcPr>
            <w:tcW w:w="965" w:type="pct"/>
            <w:vAlign w:val="center"/>
          </w:tcPr>
          <w:p w14:paraId="04E9DBE2" w14:textId="46CC00A6" w:rsidR="001B01E9" w:rsidRPr="008A0E33" w:rsidRDefault="003F07A1" w:rsidP="0057484E">
            <w:pPr>
              <w:autoSpaceDE w:val="0"/>
              <w:autoSpaceDN w:val="0"/>
              <w:adjustRightInd w:val="0"/>
              <w:rPr>
                <w:kern w:val="0"/>
                <w:sz w:val="20"/>
                <w:szCs w:val="20"/>
              </w:rPr>
            </w:pPr>
            <w:r w:rsidRPr="008A0E33">
              <w:rPr>
                <w:rFonts w:eastAsia="標楷體" w:cs="Times New Roman"/>
                <w:sz w:val="18"/>
                <w:szCs w:val="18"/>
              </w:rPr>
              <w:t>Organizational munificence</w:t>
            </w:r>
          </w:p>
        </w:tc>
        <w:tc>
          <w:tcPr>
            <w:tcW w:w="252" w:type="pct"/>
            <w:tcBorders>
              <w:top w:val="nil"/>
              <w:left w:val="nil"/>
              <w:bottom w:val="nil"/>
              <w:right w:val="nil"/>
            </w:tcBorders>
            <w:vAlign w:val="center"/>
          </w:tcPr>
          <w:p w14:paraId="1AA52FDE"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4E2A050E" w14:textId="77777777" w:rsidR="001B01E9" w:rsidRPr="008A0E33" w:rsidRDefault="001B01E9" w:rsidP="0057484E">
            <w:pPr>
              <w:autoSpaceDE w:val="0"/>
              <w:autoSpaceDN w:val="0"/>
              <w:adjustRightInd w:val="0"/>
              <w:snapToGrid w:val="0"/>
              <w:rPr>
                <w:kern w:val="0"/>
                <w:sz w:val="18"/>
                <w:szCs w:val="18"/>
              </w:rPr>
            </w:pPr>
          </w:p>
        </w:tc>
        <w:tc>
          <w:tcPr>
            <w:tcW w:w="252" w:type="pct"/>
            <w:tcBorders>
              <w:top w:val="nil"/>
              <w:left w:val="nil"/>
              <w:right w:val="nil"/>
            </w:tcBorders>
            <w:vAlign w:val="center"/>
          </w:tcPr>
          <w:p w14:paraId="3D10C6C6" w14:textId="77777777" w:rsidR="001B01E9" w:rsidRPr="008A0E33" w:rsidRDefault="001B01E9" w:rsidP="0057484E">
            <w:pPr>
              <w:autoSpaceDE w:val="0"/>
              <w:autoSpaceDN w:val="0"/>
              <w:adjustRightInd w:val="0"/>
              <w:snapToGrid w:val="0"/>
              <w:jc w:val="right"/>
              <w:rPr>
                <w:sz w:val="18"/>
                <w:szCs w:val="18"/>
              </w:rPr>
            </w:pPr>
          </w:p>
        </w:tc>
        <w:tc>
          <w:tcPr>
            <w:tcW w:w="252" w:type="pct"/>
            <w:tcBorders>
              <w:top w:val="nil"/>
              <w:left w:val="nil"/>
              <w:right w:val="nil"/>
            </w:tcBorders>
            <w:vAlign w:val="center"/>
          </w:tcPr>
          <w:p w14:paraId="47A667DB" w14:textId="77777777" w:rsidR="001B01E9" w:rsidRPr="008A0E33" w:rsidRDefault="001B01E9" w:rsidP="0057484E">
            <w:pPr>
              <w:autoSpaceDE w:val="0"/>
              <w:autoSpaceDN w:val="0"/>
              <w:adjustRightInd w:val="0"/>
              <w:snapToGrid w:val="0"/>
              <w:rPr>
                <w:sz w:val="18"/>
                <w:szCs w:val="18"/>
              </w:rPr>
            </w:pPr>
          </w:p>
        </w:tc>
        <w:tc>
          <w:tcPr>
            <w:tcW w:w="252" w:type="pct"/>
            <w:tcBorders>
              <w:top w:val="nil"/>
              <w:left w:val="nil"/>
              <w:right w:val="nil"/>
            </w:tcBorders>
            <w:vAlign w:val="center"/>
          </w:tcPr>
          <w:p w14:paraId="55EB12CD" w14:textId="77777777" w:rsidR="001B01E9" w:rsidRPr="008A0E33" w:rsidRDefault="001B01E9" w:rsidP="0057484E">
            <w:pPr>
              <w:autoSpaceDE w:val="0"/>
              <w:autoSpaceDN w:val="0"/>
              <w:adjustRightInd w:val="0"/>
              <w:snapToGrid w:val="0"/>
              <w:jc w:val="right"/>
              <w:rPr>
                <w:kern w:val="0"/>
                <w:sz w:val="18"/>
                <w:szCs w:val="18"/>
              </w:rPr>
            </w:pPr>
          </w:p>
        </w:tc>
        <w:tc>
          <w:tcPr>
            <w:tcW w:w="253" w:type="pct"/>
            <w:tcBorders>
              <w:top w:val="nil"/>
              <w:left w:val="nil"/>
              <w:right w:val="nil"/>
            </w:tcBorders>
            <w:vAlign w:val="center"/>
          </w:tcPr>
          <w:p w14:paraId="363D1EEF" w14:textId="77777777" w:rsidR="001B01E9" w:rsidRPr="008A0E33" w:rsidRDefault="001B01E9" w:rsidP="0057484E">
            <w:pPr>
              <w:autoSpaceDE w:val="0"/>
              <w:autoSpaceDN w:val="0"/>
              <w:adjustRightInd w:val="0"/>
              <w:snapToGrid w:val="0"/>
              <w:rPr>
                <w:sz w:val="18"/>
                <w:szCs w:val="18"/>
              </w:rPr>
            </w:pPr>
          </w:p>
        </w:tc>
        <w:tc>
          <w:tcPr>
            <w:tcW w:w="252" w:type="pct"/>
            <w:tcBorders>
              <w:left w:val="nil"/>
              <w:right w:val="nil"/>
            </w:tcBorders>
            <w:vAlign w:val="center"/>
          </w:tcPr>
          <w:p w14:paraId="61D89635"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D0751DC" w14:textId="77777777" w:rsidR="001B01E9" w:rsidRPr="008A0E33" w:rsidRDefault="001B01E9" w:rsidP="0057484E">
            <w:pPr>
              <w:autoSpaceDE w:val="0"/>
              <w:autoSpaceDN w:val="0"/>
              <w:adjustRightInd w:val="0"/>
              <w:snapToGrid w:val="0"/>
              <w:jc w:val="both"/>
              <w:rPr>
                <w:sz w:val="18"/>
                <w:szCs w:val="18"/>
              </w:rPr>
            </w:pPr>
          </w:p>
        </w:tc>
        <w:tc>
          <w:tcPr>
            <w:tcW w:w="252" w:type="pct"/>
            <w:tcBorders>
              <w:left w:val="nil"/>
              <w:right w:val="nil"/>
            </w:tcBorders>
            <w:vAlign w:val="center"/>
          </w:tcPr>
          <w:p w14:paraId="2CDC4043" w14:textId="77777777" w:rsidR="001B01E9" w:rsidRPr="008A0E33" w:rsidRDefault="001B01E9"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266*</w:t>
            </w:r>
            <w:r w:rsidRPr="008A0E33">
              <w:rPr>
                <w:kern w:val="0"/>
                <w:sz w:val="18"/>
                <w:szCs w:val="18"/>
              </w:rPr>
              <w:t>*</w:t>
            </w:r>
          </w:p>
        </w:tc>
        <w:tc>
          <w:tcPr>
            <w:tcW w:w="252" w:type="pct"/>
            <w:tcBorders>
              <w:left w:val="nil"/>
              <w:right w:val="nil"/>
            </w:tcBorders>
            <w:vAlign w:val="center"/>
          </w:tcPr>
          <w:p w14:paraId="189A0DEE" w14:textId="77777777" w:rsidR="001B01E9" w:rsidRPr="008A0E33" w:rsidRDefault="001B01E9" w:rsidP="0057484E">
            <w:pPr>
              <w:autoSpaceDE w:val="0"/>
              <w:autoSpaceDN w:val="0"/>
              <w:adjustRightInd w:val="0"/>
              <w:snapToGrid w:val="0"/>
              <w:rPr>
                <w:sz w:val="18"/>
                <w:szCs w:val="18"/>
              </w:rPr>
            </w:pPr>
            <w:r w:rsidRPr="008A0E33">
              <w:rPr>
                <w:kern w:val="0"/>
                <w:sz w:val="18"/>
                <w:szCs w:val="18"/>
              </w:rPr>
              <w:t>(.0</w:t>
            </w:r>
            <w:r w:rsidRPr="008A0E33">
              <w:rPr>
                <w:rFonts w:hint="eastAsia"/>
                <w:kern w:val="0"/>
                <w:sz w:val="18"/>
                <w:szCs w:val="18"/>
              </w:rPr>
              <w:t>04</w:t>
            </w:r>
            <w:r w:rsidRPr="008A0E33">
              <w:rPr>
                <w:kern w:val="0"/>
                <w:sz w:val="18"/>
                <w:szCs w:val="18"/>
              </w:rPr>
              <w:t>)</w:t>
            </w:r>
          </w:p>
        </w:tc>
        <w:tc>
          <w:tcPr>
            <w:tcW w:w="253" w:type="pct"/>
            <w:tcBorders>
              <w:left w:val="nil"/>
              <w:right w:val="nil"/>
            </w:tcBorders>
            <w:vAlign w:val="center"/>
          </w:tcPr>
          <w:p w14:paraId="691510CA" w14:textId="77777777" w:rsidR="001B01E9" w:rsidRPr="008A0E33" w:rsidRDefault="001B01E9" w:rsidP="0057484E">
            <w:pPr>
              <w:autoSpaceDE w:val="0"/>
              <w:autoSpaceDN w:val="0"/>
              <w:adjustRightInd w:val="0"/>
              <w:snapToGrid w:val="0"/>
              <w:jc w:val="right"/>
              <w:rPr>
                <w:kern w:val="0"/>
                <w:sz w:val="18"/>
                <w:szCs w:val="18"/>
              </w:rPr>
            </w:pPr>
            <w:r w:rsidRPr="008A0E33">
              <w:rPr>
                <w:rFonts w:hint="eastAsia"/>
                <w:kern w:val="0"/>
                <w:sz w:val="18"/>
                <w:szCs w:val="18"/>
              </w:rPr>
              <w:t>.177</w:t>
            </w:r>
            <w:r w:rsidRPr="008A0E33">
              <w:rPr>
                <w:kern w:val="0"/>
                <w:sz w:val="18"/>
                <w:szCs w:val="18"/>
              </w:rPr>
              <w:t>*</w:t>
            </w:r>
          </w:p>
        </w:tc>
        <w:tc>
          <w:tcPr>
            <w:tcW w:w="252" w:type="pct"/>
            <w:tcBorders>
              <w:left w:val="nil"/>
              <w:right w:val="nil"/>
            </w:tcBorders>
            <w:vAlign w:val="center"/>
          </w:tcPr>
          <w:p w14:paraId="68321176" w14:textId="77777777" w:rsidR="001B01E9" w:rsidRPr="008A0E33" w:rsidRDefault="001B01E9" w:rsidP="0057484E">
            <w:pPr>
              <w:autoSpaceDE w:val="0"/>
              <w:autoSpaceDN w:val="0"/>
              <w:adjustRightInd w:val="0"/>
              <w:snapToGrid w:val="0"/>
              <w:rPr>
                <w:sz w:val="18"/>
                <w:szCs w:val="18"/>
              </w:rPr>
            </w:pPr>
            <w:r w:rsidRPr="008A0E33">
              <w:rPr>
                <w:rFonts w:hint="eastAsia"/>
                <w:sz w:val="18"/>
                <w:szCs w:val="18"/>
              </w:rPr>
              <w:t>(.041)</w:t>
            </w:r>
          </w:p>
        </w:tc>
        <w:tc>
          <w:tcPr>
            <w:tcW w:w="252" w:type="pct"/>
            <w:tcBorders>
              <w:top w:val="nil"/>
              <w:left w:val="nil"/>
              <w:bottom w:val="nil"/>
              <w:right w:val="nil"/>
            </w:tcBorders>
            <w:vAlign w:val="center"/>
          </w:tcPr>
          <w:p w14:paraId="63D4D446"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76E07DA8" w14:textId="77777777" w:rsidR="001B01E9" w:rsidRPr="008A0E33" w:rsidRDefault="001B01E9" w:rsidP="0057484E">
            <w:pPr>
              <w:autoSpaceDE w:val="0"/>
              <w:autoSpaceDN w:val="0"/>
              <w:adjustRightInd w:val="0"/>
              <w:snapToGrid w:val="0"/>
              <w:jc w:val="both"/>
              <w:rPr>
                <w:sz w:val="18"/>
                <w:szCs w:val="18"/>
              </w:rPr>
            </w:pPr>
          </w:p>
        </w:tc>
        <w:tc>
          <w:tcPr>
            <w:tcW w:w="252" w:type="pct"/>
            <w:tcBorders>
              <w:left w:val="nil"/>
              <w:right w:val="nil"/>
            </w:tcBorders>
            <w:vAlign w:val="center"/>
          </w:tcPr>
          <w:p w14:paraId="1D419C61" w14:textId="77777777" w:rsidR="001B01E9" w:rsidRPr="008A0E33" w:rsidRDefault="001B01E9" w:rsidP="0057484E">
            <w:pPr>
              <w:autoSpaceDE w:val="0"/>
              <w:autoSpaceDN w:val="0"/>
              <w:adjustRightInd w:val="0"/>
              <w:snapToGrid w:val="0"/>
              <w:jc w:val="right"/>
              <w:rPr>
                <w:kern w:val="0"/>
                <w:sz w:val="18"/>
                <w:szCs w:val="18"/>
              </w:rPr>
            </w:pPr>
          </w:p>
        </w:tc>
        <w:tc>
          <w:tcPr>
            <w:tcW w:w="253" w:type="pct"/>
            <w:tcBorders>
              <w:left w:val="nil"/>
              <w:right w:val="nil"/>
            </w:tcBorders>
            <w:vAlign w:val="center"/>
          </w:tcPr>
          <w:p w14:paraId="791902F0" w14:textId="77777777" w:rsidR="001B01E9" w:rsidRPr="008A0E33" w:rsidRDefault="001B01E9" w:rsidP="0057484E">
            <w:pPr>
              <w:autoSpaceDE w:val="0"/>
              <w:autoSpaceDN w:val="0"/>
              <w:adjustRightInd w:val="0"/>
              <w:snapToGrid w:val="0"/>
              <w:jc w:val="both"/>
              <w:rPr>
                <w:sz w:val="18"/>
                <w:szCs w:val="18"/>
              </w:rPr>
            </w:pPr>
          </w:p>
        </w:tc>
      </w:tr>
      <w:tr w:rsidR="008A0E33" w:rsidRPr="008A0E33" w14:paraId="7772290D" w14:textId="77777777" w:rsidTr="00B40DF7">
        <w:trPr>
          <w:trHeight w:val="332"/>
        </w:trPr>
        <w:tc>
          <w:tcPr>
            <w:tcW w:w="965" w:type="pct"/>
            <w:vAlign w:val="center"/>
          </w:tcPr>
          <w:p w14:paraId="4600254A" w14:textId="77777777" w:rsidR="001B01E9" w:rsidRPr="008A0E33" w:rsidRDefault="001B01E9" w:rsidP="0057484E">
            <w:pPr>
              <w:autoSpaceDE w:val="0"/>
              <w:autoSpaceDN w:val="0"/>
              <w:adjustRightInd w:val="0"/>
              <w:rPr>
                <w:kern w:val="0"/>
                <w:sz w:val="20"/>
                <w:szCs w:val="20"/>
              </w:rPr>
            </w:pPr>
            <w:r w:rsidRPr="008A0E33">
              <w:rPr>
                <w:rFonts w:eastAsia="標楷體" w:cs="Times New Roman"/>
                <w:sz w:val="18"/>
                <w:szCs w:val="18"/>
              </w:rPr>
              <w:t>Organizational</w:t>
            </w:r>
            <w:r w:rsidRPr="008A0E33">
              <w:rPr>
                <w:rFonts w:eastAsia="AdvEPSTIM" w:cs="Times New Roman"/>
                <w:kern w:val="0"/>
                <w:sz w:val="18"/>
                <w:szCs w:val="18"/>
              </w:rPr>
              <w:t xml:space="preserve"> flexibility</w:t>
            </w:r>
          </w:p>
        </w:tc>
        <w:tc>
          <w:tcPr>
            <w:tcW w:w="252" w:type="pct"/>
            <w:tcBorders>
              <w:top w:val="nil"/>
              <w:left w:val="nil"/>
              <w:bottom w:val="nil"/>
              <w:right w:val="nil"/>
            </w:tcBorders>
            <w:vAlign w:val="center"/>
          </w:tcPr>
          <w:p w14:paraId="0EA36625"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2D926040" w14:textId="77777777" w:rsidR="001B01E9" w:rsidRPr="008A0E33" w:rsidRDefault="001B01E9" w:rsidP="0057484E">
            <w:pPr>
              <w:autoSpaceDE w:val="0"/>
              <w:autoSpaceDN w:val="0"/>
              <w:adjustRightInd w:val="0"/>
              <w:snapToGrid w:val="0"/>
              <w:rPr>
                <w:kern w:val="0"/>
                <w:sz w:val="18"/>
                <w:szCs w:val="18"/>
              </w:rPr>
            </w:pPr>
          </w:p>
        </w:tc>
        <w:tc>
          <w:tcPr>
            <w:tcW w:w="252" w:type="pct"/>
            <w:tcBorders>
              <w:left w:val="nil"/>
              <w:right w:val="nil"/>
            </w:tcBorders>
            <w:vAlign w:val="center"/>
          </w:tcPr>
          <w:p w14:paraId="638343AD"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3DC8282D" w14:textId="77777777" w:rsidR="001B01E9" w:rsidRPr="008A0E33" w:rsidRDefault="001B01E9" w:rsidP="0057484E">
            <w:pPr>
              <w:autoSpaceDE w:val="0"/>
              <w:autoSpaceDN w:val="0"/>
              <w:adjustRightInd w:val="0"/>
              <w:snapToGrid w:val="0"/>
              <w:rPr>
                <w:kern w:val="0"/>
                <w:sz w:val="18"/>
                <w:szCs w:val="18"/>
              </w:rPr>
            </w:pPr>
          </w:p>
        </w:tc>
        <w:tc>
          <w:tcPr>
            <w:tcW w:w="252" w:type="pct"/>
            <w:tcBorders>
              <w:left w:val="nil"/>
              <w:right w:val="nil"/>
            </w:tcBorders>
            <w:vAlign w:val="center"/>
          </w:tcPr>
          <w:p w14:paraId="42BA2881" w14:textId="77777777" w:rsidR="001B01E9" w:rsidRPr="008A0E33" w:rsidRDefault="001B01E9" w:rsidP="0057484E">
            <w:pPr>
              <w:autoSpaceDE w:val="0"/>
              <w:autoSpaceDN w:val="0"/>
              <w:adjustRightInd w:val="0"/>
              <w:snapToGrid w:val="0"/>
              <w:jc w:val="right"/>
              <w:rPr>
                <w:kern w:val="0"/>
                <w:sz w:val="18"/>
                <w:szCs w:val="18"/>
              </w:rPr>
            </w:pPr>
          </w:p>
        </w:tc>
        <w:tc>
          <w:tcPr>
            <w:tcW w:w="253" w:type="pct"/>
            <w:tcBorders>
              <w:left w:val="nil"/>
              <w:right w:val="nil"/>
            </w:tcBorders>
            <w:vAlign w:val="center"/>
          </w:tcPr>
          <w:p w14:paraId="7AB0B4C0" w14:textId="77777777" w:rsidR="001B01E9" w:rsidRPr="008A0E33" w:rsidRDefault="001B01E9" w:rsidP="0057484E">
            <w:pPr>
              <w:autoSpaceDE w:val="0"/>
              <w:autoSpaceDN w:val="0"/>
              <w:adjustRightInd w:val="0"/>
              <w:snapToGrid w:val="0"/>
              <w:rPr>
                <w:kern w:val="0"/>
                <w:sz w:val="18"/>
                <w:szCs w:val="18"/>
              </w:rPr>
            </w:pPr>
          </w:p>
        </w:tc>
        <w:tc>
          <w:tcPr>
            <w:tcW w:w="252" w:type="pct"/>
            <w:tcBorders>
              <w:left w:val="nil"/>
              <w:right w:val="nil"/>
            </w:tcBorders>
            <w:vAlign w:val="center"/>
          </w:tcPr>
          <w:p w14:paraId="68132C6C"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29C230B" w14:textId="77777777" w:rsidR="001B01E9" w:rsidRPr="008A0E33" w:rsidRDefault="001B01E9" w:rsidP="0057484E">
            <w:pPr>
              <w:autoSpaceDE w:val="0"/>
              <w:autoSpaceDN w:val="0"/>
              <w:adjustRightInd w:val="0"/>
              <w:snapToGrid w:val="0"/>
              <w:jc w:val="both"/>
              <w:rPr>
                <w:kern w:val="0"/>
                <w:sz w:val="18"/>
                <w:szCs w:val="18"/>
              </w:rPr>
            </w:pPr>
          </w:p>
        </w:tc>
        <w:tc>
          <w:tcPr>
            <w:tcW w:w="252" w:type="pct"/>
            <w:tcBorders>
              <w:left w:val="nil"/>
              <w:right w:val="nil"/>
            </w:tcBorders>
            <w:vAlign w:val="center"/>
          </w:tcPr>
          <w:p w14:paraId="7AF947D7"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846040F" w14:textId="77777777" w:rsidR="001B01E9" w:rsidRPr="008A0E33" w:rsidRDefault="001B01E9" w:rsidP="0057484E">
            <w:pPr>
              <w:autoSpaceDE w:val="0"/>
              <w:autoSpaceDN w:val="0"/>
              <w:adjustRightInd w:val="0"/>
              <w:snapToGrid w:val="0"/>
              <w:rPr>
                <w:kern w:val="0"/>
                <w:sz w:val="18"/>
                <w:szCs w:val="18"/>
              </w:rPr>
            </w:pPr>
          </w:p>
        </w:tc>
        <w:tc>
          <w:tcPr>
            <w:tcW w:w="253" w:type="pct"/>
            <w:tcBorders>
              <w:left w:val="nil"/>
              <w:right w:val="nil"/>
            </w:tcBorders>
            <w:vAlign w:val="center"/>
          </w:tcPr>
          <w:p w14:paraId="41167E27"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16F27BAE" w14:textId="77777777" w:rsidR="001B01E9" w:rsidRPr="008A0E33" w:rsidRDefault="001B01E9" w:rsidP="0057484E">
            <w:pPr>
              <w:autoSpaceDE w:val="0"/>
              <w:autoSpaceDN w:val="0"/>
              <w:adjustRightInd w:val="0"/>
              <w:snapToGrid w:val="0"/>
              <w:rPr>
                <w:kern w:val="0"/>
                <w:sz w:val="18"/>
                <w:szCs w:val="18"/>
              </w:rPr>
            </w:pPr>
          </w:p>
        </w:tc>
        <w:tc>
          <w:tcPr>
            <w:tcW w:w="252" w:type="pct"/>
            <w:tcBorders>
              <w:top w:val="nil"/>
              <w:left w:val="nil"/>
              <w:bottom w:val="nil"/>
              <w:right w:val="nil"/>
            </w:tcBorders>
            <w:vAlign w:val="center"/>
          </w:tcPr>
          <w:p w14:paraId="6F7F900F" w14:textId="77777777" w:rsidR="001B01E9" w:rsidRPr="008A0E33" w:rsidRDefault="001B01E9" w:rsidP="0057484E">
            <w:pPr>
              <w:autoSpaceDE w:val="0"/>
              <w:autoSpaceDN w:val="0"/>
              <w:adjustRightInd w:val="0"/>
              <w:snapToGrid w:val="0"/>
              <w:jc w:val="right"/>
              <w:rPr>
                <w:kern w:val="0"/>
                <w:sz w:val="18"/>
                <w:szCs w:val="18"/>
              </w:rPr>
            </w:pPr>
            <w:r w:rsidRPr="008A0E33">
              <w:rPr>
                <w:kern w:val="0"/>
                <w:sz w:val="18"/>
                <w:szCs w:val="18"/>
              </w:rPr>
              <w:t>.163</w:t>
            </w:r>
            <w:r w:rsidRPr="008A0E33">
              <w:rPr>
                <w:kern w:val="0"/>
                <w:vertAlign w:val="superscript"/>
              </w:rPr>
              <w:t>+</w:t>
            </w:r>
          </w:p>
        </w:tc>
        <w:tc>
          <w:tcPr>
            <w:tcW w:w="252" w:type="pct"/>
            <w:tcBorders>
              <w:top w:val="nil"/>
              <w:left w:val="nil"/>
              <w:bottom w:val="nil"/>
              <w:right w:val="nil"/>
            </w:tcBorders>
            <w:vAlign w:val="center"/>
          </w:tcPr>
          <w:p w14:paraId="0BC68517" w14:textId="77777777" w:rsidR="001B01E9" w:rsidRPr="008A0E33" w:rsidRDefault="001B01E9" w:rsidP="0057484E">
            <w:pPr>
              <w:autoSpaceDE w:val="0"/>
              <w:autoSpaceDN w:val="0"/>
              <w:adjustRightInd w:val="0"/>
              <w:snapToGrid w:val="0"/>
              <w:jc w:val="both"/>
              <w:rPr>
                <w:kern w:val="0"/>
                <w:sz w:val="18"/>
                <w:szCs w:val="18"/>
              </w:rPr>
            </w:pPr>
            <w:r w:rsidRPr="008A0E33">
              <w:rPr>
                <w:kern w:val="0"/>
                <w:sz w:val="18"/>
                <w:szCs w:val="18"/>
              </w:rPr>
              <w:t>(.093)</w:t>
            </w:r>
          </w:p>
        </w:tc>
        <w:tc>
          <w:tcPr>
            <w:tcW w:w="252" w:type="pct"/>
            <w:tcBorders>
              <w:left w:val="nil"/>
              <w:right w:val="nil"/>
            </w:tcBorders>
            <w:vAlign w:val="center"/>
          </w:tcPr>
          <w:p w14:paraId="59EC7DB9" w14:textId="77777777" w:rsidR="001B01E9" w:rsidRPr="008A0E33" w:rsidRDefault="001B01E9" w:rsidP="0057484E">
            <w:pPr>
              <w:autoSpaceDE w:val="0"/>
              <w:autoSpaceDN w:val="0"/>
              <w:adjustRightInd w:val="0"/>
              <w:snapToGrid w:val="0"/>
              <w:jc w:val="right"/>
              <w:rPr>
                <w:kern w:val="0"/>
                <w:sz w:val="18"/>
                <w:szCs w:val="18"/>
              </w:rPr>
            </w:pPr>
            <w:r w:rsidRPr="008A0E33">
              <w:rPr>
                <w:kern w:val="0"/>
                <w:sz w:val="18"/>
                <w:szCs w:val="18"/>
              </w:rPr>
              <w:t>.081</w:t>
            </w:r>
          </w:p>
        </w:tc>
        <w:tc>
          <w:tcPr>
            <w:tcW w:w="253" w:type="pct"/>
            <w:tcBorders>
              <w:left w:val="nil"/>
              <w:right w:val="nil"/>
            </w:tcBorders>
            <w:vAlign w:val="center"/>
          </w:tcPr>
          <w:p w14:paraId="60A00F27" w14:textId="77777777" w:rsidR="001B01E9" w:rsidRPr="008A0E33" w:rsidRDefault="001B01E9" w:rsidP="0057484E">
            <w:pPr>
              <w:autoSpaceDE w:val="0"/>
              <w:autoSpaceDN w:val="0"/>
              <w:adjustRightInd w:val="0"/>
              <w:snapToGrid w:val="0"/>
              <w:jc w:val="both"/>
              <w:rPr>
                <w:kern w:val="0"/>
                <w:sz w:val="18"/>
                <w:szCs w:val="18"/>
              </w:rPr>
            </w:pPr>
            <w:r w:rsidRPr="008A0E33">
              <w:rPr>
                <w:kern w:val="0"/>
                <w:sz w:val="18"/>
                <w:szCs w:val="18"/>
              </w:rPr>
              <w:t>(.357)</w:t>
            </w:r>
          </w:p>
        </w:tc>
      </w:tr>
      <w:tr w:rsidR="008A0E33" w:rsidRPr="008A0E33" w14:paraId="5224FE1F" w14:textId="77777777" w:rsidTr="00B40DF7">
        <w:trPr>
          <w:trHeight w:val="342"/>
        </w:trPr>
        <w:tc>
          <w:tcPr>
            <w:tcW w:w="965" w:type="pct"/>
            <w:vAlign w:val="center"/>
          </w:tcPr>
          <w:p w14:paraId="719DC869" w14:textId="77777777" w:rsidR="001B01E9" w:rsidRPr="008A0E33" w:rsidRDefault="001B01E9" w:rsidP="0057484E">
            <w:pPr>
              <w:autoSpaceDE w:val="0"/>
              <w:autoSpaceDN w:val="0"/>
              <w:adjustRightInd w:val="0"/>
              <w:rPr>
                <w:kern w:val="0"/>
                <w:sz w:val="20"/>
                <w:szCs w:val="20"/>
              </w:rPr>
            </w:pPr>
            <w:r w:rsidRPr="008A0E33">
              <w:rPr>
                <w:rFonts w:cs="Times New Roman"/>
                <w:kern w:val="0"/>
                <w:sz w:val="18"/>
                <w:szCs w:val="18"/>
              </w:rPr>
              <w:t>Knowledge creation</w:t>
            </w:r>
          </w:p>
        </w:tc>
        <w:tc>
          <w:tcPr>
            <w:tcW w:w="252" w:type="pct"/>
            <w:tcBorders>
              <w:top w:val="nil"/>
              <w:left w:val="nil"/>
              <w:bottom w:val="nil"/>
              <w:right w:val="nil"/>
            </w:tcBorders>
            <w:vAlign w:val="center"/>
          </w:tcPr>
          <w:p w14:paraId="4D1E6B8A" w14:textId="3421B418" w:rsidR="001B01E9" w:rsidRPr="008A0E33" w:rsidRDefault="001B01E9"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6</w:t>
            </w:r>
            <w:r w:rsidRPr="008A0E33">
              <w:rPr>
                <w:kern w:val="0"/>
                <w:sz w:val="18"/>
                <w:szCs w:val="18"/>
              </w:rPr>
              <w:t>05</w:t>
            </w:r>
            <w:r w:rsidRPr="008A0E33">
              <w:rPr>
                <w:rFonts w:hint="eastAsia"/>
                <w:kern w:val="0"/>
                <w:sz w:val="18"/>
                <w:szCs w:val="18"/>
              </w:rPr>
              <w:t>***</w:t>
            </w:r>
          </w:p>
        </w:tc>
        <w:tc>
          <w:tcPr>
            <w:tcW w:w="252" w:type="pct"/>
            <w:tcBorders>
              <w:top w:val="nil"/>
              <w:left w:val="nil"/>
              <w:bottom w:val="nil"/>
              <w:right w:val="nil"/>
            </w:tcBorders>
            <w:vAlign w:val="center"/>
          </w:tcPr>
          <w:p w14:paraId="23106FAA" w14:textId="0C06C075" w:rsidR="001B01E9" w:rsidRPr="008A0E33" w:rsidRDefault="001B01E9" w:rsidP="0057484E">
            <w:pPr>
              <w:autoSpaceDE w:val="0"/>
              <w:autoSpaceDN w:val="0"/>
              <w:adjustRightInd w:val="0"/>
              <w:snapToGrid w:val="0"/>
              <w:rPr>
                <w:kern w:val="0"/>
                <w:sz w:val="18"/>
                <w:szCs w:val="18"/>
              </w:rPr>
            </w:pPr>
            <w:r w:rsidRPr="008A0E33">
              <w:rPr>
                <w:kern w:val="0"/>
                <w:sz w:val="18"/>
                <w:szCs w:val="18"/>
              </w:rPr>
              <w:t>(.000)</w:t>
            </w:r>
          </w:p>
        </w:tc>
        <w:tc>
          <w:tcPr>
            <w:tcW w:w="252" w:type="pct"/>
            <w:tcBorders>
              <w:left w:val="nil"/>
              <w:right w:val="nil"/>
            </w:tcBorders>
            <w:vAlign w:val="center"/>
          </w:tcPr>
          <w:p w14:paraId="4898A120" w14:textId="5C606A88" w:rsidR="001B01E9" w:rsidRPr="008A0E33" w:rsidRDefault="001B01E9"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381***</w:t>
            </w:r>
          </w:p>
        </w:tc>
        <w:tc>
          <w:tcPr>
            <w:tcW w:w="252" w:type="pct"/>
            <w:tcBorders>
              <w:left w:val="nil"/>
              <w:right w:val="nil"/>
            </w:tcBorders>
            <w:vAlign w:val="center"/>
          </w:tcPr>
          <w:p w14:paraId="226A36B2" w14:textId="79E3DDC3" w:rsidR="001B01E9" w:rsidRPr="008A0E33" w:rsidRDefault="001B01E9" w:rsidP="0057484E">
            <w:pPr>
              <w:autoSpaceDE w:val="0"/>
              <w:autoSpaceDN w:val="0"/>
              <w:adjustRightInd w:val="0"/>
              <w:snapToGrid w:val="0"/>
              <w:rPr>
                <w:kern w:val="0"/>
                <w:sz w:val="18"/>
                <w:szCs w:val="18"/>
              </w:rPr>
            </w:pPr>
            <w:r w:rsidRPr="008A0E33">
              <w:rPr>
                <w:kern w:val="0"/>
                <w:sz w:val="18"/>
                <w:szCs w:val="18"/>
              </w:rPr>
              <w:t>(.000)</w:t>
            </w:r>
          </w:p>
        </w:tc>
        <w:tc>
          <w:tcPr>
            <w:tcW w:w="252" w:type="pct"/>
            <w:tcBorders>
              <w:left w:val="nil"/>
              <w:right w:val="nil"/>
            </w:tcBorders>
            <w:vAlign w:val="center"/>
          </w:tcPr>
          <w:p w14:paraId="5FC11DFC" w14:textId="55709BB9" w:rsidR="001B01E9" w:rsidRPr="008A0E33" w:rsidRDefault="001B01E9" w:rsidP="0057484E">
            <w:pPr>
              <w:autoSpaceDE w:val="0"/>
              <w:autoSpaceDN w:val="0"/>
              <w:adjustRightInd w:val="0"/>
              <w:snapToGrid w:val="0"/>
              <w:jc w:val="right"/>
              <w:rPr>
                <w:sz w:val="18"/>
                <w:szCs w:val="18"/>
              </w:rPr>
            </w:pPr>
          </w:p>
        </w:tc>
        <w:tc>
          <w:tcPr>
            <w:tcW w:w="253" w:type="pct"/>
            <w:tcBorders>
              <w:left w:val="nil"/>
              <w:right w:val="nil"/>
            </w:tcBorders>
            <w:vAlign w:val="center"/>
          </w:tcPr>
          <w:p w14:paraId="0EA825CA" w14:textId="183C1EA7" w:rsidR="001B01E9" w:rsidRPr="008A0E33" w:rsidRDefault="001B01E9" w:rsidP="0057484E">
            <w:pPr>
              <w:autoSpaceDE w:val="0"/>
              <w:autoSpaceDN w:val="0"/>
              <w:adjustRightInd w:val="0"/>
              <w:snapToGrid w:val="0"/>
              <w:rPr>
                <w:sz w:val="18"/>
                <w:szCs w:val="18"/>
              </w:rPr>
            </w:pPr>
          </w:p>
        </w:tc>
        <w:tc>
          <w:tcPr>
            <w:tcW w:w="252" w:type="pct"/>
            <w:tcBorders>
              <w:left w:val="nil"/>
              <w:right w:val="nil"/>
            </w:tcBorders>
            <w:vAlign w:val="center"/>
          </w:tcPr>
          <w:p w14:paraId="63BE76AB" w14:textId="77777777" w:rsidR="001B01E9" w:rsidRPr="008A0E33" w:rsidRDefault="001B01E9" w:rsidP="0057484E">
            <w:pPr>
              <w:autoSpaceDE w:val="0"/>
              <w:autoSpaceDN w:val="0"/>
              <w:adjustRightInd w:val="0"/>
              <w:snapToGrid w:val="0"/>
              <w:jc w:val="right"/>
              <w:rPr>
                <w:sz w:val="18"/>
                <w:szCs w:val="18"/>
              </w:rPr>
            </w:pPr>
          </w:p>
        </w:tc>
        <w:tc>
          <w:tcPr>
            <w:tcW w:w="252" w:type="pct"/>
            <w:tcBorders>
              <w:left w:val="nil"/>
              <w:right w:val="nil"/>
            </w:tcBorders>
            <w:vAlign w:val="center"/>
          </w:tcPr>
          <w:p w14:paraId="1CDB787B" w14:textId="77777777" w:rsidR="001B01E9" w:rsidRPr="008A0E33" w:rsidRDefault="001B01E9" w:rsidP="0057484E">
            <w:pPr>
              <w:autoSpaceDE w:val="0"/>
              <w:autoSpaceDN w:val="0"/>
              <w:adjustRightInd w:val="0"/>
              <w:snapToGrid w:val="0"/>
              <w:jc w:val="both"/>
              <w:rPr>
                <w:sz w:val="18"/>
                <w:szCs w:val="18"/>
              </w:rPr>
            </w:pPr>
          </w:p>
        </w:tc>
        <w:tc>
          <w:tcPr>
            <w:tcW w:w="252" w:type="pct"/>
            <w:tcBorders>
              <w:left w:val="nil"/>
              <w:right w:val="nil"/>
            </w:tcBorders>
            <w:vAlign w:val="center"/>
          </w:tcPr>
          <w:p w14:paraId="2AA9D1EA" w14:textId="77777777" w:rsidR="001B01E9" w:rsidRPr="008A0E33" w:rsidRDefault="001B01E9" w:rsidP="0057484E">
            <w:pPr>
              <w:autoSpaceDE w:val="0"/>
              <w:autoSpaceDN w:val="0"/>
              <w:adjustRightInd w:val="0"/>
              <w:snapToGrid w:val="0"/>
              <w:jc w:val="right"/>
              <w:rPr>
                <w:sz w:val="18"/>
                <w:szCs w:val="18"/>
              </w:rPr>
            </w:pPr>
          </w:p>
        </w:tc>
        <w:tc>
          <w:tcPr>
            <w:tcW w:w="252" w:type="pct"/>
            <w:tcBorders>
              <w:left w:val="nil"/>
              <w:right w:val="nil"/>
            </w:tcBorders>
            <w:vAlign w:val="center"/>
          </w:tcPr>
          <w:p w14:paraId="4FE6BF92" w14:textId="77777777" w:rsidR="001B01E9" w:rsidRPr="008A0E33" w:rsidRDefault="001B01E9" w:rsidP="0057484E">
            <w:pPr>
              <w:autoSpaceDE w:val="0"/>
              <w:autoSpaceDN w:val="0"/>
              <w:adjustRightInd w:val="0"/>
              <w:snapToGrid w:val="0"/>
              <w:rPr>
                <w:sz w:val="18"/>
                <w:szCs w:val="18"/>
              </w:rPr>
            </w:pPr>
          </w:p>
        </w:tc>
        <w:tc>
          <w:tcPr>
            <w:tcW w:w="253" w:type="pct"/>
            <w:tcBorders>
              <w:left w:val="nil"/>
              <w:right w:val="nil"/>
            </w:tcBorders>
            <w:vAlign w:val="center"/>
          </w:tcPr>
          <w:p w14:paraId="62501B67"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363836AE" w14:textId="77777777" w:rsidR="001B01E9" w:rsidRPr="008A0E33" w:rsidRDefault="001B01E9" w:rsidP="0057484E">
            <w:pPr>
              <w:autoSpaceDE w:val="0"/>
              <w:autoSpaceDN w:val="0"/>
              <w:adjustRightInd w:val="0"/>
              <w:snapToGrid w:val="0"/>
              <w:rPr>
                <w:kern w:val="0"/>
                <w:sz w:val="18"/>
                <w:szCs w:val="18"/>
              </w:rPr>
            </w:pPr>
          </w:p>
        </w:tc>
        <w:tc>
          <w:tcPr>
            <w:tcW w:w="252" w:type="pct"/>
            <w:tcBorders>
              <w:top w:val="nil"/>
              <w:left w:val="nil"/>
              <w:bottom w:val="nil"/>
              <w:right w:val="nil"/>
            </w:tcBorders>
            <w:vAlign w:val="center"/>
          </w:tcPr>
          <w:p w14:paraId="25967925" w14:textId="77777777" w:rsidR="001B01E9" w:rsidRPr="008A0E33" w:rsidRDefault="001B01E9" w:rsidP="0057484E">
            <w:pPr>
              <w:autoSpaceDE w:val="0"/>
              <w:autoSpaceDN w:val="0"/>
              <w:adjustRightInd w:val="0"/>
              <w:snapToGrid w:val="0"/>
              <w:jc w:val="right"/>
              <w:rPr>
                <w:sz w:val="18"/>
                <w:szCs w:val="18"/>
              </w:rPr>
            </w:pPr>
          </w:p>
        </w:tc>
        <w:tc>
          <w:tcPr>
            <w:tcW w:w="252" w:type="pct"/>
            <w:tcBorders>
              <w:top w:val="nil"/>
              <w:left w:val="nil"/>
              <w:bottom w:val="nil"/>
              <w:right w:val="nil"/>
            </w:tcBorders>
            <w:vAlign w:val="center"/>
          </w:tcPr>
          <w:p w14:paraId="18B2424E" w14:textId="77777777" w:rsidR="001B01E9" w:rsidRPr="008A0E33" w:rsidRDefault="001B01E9" w:rsidP="0057484E">
            <w:pPr>
              <w:autoSpaceDE w:val="0"/>
              <w:autoSpaceDN w:val="0"/>
              <w:adjustRightInd w:val="0"/>
              <w:snapToGrid w:val="0"/>
              <w:jc w:val="both"/>
              <w:rPr>
                <w:sz w:val="18"/>
                <w:szCs w:val="18"/>
              </w:rPr>
            </w:pPr>
          </w:p>
        </w:tc>
        <w:tc>
          <w:tcPr>
            <w:tcW w:w="252" w:type="pct"/>
            <w:tcBorders>
              <w:left w:val="nil"/>
              <w:right w:val="nil"/>
            </w:tcBorders>
            <w:vAlign w:val="center"/>
          </w:tcPr>
          <w:p w14:paraId="09A67737" w14:textId="77777777" w:rsidR="001B01E9" w:rsidRPr="008A0E33" w:rsidRDefault="001B01E9" w:rsidP="0057484E">
            <w:pPr>
              <w:autoSpaceDE w:val="0"/>
              <w:autoSpaceDN w:val="0"/>
              <w:adjustRightInd w:val="0"/>
              <w:snapToGrid w:val="0"/>
              <w:jc w:val="right"/>
              <w:rPr>
                <w:sz w:val="18"/>
                <w:szCs w:val="18"/>
              </w:rPr>
            </w:pPr>
          </w:p>
        </w:tc>
        <w:tc>
          <w:tcPr>
            <w:tcW w:w="253" w:type="pct"/>
            <w:tcBorders>
              <w:left w:val="nil"/>
              <w:right w:val="nil"/>
            </w:tcBorders>
            <w:vAlign w:val="center"/>
          </w:tcPr>
          <w:p w14:paraId="52383A64" w14:textId="77777777" w:rsidR="001B01E9" w:rsidRPr="008A0E33" w:rsidRDefault="001B01E9" w:rsidP="0057484E">
            <w:pPr>
              <w:autoSpaceDE w:val="0"/>
              <w:autoSpaceDN w:val="0"/>
              <w:adjustRightInd w:val="0"/>
              <w:snapToGrid w:val="0"/>
              <w:jc w:val="both"/>
              <w:rPr>
                <w:sz w:val="18"/>
                <w:szCs w:val="18"/>
              </w:rPr>
            </w:pPr>
          </w:p>
        </w:tc>
      </w:tr>
      <w:tr w:rsidR="008A0E33" w:rsidRPr="008A0E33" w14:paraId="51E5B5AD" w14:textId="77777777" w:rsidTr="00B40DF7">
        <w:trPr>
          <w:trHeight w:val="342"/>
        </w:trPr>
        <w:tc>
          <w:tcPr>
            <w:tcW w:w="965" w:type="pct"/>
            <w:vAlign w:val="center"/>
          </w:tcPr>
          <w:p w14:paraId="7035C566" w14:textId="77777777" w:rsidR="001B01E9" w:rsidRPr="008A0E33" w:rsidRDefault="001B01E9" w:rsidP="0057484E">
            <w:pPr>
              <w:autoSpaceDE w:val="0"/>
              <w:autoSpaceDN w:val="0"/>
              <w:adjustRightInd w:val="0"/>
              <w:rPr>
                <w:rFonts w:eastAsia="標楷體"/>
                <w:sz w:val="20"/>
                <w:szCs w:val="20"/>
              </w:rPr>
            </w:pPr>
            <w:r w:rsidRPr="008A0E33">
              <w:rPr>
                <w:rFonts w:cs="Times New Roman"/>
                <w:kern w:val="0"/>
                <w:sz w:val="18"/>
                <w:szCs w:val="18"/>
              </w:rPr>
              <w:t>Knowledge utilization</w:t>
            </w:r>
          </w:p>
        </w:tc>
        <w:tc>
          <w:tcPr>
            <w:tcW w:w="252" w:type="pct"/>
            <w:tcBorders>
              <w:top w:val="nil"/>
              <w:left w:val="nil"/>
              <w:bottom w:val="nil"/>
              <w:right w:val="nil"/>
            </w:tcBorders>
            <w:vAlign w:val="center"/>
          </w:tcPr>
          <w:p w14:paraId="59E2C799"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6C1027FF" w14:textId="77777777" w:rsidR="001B01E9" w:rsidRPr="008A0E33" w:rsidRDefault="001B01E9" w:rsidP="0057484E">
            <w:pPr>
              <w:autoSpaceDE w:val="0"/>
              <w:autoSpaceDN w:val="0"/>
              <w:adjustRightInd w:val="0"/>
              <w:snapToGrid w:val="0"/>
              <w:rPr>
                <w:kern w:val="0"/>
                <w:sz w:val="18"/>
                <w:szCs w:val="18"/>
              </w:rPr>
            </w:pPr>
          </w:p>
        </w:tc>
        <w:tc>
          <w:tcPr>
            <w:tcW w:w="252" w:type="pct"/>
            <w:tcBorders>
              <w:left w:val="nil"/>
              <w:bottom w:val="nil"/>
              <w:right w:val="nil"/>
            </w:tcBorders>
            <w:vAlign w:val="center"/>
          </w:tcPr>
          <w:p w14:paraId="42DB65A9"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bottom w:val="nil"/>
              <w:right w:val="nil"/>
            </w:tcBorders>
            <w:vAlign w:val="center"/>
          </w:tcPr>
          <w:p w14:paraId="75D7E054" w14:textId="77777777" w:rsidR="001B01E9" w:rsidRPr="008A0E33" w:rsidRDefault="001B01E9" w:rsidP="0057484E">
            <w:pPr>
              <w:autoSpaceDE w:val="0"/>
              <w:autoSpaceDN w:val="0"/>
              <w:adjustRightInd w:val="0"/>
              <w:snapToGrid w:val="0"/>
              <w:rPr>
                <w:kern w:val="0"/>
                <w:sz w:val="18"/>
                <w:szCs w:val="18"/>
              </w:rPr>
            </w:pPr>
          </w:p>
        </w:tc>
        <w:tc>
          <w:tcPr>
            <w:tcW w:w="252" w:type="pct"/>
            <w:tcBorders>
              <w:left w:val="nil"/>
              <w:bottom w:val="nil"/>
              <w:right w:val="nil"/>
            </w:tcBorders>
            <w:vAlign w:val="center"/>
          </w:tcPr>
          <w:p w14:paraId="75C5F1D8" w14:textId="64976683" w:rsidR="001B01E9" w:rsidRPr="008A0E33" w:rsidRDefault="001B01E9" w:rsidP="0057484E">
            <w:pPr>
              <w:autoSpaceDE w:val="0"/>
              <w:autoSpaceDN w:val="0"/>
              <w:adjustRightInd w:val="0"/>
              <w:snapToGrid w:val="0"/>
              <w:jc w:val="right"/>
              <w:rPr>
                <w:sz w:val="18"/>
                <w:szCs w:val="18"/>
              </w:rPr>
            </w:pPr>
            <w:r w:rsidRPr="008A0E33">
              <w:rPr>
                <w:kern w:val="0"/>
                <w:sz w:val="18"/>
                <w:szCs w:val="18"/>
              </w:rPr>
              <w:t>.</w:t>
            </w:r>
            <w:r w:rsidRPr="008A0E33">
              <w:rPr>
                <w:rFonts w:hint="eastAsia"/>
                <w:kern w:val="0"/>
                <w:sz w:val="18"/>
                <w:szCs w:val="18"/>
              </w:rPr>
              <w:t>459***</w:t>
            </w:r>
          </w:p>
        </w:tc>
        <w:tc>
          <w:tcPr>
            <w:tcW w:w="253" w:type="pct"/>
            <w:tcBorders>
              <w:left w:val="nil"/>
              <w:bottom w:val="nil"/>
              <w:right w:val="nil"/>
            </w:tcBorders>
            <w:vAlign w:val="center"/>
          </w:tcPr>
          <w:p w14:paraId="45DBEB12" w14:textId="1F449844" w:rsidR="001B01E9" w:rsidRPr="008A0E33" w:rsidRDefault="001B01E9" w:rsidP="0057484E">
            <w:pPr>
              <w:autoSpaceDE w:val="0"/>
              <w:autoSpaceDN w:val="0"/>
              <w:adjustRightInd w:val="0"/>
              <w:snapToGrid w:val="0"/>
              <w:rPr>
                <w:sz w:val="18"/>
                <w:szCs w:val="18"/>
              </w:rPr>
            </w:pPr>
            <w:r w:rsidRPr="008A0E33">
              <w:rPr>
                <w:kern w:val="0"/>
                <w:sz w:val="18"/>
                <w:szCs w:val="18"/>
              </w:rPr>
              <w:t>(.000)</w:t>
            </w:r>
          </w:p>
        </w:tc>
        <w:tc>
          <w:tcPr>
            <w:tcW w:w="252" w:type="pct"/>
            <w:tcBorders>
              <w:left w:val="nil"/>
              <w:right w:val="nil"/>
            </w:tcBorders>
            <w:vAlign w:val="center"/>
          </w:tcPr>
          <w:p w14:paraId="20D5F845" w14:textId="1D2E5B8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4BA223AA" w14:textId="38973DE5" w:rsidR="001B01E9" w:rsidRPr="008A0E33" w:rsidRDefault="001B01E9" w:rsidP="0057484E">
            <w:pPr>
              <w:autoSpaceDE w:val="0"/>
              <w:autoSpaceDN w:val="0"/>
              <w:adjustRightInd w:val="0"/>
              <w:snapToGrid w:val="0"/>
              <w:jc w:val="both"/>
              <w:rPr>
                <w:kern w:val="0"/>
                <w:sz w:val="18"/>
                <w:szCs w:val="18"/>
              </w:rPr>
            </w:pPr>
          </w:p>
        </w:tc>
        <w:tc>
          <w:tcPr>
            <w:tcW w:w="252" w:type="pct"/>
            <w:tcBorders>
              <w:left w:val="nil"/>
              <w:right w:val="nil"/>
            </w:tcBorders>
            <w:vAlign w:val="center"/>
          </w:tcPr>
          <w:p w14:paraId="263F1E3B"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5E777F5E" w14:textId="77777777" w:rsidR="001B01E9" w:rsidRPr="008A0E33" w:rsidRDefault="001B01E9" w:rsidP="0057484E">
            <w:pPr>
              <w:autoSpaceDE w:val="0"/>
              <w:autoSpaceDN w:val="0"/>
              <w:adjustRightInd w:val="0"/>
              <w:snapToGrid w:val="0"/>
              <w:ind w:right="180"/>
              <w:jc w:val="right"/>
              <w:rPr>
                <w:kern w:val="0"/>
                <w:sz w:val="18"/>
                <w:szCs w:val="18"/>
              </w:rPr>
            </w:pPr>
          </w:p>
        </w:tc>
        <w:tc>
          <w:tcPr>
            <w:tcW w:w="253" w:type="pct"/>
            <w:tcBorders>
              <w:left w:val="nil"/>
              <w:right w:val="nil"/>
            </w:tcBorders>
            <w:vAlign w:val="center"/>
          </w:tcPr>
          <w:p w14:paraId="295E335C"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left w:val="nil"/>
              <w:right w:val="nil"/>
            </w:tcBorders>
            <w:vAlign w:val="center"/>
          </w:tcPr>
          <w:p w14:paraId="1DE50DB7" w14:textId="77777777" w:rsidR="001B01E9" w:rsidRPr="008A0E33" w:rsidRDefault="001B01E9" w:rsidP="0057484E">
            <w:pPr>
              <w:autoSpaceDE w:val="0"/>
              <w:autoSpaceDN w:val="0"/>
              <w:adjustRightInd w:val="0"/>
              <w:snapToGrid w:val="0"/>
              <w:jc w:val="both"/>
              <w:rPr>
                <w:kern w:val="0"/>
                <w:sz w:val="18"/>
                <w:szCs w:val="18"/>
              </w:rPr>
            </w:pPr>
          </w:p>
        </w:tc>
        <w:tc>
          <w:tcPr>
            <w:tcW w:w="252" w:type="pct"/>
            <w:tcBorders>
              <w:top w:val="nil"/>
              <w:left w:val="nil"/>
              <w:bottom w:val="nil"/>
              <w:right w:val="nil"/>
            </w:tcBorders>
            <w:vAlign w:val="center"/>
          </w:tcPr>
          <w:p w14:paraId="774BEF48" w14:textId="77777777" w:rsidR="001B01E9" w:rsidRPr="008A0E33" w:rsidRDefault="001B01E9"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37279A23" w14:textId="77777777" w:rsidR="001B01E9" w:rsidRPr="008A0E33" w:rsidRDefault="001B01E9" w:rsidP="0057484E">
            <w:pPr>
              <w:autoSpaceDE w:val="0"/>
              <w:autoSpaceDN w:val="0"/>
              <w:adjustRightInd w:val="0"/>
              <w:snapToGrid w:val="0"/>
              <w:jc w:val="both"/>
              <w:rPr>
                <w:kern w:val="0"/>
                <w:sz w:val="18"/>
                <w:szCs w:val="18"/>
              </w:rPr>
            </w:pPr>
          </w:p>
        </w:tc>
        <w:tc>
          <w:tcPr>
            <w:tcW w:w="252" w:type="pct"/>
            <w:tcBorders>
              <w:left w:val="nil"/>
              <w:right w:val="nil"/>
            </w:tcBorders>
            <w:vAlign w:val="center"/>
          </w:tcPr>
          <w:p w14:paraId="055109A9" w14:textId="77777777" w:rsidR="001B01E9" w:rsidRPr="008A0E33" w:rsidRDefault="001B01E9" w:rsidP="0057484E">
            <w:pPr>
              <w:autoSpaceDE w:val="0"/>
              <w:autoSpaceDN w:val="0"/>
              <w:adjustRightInd w:val="0"/>
              <w:snapToGrid w:val="0"/>
              <w:jc w:val="right"/>
              <w:rPr>
                <w:kern w:val="0"/>
                <w:sz w:val="18"/>
                <w:szCs w:val="18"/>
              </w:rPr>
            </w:pPr>
          </w:p>
        </w:tc>
        <w:tc>
          <w:tcPr>
            <w:tcW w:w="253" w:type="pct"/>
            <w:tcBorders>
              <w:left w:val="nil"/>
              <w:right w:val="nil"/>
            </w:tcBorders>
            <w:vAlign w:val="center"/>
          </w:tcPr>
          <w:p w14:paraId="10EC3CD0" w14:textId="77777777" w:rsidR="001B01E9" w:rsidRPr="008A0E33" w:rsidRDefault="001B01E9" w:rsidP="0057484E">
            <w:pPr>
              <w:autoSpaceDE w:val="0"/>
              <w:autoSpaceDN w:val="0"/>
              <w:adjustRightInd w:val="0"/>
              <w:snapToGrid w:val="0"/>
              <w:jc w:val="both"/>
              <w:rPr>
                <w:kern w:val="0"/>
                <w:sz w:val="18"/>
                <w:szCs w:val="18"/>
              </w:rPr>
            </w:pPr>
          </w:p>
        </w:tc>
      </w:tr>
      <w:tr w:rsidR="008A0E33" w:rsidRPr="008A0E33" w14:paraId="1A10C50C" w14:textId="77777777" w:rsidTr="002258E9">
        <w:trPr>
          <w:trHeight w:val="342"/>
        </w:trPr>
        <w:tc>
          <w:tcPr>
            <w:tcW w:w="965" w:type="pct"/>
            <w:vAlign w:val="center"/>
          </w:tcPr>
          <w:p w14:paraId="74779DF0" w14:textId="77777777" w:rsidR="008B2853" w:rsidRPr="008A0E33" w:rsidRDefault="008B2853" w:rsidP="0057484E">
            <w:pPr>
              <w:autoSpaceDE w:val="0"/>
              <w:autoSpaceDN w:val="0"/>
              <w:adjustRightInd w:val="0"/>
              <w:rPr>
                <w:rFonts w:eastAsia="標楷體"/>
                <w:sz w:val="18"/>
                <w:szCs w:val="18"/>
              </w:rPr>
            </w:pPr>
            <w:r w:rsidRPr="008A0E33">
              <w:rPr>
                <w:rFonts w:cs="Times New Roman"/>
                <w:kern w:val="0"/>
                <w:sz w:val="18"/>
                <w:szCs w:val="18"/>
              </w:rPr>
              <w:t>Pasteurian orientation</w:t>
            </w:r>
          </w:p>
        </w:tc>
        <w:tc>
          <w:tcPr>
            <w:tcW w:w="252" w:type="pct"/>
            <w:tcBorders>
              <w:top w:val="nil"/>
              <w:left w:val="nil"/>
              <w:bottom w:val="nil"/>
              <w:right w:val="nil"/>
            </w:tcBorders>
          </w:tcPr>
          <w:p w14:paraId="2BF2F633" w14:textId="77777777" w:rsidR="008B2853" w:rsidRPr="008A0E33" w:rsidRDefault="008B2853"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22DBDFAA" w14:textId="77777777" w:rsidR="008B2853" w:rsidRPr="008A0E33" w:rsidRDefault="008B2853" w:rsidP="0057484E">
            <w:pPr>
              <w:autoSpaceDE w:val="0"/>
              <w:autoSpaceDN w:val="0"/>
              <w:adjustRightInd w:val="0"/>
              <w:snapToGrid w:val="0"/>
              <w:rPr>
                <w:kern w:val="0"/>
                <w:sz w:val="18"/>
                <w:szCs w:val="18"/>
              </w:rPr>
            </w:pPr>
          </w:p>
        </w:tc>
        <w:tc>
          <w:tcPr>
            <w:tcW w:w="252" w:type="pct"/>
            <w:tcBorders>
              <w:left w:val="nil"/>
              <w:bottom w:val="nil"/>
              <w:right w:val="nil"/>
            </w:tcBorders>
            <w:vAlign w:val="center"/>
          </w:tcPr>
          <w:p w14:paraId="68204E21" w14:textId="77777777" w:rsidR="008B2853" w:rsidRPr="008A0E33" w:rsidRDefault="008B2853" w:rsidP="0057484E">
            <w:pPr>
              <w:autoSpaceDE w:val="0"/>
              <w:autoSpaceDN w:val="0"/>
              <w:adjustRightInd w:val="0"/>
              <w:snapToGrid w:val="0"/>
              <w:jc w:val="right"/>
              <w:rPr>
                <w:kern w:val="0"/>
                <w:sz w:val="18"/>
                <w:szCs w:val="18"/>
              </w:rPr>
            </w:pPr>
          </w:p>
        </w:tc>
        <w:tc>
          <w:tcPr>
            <w:tcW w:w="252" w:type="pct"/>
            <w:tcBorders>
              <w:left w:val="nil"/>
              <w:bottom w:val="nil"/>
              <w:right w:val="nil"/>
            </w:tcBorders>
          </w:tcPr>
          <w:p w14:paraId="3A622BDE" w14:textId="77777777" w:rsidR="008B2853" w:rsidRPr="008A0E33" w:rsidRDefault="008B2853" w:rsidP="0057484E">
            <w:pPr>
              <w:autoSpaceDE w:val="0"/>
              <w:autoSpaceDN w:val="0"/>
              <w:adjustRightInd w:val="0"/>
              <w:snapToGrid w:val="0"/>
              <w:rPr>
                <w:kern w:val="0"/>
                <w:sz w:val="18"/>
                <w:szCs w:val="18"/>
              </w:rPr>
            </w:pPr>
          </w:p>
        </w:tc>
        <w:tc>
          <w:tcPr>
            <w:tcW w:w="252" w:type="pct"/>
            <w:tcBorders>
              <w:left w:val="nil"/>
              <w:bottom w:val="nil"/>
              <w:right w:val="nil"/>
            </w:tcBorders>
            <w:vAlign w:val="center"/>
          </w:tcPr>
          <w:p w14:paraId="6339C25B" w14:textId="77777777" w:rsidR="008B2853" w:rsidRPr="008A0E33" w:rsidRDefault="008B2853" w:rsidP="0057484E">
            <w:pPr>
              <w:autoSpaceDE w:val="0"/>
              <w:autoSpaceDN w:val="0"/>
              <w:adjustRightInd w:val="0"/>
              <w:snapToGrid w:val="0"/>
              <w:jc w:val="right"/>
              <w:rPr>
                <w:sz w:val="18"/>
                <w:szCs w:val="18"/>
              </w:rPr>
            </w:pPr>
          </w:p>
        </w:tc>
        <w:tc>
          <w:tcPr>
            <w:tcW w:w="253" w:type="pct"/>
            <w:tcBorders>
              <w:left w:val="nil"/>
              <w:bottom w:val="nil"/>
              <w:right w:val="nil"/>
            </w:tcBorders>
          </w:tcPr>
          <w:p w14:paraId="39E20DAD" w14:textId="77777777" w:rsidR="008B2853" w:rsidRPr="008A0E33" w:rsidRDefault="008B2853" w:rsidP="0057484E">
            <w:pPr>
              <w:autoSpaceDE w:val="0"/>
              <w:autoSpaceDN w:val="0"/>
              <w:adjustRightInd w:val="0"/>
              <w:snapToGrid w:val="0"/>
              <w:rPr>
                <w:sz w:val="18"/>
                <w:szCs w:val="18"/>
              </w:rPr>
            </w:pPr>
          </w:p>
        </w:tc>
        <w:tc>
          <w:tcPr>
            <w:tcW w:w="252" w:type="pct"/>
            <w:tcBorders>
              <w:left w:val="nil"/>
              <w:right w:val="nil"/>
            </w:tcBorders>
            <w:vAlign w:val="center"/>
          </w:tcPr>
          <w:p w14:paraId="30337FEA" w14:textId="5F28C486"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w:t>
            </w:r>
            <w:r w:rsidRPr="008A0E33">
              <w:rPr>
                <w:rFonts w:hint="eastAsia"/>
                <w:kern w:val="0"/>
                <w:sz w:val="18"/>
                <w:szCs w:val="18"/>
              </w:rPr>
              <w:t>459***</w:t>
            </w:r>
          </w:p>
        </w:tc>
        <w:tc>
          <w:tcPr>
            <w:tcW w:w="252" w:type="pct"/>
            <w:tcBorders>
              <w:left w:val="nil"/>
              <w:right w:val="nil"/>
            </w:tcBorders>
            <w:vAlign w:val="center"/>
          </w:tcPr>
          <w:p w14:paraId="42BEF439" w14:textId="3A08370D"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(.000)</w:t>
            </w:r>
          </w:p>
        </w:tc>
        <w:tc>
          <w:tcPr>
            <w:tcW w:w="252" w:type="pct"/>
            <w:tcBorders>
              <w:left w:val="nil"/>
              <w:right w:val="nil"/>
            </w:tcBorders>
            <w:vAlign w:val="center"/>
          </w:tcPr>
          <w:p w14:paraId="32ABFBBC" w14:textId="77777777" w:rsidR="008B2853" w:rsidRPr="008A0E33" w:rsidRDefault="008B2853" w:rsidP="0057484E">
            <w:pPr>
              <w:autoSpaceDE w:val="0"/>
              <w:autoSpaceDN w:val="0"/>
              <w:adjustRightInd w:val="0"/>
              <w:snapToGrid w:val="0"/>
              <w:jc w:val="right"/>
              <w:rPr>
                <w:sz w:val="18"/>
                <w:szCs w:val="18"/>
              </w:rPr>
            </w:pPr>
          </w:p>
        </w:tc>
        <w:tc>
          <w:tcPr>
            <w:tcW w:w="252" w:type="pct"/>
            <w:tcBorders>
              <w:left w:val="nil"/>
              <w:right w:val="nil"/>
            </w:tcBorders>
            <w:vAlign w:val="center"/>
          </w:tcPr>
          <w:p w14:paraId="0AE52AA6" w14:textId="77777777" w:rsidR="008B2853" w:rsidRPr="008A0E33" w:rsidRDefault="008B2853" w:rsidP="0057484E">
            <w:pPr>
              <w:autoSpaceDE w:val="0"/>
              <w:autoSpaceDN w:val="0"/>
              <w:adjustRightInd w:val="0"/>
              <w:snapToGrid w:val="0"/>
              <w:ind w:right="180"/>
              <w:jc w:val="right"/>
              <w:rPr>
                <w:sz w:val="18"/>
                <w:szCs w:val="18"/>
              </w:rPr>
            </w:pPr>
          </w:p>
        </w:tc>
        <w:tc>
          <w:tcPr>
            <w:tcW w:w="253" w:type="pct"/>
            <w:tcBorders>
              <w:left w:val="nil"/>
              <w:right w:val="nil"/>
            </w:tcBorders>
            <w:vAlign w:val="center"/>
          </w:tcPr>
          <w:p w14:paraId="14A1E37F"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.414***</w:t>
            </w:r>
          </w:p>
        </w:tc>
        <w:tc>
          <w:tcPr>
            <w:tcW w:w="252" w:type="pct"/>
            <w:tcBorders>
              <w:left w:val="nil"/>
              <w:right w:val="nil"/>
            </w:tcBorders>
            <w:vAlign w:val="center"/>
          </w:tcPr>
          <w:p w14:paraId="21A133AA"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(.000)</w:t>
            </w:r>
          </w:p>
        </w:tc>
        <w:tc>
          <w:tcPr>
            <w:tcW w:w="252" w:type="pct"/>
            <w:tcBorders>
              <w:top w:val="nil"/>
              <w:left w:val="nil"/>
              <w:bottom w:val="nil"/>
              <w:right w:val="nil"/>
            </w:tcBorders>
            <w:vAlign w:val="center"/>
          </w:tcPr>
          <w:p w14:paraId="4047C0E6" w14:textId="77777777" w:rsidR="008B2853" w:rsidRPr="008A0E33" w:rsidRDefault="008B2853" w:rsidP="0057484E">
            <w:pPr>
              <w:autoSpaceDE w:val="0"/>
              <w:autoSpaceDN w:val="0"/>
              <w:adjustRightInd w:val="0"/>
              <w:snapToGrid w:val="0"/>
              <w:jc w:val="right"/>
              <w:rPr>
                <w:kern w:val="0"/>
                <w:sz w:val="18"/>
                <w:szCs w:val="18"/>
              </w:rPr>
            </w:pPr>
          </w:p>
        </w:tc>
        <w:tc>
          <w:tcPr>
            <w:tcW w:w="252" w:type="pct"/>
            <w:tcBorders>
              <w:top w:val="nil"/>
              <w:left w:val="nil"/>
              <w:bottom w:val="nil"/>
              <w:right w:val="nil"/>
            </w:tcBorders>
            <w:vAlign w:val="center"/>
          </w:tcPr>
          <w:p w14:paraId="1BBFFD9D" w14:textId="77777777" w:rsidR="008B2853" w:rsidRPr="008A0E33" w:rsidRDefault="008B2853" w:rsidP="0057484E">
            <w:pPr>
              <w:autoSpaceDE w:val="0"/>
              <w:autoSpaceDN w:val="0"/>
              <w:adjustRightInd w:val="0"/>
              <w:snapToGrid w:val="0"/>
              <w:jc w:val="both"/>
              <w:rPr>
                <w:kern w:val="0"/>
                <w:sz w:val="18"/>
                <w:szCs w:val="18"/>
              </w:rPr>
            </w:pPr>
          </w:p>
        </w:tc>
        <w:tc>
          <w:tcPr>
            <w:tcW w:w="252" w:type="pct"/>
            <w:tcBorders>
              <w:left w:val="nil"/>
              <w:bottom w:val="nil"/>
              <w:right w:val="nil"/>
            </w:tcBorders>
            <w:vAlign w:val="center"/>
          </w:tcPr>
          <w:p w14:paraId="2F714382" w14:textId="77777777" w:rsidR="008B2853" w:rsidRPr="008A0E33" w:rsidRDefault="008B2853" w:rsidP="0057484E">
            <w:pPr>
              <w:autoSpaceDE w:val="0"/>
              <w:autoSpaceDN w:val="0"/>
              <w:adjustRightInd w:val="0"/>
              <w:snapToGrid w:val="0"/>
              <w:jc w:val="right"/>
              <w:rPr>
                <w:kern w:val="0"/>
                <w:sz w:val="18"/>
                <w:szCs w:val="18"/>
              </w:rPr>
            </w:pPr>
            <w:r w:rsidRPr="008A0E33">
              <w:rPr>
                <w:kern w:val="0"/>
                <w:sz w:val="18"/>
                <w:szCs w:val="18"/>
              </w:rPr>
              <w:t>.442***</w:t>
            </w:r>
          </w:p>
        </w:tc>
        <w:tc>
          <w:tcPr>
            <w:tcW w:w="253" w:type="pct"/>
            <w:tcBorders>
              <w:left w:val="nil"/>
              <w:bottom w:val="nil"/>
              <w:right w:val="nil"/>
            </w:tcBorders>
            <w:vAlign w:val="center"/>
          </w:tcPr>
          <w:p w14:paraId="2737930B" w14:textId="77777777" w:rsidR="008B2853" w:rsidRPr="008A0E33" w:rsidRDefault="008B2853" w:rsidP="0057484E">
            <w:pPr>
              <w:autoSpaceDE w:val="0"/>
              <w:autoSpaceDN w:val="0"/>
              <w:adjustRightInd w:val="0"/>
              <w:snapToGrid w:val="0"/>
              <w:jc w:val="both"/>
              <w:rPr>
                <w:kern w:val="0"/>
                <w:sz w:val="18"/>
                <w:szCs w:val="18"/>
              </w:rPr>
            </w:pPr>
            <w:r w:rsidRPr="008A0E33">
              <w:rPr>
                <w:kern w:val="0"/>
                <w:sz w:val="18"/>
                <w:szCs w:val="18"/>
              </w:rPr>
              <w:t>(.000)</w:t>
            </w:r>
          </w:p>
        </w:tc>
      </w:tr>
      <w:tr w:rsidR="008A0E33" w:rsidRPr="008A0E33" w14:paraId="12494CD8" w14:textId="77777777" w:rsidTr="00B40DF7">
        <w:trPr>
          <w:trHeight w:val="202"/>
        </w:trPr>
        <w:tc>
          <w:tcPr>
            <w:tcW w:w="965" w:type="pct"/>
            <w:tcBorders>
              <w:top w:val="single" w:sz="4" w:space="0" w:color="auto"/>
              <w:bottom w:val="nil"/>
              <w:right w:val="nil"/>
            </w:tcBorders>
            <w:shd w:val="clear" w:color="auto" w:fill="auto"/>
            <w:vAlign w:val="center"/>
          </w:tcPr>
          <w:p w14:paraId="10640BBE" w14:textId="77777777" w:rsidR="008B2853" w:rsidRPr="008A0E33" w:rsidRDefault="008B2853" w:rsidP="0057484E">
            <w:pPr>
              <w:autoSpaceDE w:val="0"/>
              <w:autoSpaceDN w:val="0"/>
              <w:adjustRightInd w:val="0"/>
              <w:jc w:val="center"/>
              <w:rPr>
                <w:rFonts w:eastAsia="標楷體"/>
                <w:b/>
                <w:sz w:val="20"/>
                <w:szCs w:val="20"/>
              </w:rPr>
            </w:pPr>
            <w:r w:rsidRPr="008A0E33">
              <w:rPr>
                <w:sz w:val="20"/>
                <w:szCs w:val="20"/>
              </w:rPr>
              <w:t>Δ</w:t>
            </w:r>
            <w:r w:rsidRPr="008A0E33">
              <w:rPr>
                <w:i/>
                <w:iCs/>
                <w:sz w:val="20"/>
                <w:szCs w:val="20"/>
              </w:rPr>
              <w:t>R</w:t>
            </w:r>
            <w:r w:rsidRPr="008A0E33">
              <w:rPr>
                <w:i/>
                <w:iCs/>
                <w:sz w:val="20"/>
                <w:szCs w:val="20"/>
                <w:vertAlign w:val="superscript"/>
              </w:rPr>
              <w:t>2</w:t>
            </w:r>
          </w:p>
        </w:tc>
        <w:tc>
          <w:tcPr>
            <w:tcW w:w="504" w:type="pct"/>
            <w:gridSpan w:val="2"/>
            <w:tcBorders>
              <w:top w:val="single" w:sz="4" w:space="0" w:color="auto"/>
              <w:left w:val="nil"/>
              <w:bottom w:val="nil"/>
              <w:right w:val="nil"/>
            </w:tcBorders>
            <w:shd w:val="clear" w:color="auto" w:fill="auto"/>
            <w:vAlign w:val="center"/>
          </w:tcPr>
          <w:p w14:paraId="69233C35" w14:textId="7A1203C5" w:rsidR="008B2853" w:rsidRPr="008A0E33" w:rsidRDefault="008B2853" w:rsidP="0057484E">
            <w:pPr>
              <w:autoSpaceDE w:val="0"/>
              <w:autoSpaceDN w:val="0"/>
              <w:adjustRightInd w:val="0"/>
              <w:snapToGrid w:val="0"/>
              <w:jc w:val="center"/>
              <w:rPr>
                <w:sz w:val="18"/>
                <w:szCs w:val="18"/>
              </w:rPr>
            </w:pPr>
            <w:r w:rsidRPr="008A0E33">
              <w:rPr>
                <w:sz w:val="18"/>
                <w:szCs w:val="18"/>
              </w:rPr>
              <w:t>.341***</w:t>
            </w:r>
          </w:p>
        </w:tc>
        <w:tc>
          <w:tcPr>
            <w:tcW w:w="504" w:type="pct"/>
            <w:gridSpan w:val="2"/>
            <w:tcBorders>
              <w:top w:val="single" w:sz="4" w:space="0" w:color="auto"/>
              <w:left w:val="nil"/>
              <w:bottom w:val="nil"/>
              <w:right w:val="nil"/>
            </w:tcBorders>
            <w:vAlign w:val="center"/>
          </w:tcPr>
          <w:p w14:paraId="07C9A256" w14:textId="4FAA3BD4" w:rsidR="008B2853" w:rsidRPr="008A0E33" w:rsidRDefault="008B2853" w:rsidP="0057484E">
            <w:pPr>
              <w:autoSpaceDE w:val="0"/>
              <w:autoSpaceDN w:val="0"/>
              <w:adjustRightInd w:val="0"/>
              <w:snapToGrid w:val="0"/>
              <w:jc w:val="center"/>
              <w:rPr>
                <w:sz w:val="18"/>
                <w:szCs w:val="18"/>
              </w:rPr>
            </w:pPr>
            <w:r w:rsidRPr="008A0E33">
              <w:rPr>
                <w:sz w:val="18"/>
                <w:szCs w:val="18"/>
              </w:rPr>
              <w:t>.</w:t>
            </w:r>
            <w:r w:rsidRPr="008A0E33">
              <w:rPr>
                <w:rFonts w:hint="eastAsia"/>
                <w:sz w:val="18"/>
                <w:szCs w:val="18"/>
              </w:rPr>
              <w:t>135</w:t>
            </w:r>
            <w:r w:rsidRPr="008A0E33">
              <w:rPr>
                <w:sz w:val="18"/>
                <w:szCs w:val="18"/>
              </w:rPr>
              <w:t>*</w:t>
            </w:r>
            <w:r w:rsidRPr="008A0E33">
              <w:rPr>
                <w:rFonts w:hint="eastAsia"/>
                <w:sz w:val="18"/>
                <w:szCs w:val="18"/>
              </w:rPr>
              <w:t>**</w:t>
            </w:r>
          </w:p>
        </w:tc>
        <w:tc>
          <w:tcPr>
            <w:tcW w:w="505" w:type="pct"/>
            <w:gridSpan w:val="2"/>
            <w:tcBorders>
              <w:top w:val="single" w:sz="4" w:space="0" w:color="auto"/>
              <w:left w:val="nil"/>
              <w:bottom w:val="nil"/>
              <w:right w:val="nil"/>
            </w:tcBorders>
            <w:vAlign w:val="center"/>
          </w:tcPr>
          <w:p w14:paraId="5D6571FE" w14:textId="5A719541"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.130***</w:t>
            </w:r>
          </w:p>
        </w:tc>
        <w:tc>
          <w:tcPr>
            <w:tcW w:w="504" w:type="pct"/>
            <w:gridSpan w:val="2"/>
            <w:tcBorders>
              <w:top w:val="single" w:sz="4" w:space="0" w:color="auto"/>
              <w:left w:val="nil"/>
              <w:bottom w:val="nil"/>
              <w:right w:val="nil"/>
            </w:tcBorders>
            <w:vAlign w:val="center"/>
          </w:tcPr>
          <w:p w14:paraId="17D2F252" w14:textId="06E8601F"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w:t>
            </w:r>
            <w:r w:rsidRPr="008A0E33">
              <w:rPr>
                <w:sz w:val="18"/>
                <w:szCs w:val="18"/>
              </w:rPr>
              <w:t>154***</w:t>
            </w:r>
          </w:p>
        </w:tc>
        <w:tc>
          <w:tcPr>
            <w:tcW w:w="504" w:type="pct"/>
            <w:gridSpan w:val="2"/>
            <w:tcBorders>
              <w:top w:val="single" w:sz="4" w:space="0" w:color="auto"/>
              <w:left w:val="nil"/>
              <w:bottom w:val="nil"/>
              <w:right w:val="nil"/>
            </w:tcBorders>
            <w:vAlign w:val="center"/>
          </w:tcPr>
          <w:p w14:paraId="12A6ED7D"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.061**</w:t>
            </w:r>
          </w:p>
        </w:tc>
        <w:tc>
          <w:tcPr>
            <w:tcW w:w="505" w:type="pct"/>
            <w:gridSpan w:val="2"/>
            <w:tcBorders>
              <w:top w:val="single" w:sz="4" w:space="0" w:color="auto"/>
              <w:left w:val="nil"/>
              <w:bottom w:val="nil"/>
              <w:right w:val="nil"/>
            </w:tcBorders>
            <w:vAlign w:val="center"/>
          </w:tcPr>
          <w:p w14:paraId="28F182A5"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.119</w:t>
            </w:r>
            <w:r w:rsidRPr="008A0E33">
              <w:rPr>
                <w:vertAlign w:val="superscript"/>
              </w:rPr>
              <w:t>***</w:t>
            </w:r>
          </w:p>
        </w:tc>
        <w:tc>
          <w:tcPr>
            <w:tcW w:w="504" w:type="pct"/>
            <w:gridSpan w:val="2"/>
            <w:tcBorders>
              <w:top w:val="single" w:sz="4" w:space="0" w:color="auto"/>
              <w:left w:val="nil"/>
              <w:bottom w:val="nil"/>
              <w:right w:val="nil"/>
            </w:tcBorders>
            <w:vAlign w:val="center"/>
          </w:tcPr>
          <w:p w14:paraId="542DAA30"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.022</w:t>
            </w:r>
            <w:r w:rsidRPr="008A0E33">
              <w:rPr>
                <w:vertAlign w:val="superscript"/>
              </w:rPr>
              <w:t>+</w:t>
            </w:r>
          </w:p>
        </w:tc>
        <w:tc>
          <w:tcPr>
            <w:tcW w:w="505" w:type="pct"/>
            <w:gridSpan w:val="2"/>
            <w:tcBorders>
              <w:top w:val="single" w:sz="4" w:space="0" w:color="auto"/>
              <w:left w:val="nil"/>
              <w:bottom w:val="nil"/>
              <w:right w:val="nil"/>
            </w:tcBorders>
            <w:vAlign w:val="center"/>
          </w:tcPr>
          <w:p w14:paraId="76E6E0C1"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.138</w:t>
            </w:r>
            <w:r w:rsidRPr="008A0E33">
              <w:rPr>
                <w:vertAlign w:val="superscript"/>
              </w:rPr>
              <w:t>***</w:t>
            </w:r>
          </w:p>
        </w:tc>
      </w:tr>
      <w:tr w:rsidR="008A0E33" w:rsidRPr="008A0E33" w14:paraId="015B830F" w14:textId="77777777" w:rsidTr="00B40DF7">
        <w:trPr>
          <w:trHeight w:val="332"/>
        </w:trPr>
        <w:tc>
          <w:tcPr>
            <w:tcW w:w="965" w:type="pct"/>
            <w:tcBorders>
              <w:top w:val="nil"/>
              <w:bottom w:val="nil"/>
              <w:right w:val="nil"/>
            </w:tcBorders>
            <w:shd w:val="clear" w:color="auto" w:fill="auto"/>
            <w:vAlign w:val="center"/>
          </w:tcPr>
          <w:p w14:paraId="2115B058" w14:textId="77777777" w:rsidR="008B2853" w:rsidRPr="008A0E33" w:rsidRDefault="008B2853" w:rsidP="0057484E">
            <w:pPr>
              <w:autoSpaceDE w:val="0"/>
              <w:autoSpaceDN w:val="0"/>
              <w:adjustRightInd w:val="0"/>
              <w:jc w:val="center"/>
              <w:rPr>
                <w:rFonts w:eastAsia="標楷體"/>
                <w:b/>
                <w:sz w:val="20"/>
                <w:szCs w:val="20"/>
              </w:rPr>
            </w:pPr>
            <w:r w:rsidRPr="008A0E33">
              <w:rPr>
                <w:i/>
                <w:iCs/>
                <w:sz w:val="20"/>
                <w:szCs w:val="20"/>
              </w:rPr>
              <w:t>R</w:t>
            </w:r>
            <w:r w:rsidRPr="008A0E33">
              <w:rPr>
                <w:i/>
                <w:iCs/>
                <w:sz w:val="20"/>
                <w:szCs w:val="20"/>
                <w:vertAlign w:val="superscript"/>
              </w:rPr>
              <w:t>2</w:t>
            </w:r>
          </w:p>
        </w:tc>
        <w:tc>
          <w:tcPr>
            <w:tcW w:w="504" w:type="pct"/>
            <w:gridSpan w:val="2"/>
            <w:tcBorders>
              <w:top w:val="nil"/>
              <w:left w:val="nil"/>
              <w:bottom w:val="nil"/>
              <w:right w:val="nil"/>
            </w:tcBorders>
            <w:shd w:val="clear" w:color="auto" w:fill="auto"/>
            <w:vAlign w:val="center"/>
          </w:tcPr>
          <w:p w14:paraId="581AEA72" w14:textId="20279068" w:rsidR="008B2853" w:rsidRPr="008A0E33" w:rsidRDefault="008B2853" w:rsidP="0057484E">
            <w:pPr>
              <w:autoSpaceDE w:val="0"/>
              <w:autoSpaceDN w:val="0"/>
              <w:adjustRightInd w:val="0"/>
              <w:snapToGrid w:val="0"/>
              <w:jc w:val="center"/>
              <w:rPr>
                <w:sz w:val="18"/>
                <w:szCs w:val="18"/>
              </w:rPr>
            </w:pPr>
            <w:r w:rsidRPr="008A0E33">
              <w:rPr>
                <w:sz w:val="18"/>
                <w:szCs w:val="18"/>
              </w:rPr>
              <w:t>.725</w:t>
            </w:r>
          </w:p>
        </w:tc>
        <w:tc>
          <w:tcPr>
            <w:tcW w:w="504" w:type="pct"/>
            <w:gridSpan w:val="2"/>
            <w:tcBorders>
              <w:top w:val="nil"/>
              <w:left w:val="nil"/>
              <w:bottom w:val="nil"/>
              <w:right w:val="nil"/>
            </w:tcBorders>
            <w:vAlign w:val="center"/>
          </w:tcPr>
          <w:p w14:paraId="1BA10663" w14:textId="50C60BD5" w:rsidR="008B2853" w:rsidRPr="008A0E33" w:rsidRDefault="008B2853" w:rsidP="0057484E">
            <w:pPr>
              <w:autoSpaceDE w:val="0"/>
              <w:autoSpaceDN w:val="0"/>
              <w:adjustRightInd w:val="0"/>
              <w:snapToGrid w:val="0"/>
              <w:jc w:val="center"/>
              <w:rPr>
                <w:sz w:val="18"/>
                <w:szCs w:val="18"/>
              </w:rPr>
            </w:pPr>
            <w:r w:rsidRPr="008A0E33">
              <w:rPr>
                <w:sz w:val="18"/>
                <w:szCs w:val="18"/>
              </w:rPr>
              <w:t>.</w:t>
            </w:r>
            <w:r w:rsidRPr="008A0E33">
              <w:rPr>
                <w:rFonts w:hint="eastAsia"/>
                <w:sz w:val="18"/>
                <w:szCs w:val="18"/>
              </w:rPr>
              <w:t>417</w:t>
            </w:r>
          </w:p>
        </w:tc>
        <w:tc>
          <w:tcPr>
            <w:tcW w:w="505" w:type="pct"/>
            <w:gridSpan w:val="2"/>
            <w:tcBorders>
              <w:top w:val="nil"/>
              <w:left w:val="nil"/>
              <w:bottom w:val="nil"/>
              <w:right w:val="nil"/>
            </w:tcBorders>
            <w:vAlign w:val="center"/>
          </w:tcPr>
          <w:p w14:paraId="0B7EB7D2" w14:textId="5277D693"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.411</w:t>
            </w:r>
          </w:p>
        </w:tc>
        <w:tc>
          <w:tcPr>
            <w:tcW w:w="504" w:type="pct"/>
            <w:gridSpan w:val="2"/>
            <w:tcBorders>
              <w:top w:val="nil"/>
              <w:left w:val="nil"/>
              <w:bottom w:val="nil"/>
              <w:right w:val="nil"/>
            </w:tcBorders>
            <w:vAlign w:val="center"/>
          </w:tcPr>
          <w:p w14:paraId="175E9B14" w14:textId="275454B5"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.436</w:t>
            </w:r>
          </w:p>
        </w:tc>
        <w:tc>
          <w:tcPr>
            <w:tcW w:w="504" w:type="pct"/>
            <w:gridSpan w:val="2"/>
            <w:tcBorders>
              <w:top w:val="nil"/>
              <w:left w:val="nil"/>
              <w:bottom w:val="nil"/>
              <w:right w:val="nil"/>
            </w:tcBorders>
            <w:vAlign w:val="center"/>
          </w:tcPr>
          <w:p w14:paraId="2370130D"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.342</w:t>
            </w:r>
          </w:p>
        </w:tc>
        <w:tc>
          <w:tcPr>
            <w:tcW w:w="505" w:type="pct"/>
            <w:gridSpan w:val="2"/>
            <w:tcBorders>
              <w:top w:val="nil"/>
              <w:left w:val="nil"/>
              <w:bottom w:val="nil"/>
              <w:right w:val="nil"/>
            </w:tcBorders>
            <w:vAlign w:val="center"/>
          </w:tcPr>
          <w:p w14:paraId="1D97A9D3"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.461</w:t>
            </w:r>
          </w:p>
        </w:tc>
        <w:tc>
          <w:tcPr>
            <w:tcW w:w="504" w:type="pct"/>
            <w:gridSpan w:val="2"/>
            <w:tcBorders>
              <w:top w:val="nil"/>
              <w:left w:val="nil"/>
              <w:bottom w:val="nil"/>
              <w:right w:val="nil"/>
            </w:tcBorders>
            <w:vAlign w:val="center"/>
          </w:tcPr>
          <w:p w14:paraId="5E5ABDCC"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.303</w:t>
            </w:r>
          </w:p>
        </w:tc>
        <w:tc>
          <w:tcPr>
            <w:tcW w:w="505" w:type="pct"/>
            <w:gridSpan w:val="2"/>
            <w:tcBorders>
              <w:top w:val="nil"/>
              <w:left w:val="nil"/>
              <w:bottom w:val="nil"/>
              <w:right w:val="nil"/>
            </w:tcBorders>
            <w:vAlign w:val="center"/>
          </w:tcPr>
          <w:p w14:paraId="5A301326"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.441</w:t>
            </w:r>
          </w:p>
        </w:tc>
      </w:tr>
      <w:tr w:rsidR="008A0E33" w:rsidRPr="008A0E33" w14:paraId="37325E61" w14:textId="77777777" w:rsidTr="00B40DF7">
        <w:trPr>
          <w:trHeight w:val="332"/>
        </w:trPr>
        <w:tc>
          <w:tcPr>
            <w:tcW w:w="965" w:type="pct"/>
            <w:tcBorders>
              <w:top w:val="nil"/>
              <w:bottom w:val="nil"/>
              <w:right w:val="nil"/>
            </w:tcBorders>
            <w:shd w:val="clear" w:color="auto" w:fill="auto"/>
            <w:vAlign w:val="center"/>
          </w:tcPr>
          <w:p w14:paraId="2EBF794B" w14:textId="77777777" w:rsidR="008B2853" w:rsidRPr="008A0E33" w:rsidRDefault="008B2853" w:rsidP="0057484E">
            <w:pPr>
              <w:autoSpaceDE w:val="0"/>
              <w:autoSpaceDN w:val="0"/>
              <w:adjustRightInd w:val="0"/>
              <w:jc w:val="center"/>
              <w:rPr>
                <w:rFonts w:eastAsia="標楷體"/>
                <w:b/>
                <w:sz w:val="20"/>
                <w:szCs w:val="20"/>
              </w:rPr>
            </w:pPr>
            <w:r w:rsidRPr="008A0E33">
              <w:rPr>
                <w:sz w:val="20"/>
                <w:szCs w:val="20"/>
              </w:rPr>
              <w:t xml:space="preserve">Adjusted </w:t>
            </w:r>
            <w:r w:rsidRPr="008A0E33">
              <w:rPr>
                <w:i/>
                <w:iCs/>
                <w:sz w:val="20"/>
                <w:szCs w:val="20"/>
              </w:rPr>
              <w:t>R</w:t>
            </w:r>
            <w:r w:rsidRPr="008A0E33">
              <w:rPr>
                <w:i/>
                <w:iCs/>
                <w:sz w:val="20"/>
                <w:szCs w:val="20"/>
                <w:vertAlign w:val="superscript"/>
              </w:rPr>
              <w:t>2</w:t>
            </w:r>
          </w:p>
        </w:tc>
        <w:tc>
          <w:tcPr>
            <w:tcW w:w="504" w:type="pct"/>
            <w:gridSpan w:val="2"/>
            <w:tcBorders>
              <w:top w:val="nil"/>
              <w:left w:val="nil"/>
              <w:bottom w:val="nil"/>
              <w:right w:val="nil"/>
            </w:tcBorders>
            <w:shd w:val="clear" w:color="auto" w:fill="auto"/>
            <w:vAlign w:val="center"/>
          </w:tcPr>
          <w:p w14:paraId="029CF77C" w14:textId="28DBB8BB" w:rsidR="008B2853" w:rsidRPr="008A0E33" w:rsidRDefault="008B2853" w:rsidP="0057484E">
            <w:pPr>
              <w:autoSpaceDE w:val="0"/>
              <w:autoSpaceDN w:val="0"/>
              <w:adjustRightInd w:val="0"/>
              <w:snapToGrid w:val="0"/>
              <w:jc w:val="center"/>
              <w:rPr>
                <w:sz w:val="18"/>
                <w:szCs w:val="18"/>
              </w:rPr>
            </w:pPr>
            <w:r w:rsidRPr="008A0E33">
              <w:rPr>
                <w:sz w:val="18"/>
                <w:szCs w:val="18"/>
              </w:rPr>
              <w:t>.707</w:t>
            </w:r>
          </w:p>
        </w:tc>
        <w:tc>
          <w:tcPr>
            <w:tcW w:w="504" w:type="pct"/>
            <w:gridSpan w:val="2"/>
            <w:tcBorders>
              <w:top w:val="nil"/>
              <w:left w:val="nil"/>
              <w:bottom w:val="nil"/>
              <w:right w:val="nil"/>
            </w:tcBorders>
            <w:vAlign w:val="center"/>
          </w:tcPr>
          <w:p w14:paraId="5ACF08BB" w14:textId="58C0BFB9" w:rsidR="008B2853" w:rsidRPr="008A0E33" w:rsidRDefault="008B2853" w:rsidP="0057484E">
            <w:pPr>
              <w:autoSpaceDE w:val="0"/>
              <w:autoSpaceDN w:val="0"/>
              <w:adjustRightInd w:val="0"/>
              <w:snapToGrid w:val="0"/>
              <w:jc w:val="center"/>
              <w:rPr>
                <w:sz w:val="18"/>
                <w:szCs w:val="18"/>
              </w:rPr>
            </w:pPr>
            <w:r w:rsidRPr="008A0E33">
              <w:rPr>
                <w:sz w:val="18"/>
                <w:szCs w:val="18"/>
              </w:rPr>
              <w:t>.</w:t>
            </w:r>
            <w:r w:rsidRPr="008A0E33">
              <w:rPr>
                <w:rFonts w:hint="eastAsia"/>
                <w:sz w:val="18"/>
                <w:szCs w:val="18"/>
              </w:rPr>
              <w:t>379</w:t>
            </w:r>
          </w:p>
        </w:tc>
        <w:tc>
          <w:tcPr>
            <w:tcW w:w="505" w:type="pct"/>
            <w:gridSpan w:val="2"/>
            <w:tcBorders>
              <w:top w:val="nil"/>
              <w:left w:val="nil"/>
              <w:bottom w:val="nil"/>
              <w:right w:val="nil"/>
            </w:tcBorders>
            <w:vAlign w:val="center"/>
          </w:tcPr>
          <w:p w14:paraId="538EC45D" w14:textId="5A6F97D2"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.373</w:t>
            </w:r>
          </w:p>
        </w:tc>
        <w:tc>
          <w:tcPr>
            <w:tcW w:w="504" w:type="pct"/>
            <w:gridSpan w:val="2"/>
            <w:tcBorders>
              <w:top w:val="nil"/>
              <w:left w:val="nil"/>
              <w:bottom w:val="nil"/>
              <w:right w:val="nil"/>
            </w:tcBorders>
            <w:vAlign w:val="center"/>
          </w:tcPr>
          <w:p w14:paraId="27101574" w14:textId="02D227C9"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.399</w:t>
            </w:r>
          </w:p>
        </w:tc>
        <w:tc>
          <w:tcPr>
            <w:tcW w:w="504" w:type="pct"/>
            <w:gridSpan w:val="2"/>
            <w:tcBorders>
              <w:top w:val="nil"/>
              <w:left w:val="nil"/>
              <w:bottom w:val="nil"/>
              <w:right w:val="nil"/>
            </w:tcBorders>
            <w:vAlign w:val="center"/>
          </w:tcPr>
          <w:p w14:paraId="2F13CBAC"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.299</w:t>
            </w:r>
          </w:p>
        </w:tc>
        <w:tc>
          <w:tcPr>
            <w:tcW w:w="505" w:type="pct"/>
            <w:gridSpan w:val="2"/>
            <w:tcBorders>
              <w:top w:val="nil"/>
              <w:left w:val="nil"/>
              <w:bottom w:val="nil"/>
              <w:right w:val="nil"/>
            </w:tcBorders>
            <w:vAlign w:val="center"/>
          </w:tcPr>
          <w:p w14:paraId="257958BB"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.420</w:t>
            </w:r>
          </w:p>
        </w:tc>
        <w:tc>
          <w:tcPr>
            <w:tcW w:w="504" w:type="pct"/>
            <w:gridSpan w:val="2"/>
            <w:tcBorders>
              <w:top w:val="nil"/>
              <w:left w:val="nil"/>
              <w:bottom w:val="nil"/>
              <w:right w:val="nil"/>
            </w:tcBorders>
            <w:vAlign w:val="center"/>
          </w:tcPr>
          <w:p w14:paraId="3B4DD035"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.258</w:t>
            </w:r>
          </w:p>
        </w:tc>
        <w:tc>
          <w:tcPr>
            <w:tcW w:w="505" w:type="pct"/>
            <w:gridSpan w:val="2"/>
            <w:tcBorders>
              <w:top w:val="nil"/>
              <w:left w:val="nil"/>
              <w:bottom w:val="nil"/>
              <w:right w:val="nil"/>
            </w:tcBorders>
            <w:vAlign w:val="center"/>
          </w:tcPr>
          <w:p w14:paraId="333945AA"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.398</w:t>
            </w:r>
          </w:p>
        </w:tc>
      </w:tr>
      <w:tr w:rsidR="008A0E33" w:rsidRPr="008A0E33" w14:paraId="39FDED15" w14:textId="77777777" w:rsidTr="00B40DF7">
        <w:trPr>
          <w:trHeight w:val="332"/>
        </w:trPr>
        <w:tc>
          <w:tcPr>
            <w:tcW w:w="965" w:type="pct"/>
            <w:tcBorders>
              <w:top w:val="nil"/>
              <w:bottom w:val="single" w:sz="12" w:space="0" w:color="auto"/>
              <w:right w:val="nil"/>
            </w:tcBorders>
            <w:shd w:val="clear" w:color="auto" w:fill="auto"/>
            <w:vAlign w:val="center"/>
          </w:tcPr>
          <w:p w14:paraId="225B7DFD" w14:textId="77777777" w:rsidR="008B2853" w:rsidRPr="008A0E33" w:rsidRDefault="008B2853" w:rsidP="0057484E">
            <w:pPr>
              <w:autoSpaceDE w:val="0"/>
              <w:autoSpaceDN w:val="0"/>
              <w:adjustRightInd w:val="0"/>
              <w:jc w:val="center"/>
              <w:rPr>
                <w:rFonts w:eastAsia="標楷體"/>
                <w:b/>
                <w:sz w:val="20"/>
                <w:szCs w:val="20"/>
              </w:rPr>
            </w:pPr>
            <w:r w:rsidRPr="008A0E33">
              <w:rPr>
                <w:iCs/>
                <w:sz w:val="20"/>
                <w:szCs w:val="20"/>
              </w:rPr>
              <w:t>ANOVA F</w:t>
            </w:r>
          </w:p>
        </w:tc>
        <w:tc>
          <w:tcPr>
            <w:tcW w:w="504" w:type="pct"/>
            <w:gridSpan w:val="2"/>
            <w:tcBorders>
              <w:top w:val="nil"/>
              <w:left w:val="nil"/>
              <w:bottom w:val="single" w:sz="12" w:space="0" w:color="auto"/>
              <w:right w:val="nil"/>
            </w:tcBorders>
            <w:shd w:val="clear" w:color="auto" w:fill="auto"/>
            <w:vAlign w:val="center"/>
          </w:tcPr>
          <w:p w14:paraId="2AFD2914" w14:textId="104A9456" w:rsidR="008B2853" w:rsidRPr="008A0E33" w:rsidRDefault="008B2853" w:rsidP="0057484E">
            <w:pPr>
              <w:autoSpaceDE w:val="0"/>
              <w:autoSpaceDN w:val="0"/>
              <w:adjustRightInd w:val="0"/>
              <w:snapToGrid w:val="0"/>
              <w:jc w:val="center"/>
              <w:rPr>
                <w:sz w:val="18"/>
                <w:szCs w:val="18"/>
              </w:rPr>
            </w:pPr>
            <w:r w:rsidRPr="008A0E33">
              <w:rPr>
                <w:sz w:val="18"/>
                <w:szCs w:val="18"/>
              </w:rPr>
              <w:t>40.358***</w:t>
            </w:r>
          </w:p>
        </w:tc>
        <w:tc>
          <w:tcPr>
            <w:tcW w:w="504" w:type="pct"/>
            <w:gridSpan w:val="2"/>
            <w:tcBorders>
              <w:top w:val="nil"/>
              <w:left w:val="nil"/>
              <w:bottom w:val="single" w:sz="12" w:space="0" w:color="auto"/>
              <w:right w:val="nil"/>
            </w:tcBorders>
            <w:vAlign w:val="center"/>
          </w:tcPr>
          <w:p w14:paraId="4D1DB9C2" w14:textId="7587F1C6"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10.959</w:t>
            </w:r>
            <w:r w:rsidRPr="008A0E33">
              <w:rPr>
                <w:rFonts w:hint="eastAsia"/>
                <w:vertAlign w:val="superscript"/>
              </w:rPr>
              <w:t>***</w:t>
            </w:r>
          </w:p>
        </w:tc>
        <w:tc>
          <w:tcPr>
            <w:tcW w:w="505" w:type="pct"/>
            <w:gridSpan w:val="2"/>
            <w:tcBorders>
              <w:top w:val="nil"/>
              <w:left w:val="nil"/>
              <w:bottom w:val="single" w:sz="12" w:space="0" w:color="auto"/>
              <w:right w:val="nil"/>
            </w:tcBorders>
            <w:vAlign w:val="center"/>
          </w:tcPr>
          <w:p w14:paraId="086C2AFC" w14:textId="06204C01"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10.711***</w:t>
            </w:r>
          </w:p>
        </w:tc>
        <w:tc>
          <w:tcPr>
            <w:tcW w:w="504" w:type="pct"/>
            <w:gridSpan w:val="2"/>
            <w:tcBorders>
              <w:top w:val="nil"/>
              <w:left w:val="nil"/>
              <w:bottom w:val="single" w:sz="12" w:space="0" w:color="auto"/>
              <w:right w:val="nil"/>
            </w:tcBorders>
            <w:vAlign w:val="center"/>
          </w:tcPr>
          <w:p w14:paraId="38B9C16A" w14:textId="01F9041D" w:rsidR="008B2853" w:rsidRPr="008A0E33" w:rsidRDefault="008B2853" w:rsidP="0057484E">
            <w:pPr>
              <w:autoSpaceDE w:val="0"/>
              <w:autoSpaceDN w:val="0"/>
              <w:adjustRightInd w:val="0"/>
              <w:snapToGrid w:val="0"/>
              <w:jc w:val="center"/>
              <w:rPr>
                <w:sz w:val="18"/>
                <w:szCs w:val="18"/>
              </w:rPr>
            </w:pPr>
            <w:r w:rsidRPr="008A0E33">
              <w:rPr>
                <w:rFonts w:hint="eastAsia"/>
                <w:sz w:val="18"/>
                <w:szCs w:val="18"/>
              </w:rPr>
              <w:t>11.836***</w:t>
            </w:r>
          </w:p>
        </w:tc>
        <w:tc>
          <w:tcPr>
            <w:tcW w:w="504" w:type="pct"/>
            <w:gridSpan w:val="2"/>
            <w:tcBorders>
              <w:top w:val="nil"/>
              <w:left w:val="nil"/>
              <w:bottom w:val="single" w:sz="12" w:space="0" w:color="auto"/>
              <w:right w:val="nil"/>
            </w:tcBorders>
            <w:vAlign w:val="center"/>
          </w:tcPr>
          <w:p w14:paraId="493DDE5E"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7.982***</w:t>
            </w:r>
          </w:p>
        </w:tc>
        <w:tc>
          <w:tcPr>
            <w:tcW w:w="505" w:type="pct"/>
            <w:gridSpan w:val="2"/>
            <w:tcBorders>
              <w:top w:val="nil"/>
              <w:left w:val="nil"/>
              <w:bottom w:val="single" w:sz="12" w:space="0" w:color="auto"/>
              <w:right w:val="nil"/>
            </w:tcBorders>
            <w:vAlign w:val="center"/>
          </w:tcPr>
          <w:p w14:paraId="65889456"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11.123***</w:t>
            </w:r>
          </w:p>
        </w:tc>
        <w:tc>
          <w:tcPr>
            <w:tcW w:w="504" w:type="pct"/>
            <w:gridSpan w:val="2"/>
            <w:tcBorders>
              <w:top w:val="nil"/>
              <w:left w:val="nil"/>
              <w:bottom w:val="single" w:sz="12" w:space="0" w:color="auto"/>
              <w:right w:val="nil"/>
            </w:tcBorders>
            <w:vAlign w:val="center"/>
          </w:tcPr>
          <w:p w14:paraId="43AF9F6D"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6.674***</w:t>
            </w:r>
          </w:p>
        </w:tc>
        <w:tc>
          <w:tcPr>
            <w:tcW w:w="505" w:type="pct"/>
            <w:gridSpan w:val="2"/>
            <w:tcBorders>
              <w:top w:val="nil"/>
              <w:left w:val="nil"/>
              <w:bottom w:val="single" w:sz="12" w:space="0" w:color="auto"/>
              <w:right w:val="nil"/>
            </w:tcBorders>
            <w:vAlign w:val="center"/>
          </w:tcPr>
          <w:p w14:paraId="4383FFED" w14:textId="77777777" w:rsidR="008B2853" w:rsidRPr="008A0E33" w:rsidRDefault="008B2853" w:rsidP="0057484E">
            <w:pPr>
              <w:autoSpaceDE w:val="0"/>
              <w:autoSpaceDN w:val="0"/>
              <w:adjustRightInd w:val="0"/>
              <w:snapToGrid w:val="0"/>
              <w:jc w:val="center"/>
              <w:rPr>
                <w:sz w:val="18"/>
                <w:szCs w:val="18"/>
              </w:rPr>
            </w:pPr>
            <w:r w:rsidRPr="008A0E33">
              <w:rPr>
                <w:sz w:val="18"/>
                <w:szCs w:val="18"/>
              </w:rPr>
              <w:t>10.252***</w:t>
            </w:r>
          </w:p>
        </w:tc>
      </w:tr>
    </w:tbl>
    <w:p w14:paraId="5D7D0B21" w14:textId="77777777" w:rsidR="000A27DC" w:rsidRPr="008A0E33" w:rsidRDefault="000A27DC" w:rsidP="0057484E">
      <w:pPr>
        <w:snapToGrid w:val="0"/>
        <w:ind w:right="-694"/>
        <w:rPr>
          <w:sz w:val="18"/>
          <w:szCs w:val="18"/>
        </w:rPr>
      </w:pPr>
      <w:proofErr w:type="spellStart"/>
      <w:proofErr w:type="gramStart"/>
      <w:r w:rsidRPr="008A0E33">
        <w:rPr>
          <w:sz w:val="18"/>
          <w:szCs w:val="18"/>
          <w:vertAlign w:val="superscript"/>
        </w:rPr>
        <w:t>a</w:t>
      </w:r>
      <w:proofErr w:type="spellEnd"/>
      <w:proofErr w:type="gramEnd"/>
      <w:r w:rsidRPr="008A0E33">
        <w:rPr>
          <w:sz w:val="18"/>
          <w:szCs w:val="18"/>
        </w:rPr>
        <w:t xml:space="preserve"> For all models, N = 99. Standardized coefficients are shown. </w:t>
      </w:r>
    </w:p>
    <w:p w14:paraId="2120DC4A" w14:textId="77777777" w:rsidR="000A27DC" w:rsidRPr="008A0E33" w:rsidRDefault="000A27DC" w:rsidP="0057484E">
      <w:pPr>
        <w:autoSpaceDE w:val="0"/>
        <w:autoSpaceDN w:val="0"/>
        <w:adjustRightInd w:val="0"/>
        <w:snapToGrid w:val="0"/>
        <w:jc w:val="both"/>
      </w:pPr>
      <w:r w:rsidRPr="008A0E33">
        <w:rPr>
          <w:rFonts w:hint="eastAsia"/>
          <w:sz w:val="18"/>
          <w:szCs w:val="18"/>
          <w:vertAlign w:val="superscript"/>
        </w:rPr>
        <w:t xml:space="preserve">+ </w:t>
      </w:r>
      <w:proofErr w:type="gramStart"/>
      <w:r w:rsidRPr="008A0E33">
        <w:rPr>
          <w:i/>
          <w:iCs/>
          <w:sz w:val="18"/>
          <w:szCs w:val="18"/>
        </w:rPr>
        <w:t>p</w:t>
      </w:r>
      <w:proofErr w:type="gramEnd"/>
      <w:r w:rsidRPr="008A0E33">
        <w:rPr>
          <w:sz w:val="18"/>
          <w:szCs w:val="18"/>
        </w:rPr>
        <w:t xml:space="preserve"> ≤ .</w:t>
      </w:r>
      <w:r w:rsidRPr="008A0E33">
        <w:rPr>
          <w:rFonts w:hint="eastAsia"/>
          <w:sz w:val="18"/>
          <w:szCs w:val="18"/>
        </w:rPr>
        <w:t>1</w:t>
      </w:r>
      <w:r w:rsidRPr="008A0E33">
        <w:rPr>
          <w:sz w:val="18"/>
          <w:szCs w:val="18"/>
        </w:rPr>
        <w:t xml:space="preserve">;* </w:t>
      </w:r>
      <w:r w:rsidRPr="008A0E33">
        <w:rPr>
          <w:i/>
          <w:iCs/>
          <w:sz w:val="18"/>
          <w:szCs w:val="18"/>
        </w:rPr>
        <w:t>p</w:t>
      </w:r>
      <w:r w:rsidRPr="008A0E33">
        <w:rPr>
          <w:sz w:val="18"/>
          <w:szCs w:val="18"/>
        </w:rPr>
        <w:t xml:space="preserve"> ≤ .05; **</w:t>
      </w:r>
      <w:r w:rsidRPr="008A0E33">
        <w:rPr>
          <w:i/>
          <w:iCs/>
          <w:sz w:val="18"/>
          <w:szCs w:val="18"/>
        </w:rPr>
        <w:t xml:space="preserve"> p</w:t>
      </w:r>
      <w:r w:rsidRPr="008A0E33">
        <w:rPr>
          <w:sz w:val="18"/>
          <w:szCs w:val="18"/>
        </w:rPr>
        <w:t xml:space="preserve"> ≤ .01; ***</w:t>
      </w:r>
      <w:r w:rsidRPr="008A0E33">
        <w:rPr>
          <w:i/>
          <w:iCs/>
          <w:sz w:val="18"/>
          <w:szCs w:val="18"/>
        </w:rPr>
        <w:t xml:space="preserve"> p</w:t>
      </w:r>
      <w:r w:rsidRPr="008A0E33">
        <w:rPr>
          <w:sz w:val="18"/>
          <w:szCs w:val="18"/>
        </w:rPr>
        <w:t xml:space="preserve"> ≤ .00</w:t>
      </w:r>
      <w:r w:rsidRPr="008A0E33">
        <w:rPr>
          <w:rFonts w:hint="eastAsia"/>
          <w:sz w:val="18"/>
          <w:szCs w:val="18"/>
        </w:rPr>
        <w:t>1</w:t>
      </w:r>
    </w:p>
    <w:p w14:paraId="04AFBA8F" w14:textId="77777777" w:rsidR="000A27DC" w:rsidRPr="008A0E33" w:rsidRDefault="000A27DC" w:rsidP="0057484E">
      <w:pPr>
        <w:widowControl/>
        <w:rPr>
          <w:rFonts w:ascii="Times" w:hAnsi="Times" w:cs="Times New Roman"/>
          <w:kern w:val="0"/>
          <w:sz w:val="20"/>
          <w:szCs w:val="20"/>
        </w:rPr>
        <w:sectPr w:rsidR="000A27DC" w:rsidRPr="008A0E33" w:rsidSect="004D52F7">
          <w:pgSz w:w="16840" w:h="11900" w:orient="landscape"/>
          <w:pgMar w:top="1797" w:right="1440" w:bottom="1797" w:left="1440" w:header="851" w:footer="992" w:gutter="0"/>
          <w:cols w:space="425"/>
          <w:docGrid w:type="linesAndChars" w:linePitch="400"/>
        </w:sectPr>
      </w:pPr>
    </w:p>
    <w:tbl>
      <w:tblPr>
        <w:tblpPr w:leftFromText="180" w:rightFromText="180" w:vertAnchor="page" w:horzAnchor="margin" w:tblpXSpec="center" w:tblpY="1860"/>
        <w:tblW w:w="9498" w:type="dxa"/>
        <w:tblBorders>
          <w:top w:val="single" w:sz="12" w:space="0" w:color="auto"/>
          <w:bottom w:val="single" w:sz="12" w:space="0" w:color="auto"/>
        </w:tblBorders>
        <w:tblLook w:val="04A0" w:firstRow="1" w:lastRow="0" w:firstColumn="1" w:lastColumn="0" w:noHBand="0" w:noVBand="1"/>
      </w:tblPr>
      <w:tblGrid>
        <w:gridCol w:w="6707"/>
        <w:gridCol w:w="2028"/>
        <w:gridCol w:w="763"/>
      </w:tblGrid>
      <w:tr w:rsidR="008A0E33" w:rsidRPr="008A0E33" w14:paraId="0A9936C1" w14:textId="77777777" w:rsidTr="00B40DF7">
        <w:trPr>
          <w:trHeight w:val="229"/>
        </w:trPr>
        <w:tc>
          <w:tcPr>
            <w:tcW w:w="6707" w:type="dxa"/>
            <w:tcBorders>
              <w:top w:val="single" w:sz="12" w:space="0" w:color="auto"/>
              <w:bottom w:val="single" w:sz="4" w:space="0" w:color="auto"/>
            </w:tcBorders>
            <w:shd w:val="clear" w:color="auto" w:fill="auto"/>
          </w:tcPr>
          <w:p w14:paraId="6494B1D9" w14:textId="77777777" w:rsidR="000A27DC" w:rsidRPr="008A0E33" w:rsidRDefault="000A27DC" w:rsidP="0057484E">
            <w:pPr>
              <w:tabs>
                <w:tab w:val="left" w:pos="986"/>
                <w:tab w:val="right" w:pos="9282"/>
              </w:tabs>
              <w:adjustRightInd w:val="0"/>
              <w:snapToGrid w:val="0"/>
              <w:rPr>
                <w:rFonts w:eastAsia="標楷體"/>
                <w:b/>
                <w:sz w:val="20"/>
                <w:szCs w:val="20"/>
              </w:rPr>
            </w:pPr>
            <w:r w:rsidRPr="008A0E33">
              <w:rPr>
                <w:rFonts w:eastAsia="標楷體"/>
                <w:sz w:val="22"/>
              </w:rPr>
              <w:lastRenderedPageBreak/>
              <w:tab/>
            </w:r>
            <w:r w:rsidRPr="008A0E33">
              <w:rPr>
                <w:rFonts w:eastAsia="標楷體" w:hint="eastAsia"/>
                <w:b/>
                <w:sz w:val="20"/>
                <w:szCs w:val="20"/>
              </w:rPr>
              <w:t>Variables and items</w:t>
            </w:r>
            <w:r w:rsidRPr="008A0E33">
              <w:rPr>
                <w:rFonts w:eastAsia="標楷體"/>
                <w:b/>
                <w:sz w:val="20"/>
                <w:szCs w:val="20"/>
              </w:rPr>
              <w:tab/>
            </w:r>
          </w:p>
        </w:tc>
        <w:tc>
          <w:tcPr>
            <w:tcW w:w="2791" w:type="dxa"/>
            <w:gridSpan w:val="2"/>
            <w:tcBorders>
              <w:top w:val="single" w:sz="12" w:space="0" w:color="auto"/>
              <w:bottom w:val="single" w:sz="4" w:space="0" w:color="auto"/>
            </w:tcBorders>
            <w:shd w:val="clear" w:color="auto" w:fill="auto"/>
          </w:tcPr>
          <w:p w14:paraId="3777D0FC" w14:textId="77777777" w:rsidR="000A27DC" w:rsidRPr="008A0E33" w:rsidRDefault="000A27DC" w:rsidP="0057484E">
            <w:pPr>
              <w:tabs>
                <w:tab w:val="left" w:pos="986"/>
                <w:tab w:val="right" w:pos="9282"/>
              </w:tabs>
              <w:adjustRightInd w:val="0"/>
              <w:snapToGrid w:val="0"/>
              <w:rPr>
                <w:rFonts w:eastAsia="標楷體"/>
                <w:b/>
                <w:sz w:val="20"/>
                <w:szCs w:val="20"/>
              </w:rPr>
            </w:pPr>
            <w:r w:rsidRPr="008A0E33">
              <w:rPr>
                <w:rFonts w:eastAsia="標楷體"/>
                <w:b/>
                <w:sz w:val="20"/>
                <w:szCs w:val="20"/>
              </w:rPr>
              <w:t xml:space="preserve">           </w:t>
            </w:r>
            <w:r w:rsidRPr="008A0E33">
              <w:rPr>
                <w:rFonts w:eastAsia="標楷體" w:hint="eastAsia"/>
                <w:b/>
                <w:sz w:val="20"/>
                <w:szCs w:val="20"/>
              </w:rPr>
              <w:t>Factor loading</w:t>
            </w:r>
          </w:p>
        </w:tc>
      </w:tr>
      <w:tr w:rsidR="008A0E33" w:rsidRPr="008A0E33" w14:paraId="62D9FAEF" w14:textId="77777777" w:rsidTr="00B40DF7">
        <w:trPr>
          <w:trHeight w:val="283"/>
        </w:trPr>
        <w:tc>
          <w:tcPr>
            <w:tcW w:w="9498" w:type="dxa"/>
            <w:gridSpan w:val="3"/>
            <w:shd w:val="clear" w:color="auto" w:fill="auto"/>
          </w:tcPr>
          <w:p w14:paraId="32D65079" w14:textId="6949BB19" w:rsidR="000A27DC" w:rsidRPr="008A0E33" w:rsidRDefault="00B31CE4" w:rsidP="0057484E">
            <w:pPr>
              <w:tabs>
                <w:tab w:val="left" w:pos="9781"/>
              </w:tabs>
              <w:adjustRightInd w:val="0"/>
              <w:snapToGrid w:val="0"/>
              <w:rPr>
                <w:rFonts w:eastAsia="標楷體"/>
                <w:i/>
                <w:sz w:val="20"/>
                <w:szCs w:val="20"/>
              </w:rPr>
            </w:pPr>
            <w:r w:rsidRPr="008A0E33">
              <w:rPr>
                <w:rFonts w:eastAsia="標楷體"/>
                <w:i/>
                <w:sz w:val="20"/>
                <w:szCs w:val="20"/>
              </w:rPr>
              <w:t>Organizational munificence</w:t>
            </w:r>
            <w:r w:rsidR="000A27DC" w:rsidRPr="008A0E33">
              <w:rPr>
                <w:rFonts w:eastAsia="標楷體"/>
                <w:i/>
                <w:sz w:val="20"/>
                <w:szCs w:val="20"/>
              </w:rPr>
              <w:t xml:space="preserve"> for research excellence (eigenvalues=2.022, </w:t>
            </w:r>
            <w:r w:rsidR="000A27DC" w:rsidRPr="008A0E33">
              <w:rPr>
                <w:rFonts w:ascii="標楷體" w:eastAsia="標楷體" w:hAnsi="標楷體" w:hint="eastAsia"/>
                <w:i/>
                <w:sz w:val="20"/>
                <w:szCs w:val="20"/>
              </w:rPr>
              <w:t>α</w:t>
            </w:r>
            <w:r w:rsidR="000A27DC" w:rsidRPr="008A0E33">
              <w:rPr>
                <w:rFonts w:eastAsia="標楷體" w:hint="eastAsia"/>
                <w:i/>
                <w:sz w:val="20"/>
                <w:szCs w:val="20"/>
              </w:rPr>
              <w:t>=</w:t>
            </w:r>
            <w:r w:rsidR="000A27DC" w:rsidRPr="008A0E33">
              <w:rPr>
                <w:rFonts w:eastAsia="標楷體"/>
                <w:i/>
                <w:sz w:val="20"/>
                <w:szCs w:val="20"/>
              </w:rPr>
              <w:t>.911)</w:t>
            </w:r>
          </w:p>
        </w:tc>
      </w:tr>
      <w:tr w:rsidR="003A1C90" w:rsidRPr="008A0E33" w14:paraId="00B858F7" w14:textId="77777777" w:rsidTr="00916DE0">
        <w:trPr>
          <w:trHeight w:val="283"/>
        </w:trPr>
        <w:tc>
          <w:tcPr>
            <w:tcW w:w="8735" w:type="dxa"/>
            <w:gridSpan w:val="2"/>
          </w:tcPr>
          <w:p w14:paraId="5F7C9FE1" w14:textId="75909104" w:rsidR="003A1C90" w:rsidRPr="008A0E33" w:rsidRDefault="003A1C90" w:rsidP="003A1C90">
            <w:pPr>
              <w:pStyle w:val="-11"/>
              <w:numPr>
                <w:ilvl w:val="0"/>
                <w:numId w:val="27"/>
              </w:numPr>
              <w:adjustRightInd w:val="0"/>
              <w:snapToGrid w:val="0"/>
              <w:ind w:leftChars="50" w:left="290" w:hanging="170"/>
              <w:rPr>
                <w:rFonts w:eastAsia="標楷體"/>
                <w:sz w:val="20"/>
                <w:szCs w:val="20"/>
              </w:rPr>
            </w:pPr>
            <w:r w:rsidRPr="00130A8E">
              <w:rPr>
                <w:sz w:val="20"/>
                <w:szCs w:val="20"/>
              </w:rPr>
              <w:t>My university provides sufficient resources for pursuing research excellence.</w:t>
            </w:r>
          </w:p>
        </w:tc>
        <w:tc>
          <w:tcPr>
            <w:tcW w:w="763" w:type="dxa"/>
            <w:shd w:val="clear" w:color="auto" w:fill="auto"/>
          </w:tcPr>
          <w:p w14:paraId="4B0E5AA5" w14:textId="77777777" w:rsidR="003A1C90" w:rsidRPr="008A0E33" w:rsidRDefault="003A1C90" w:rsidP="003A1C90">
            <w:pPr>
              <w:adjustRightInd w:val="0"/>
              <w:snapToGrid w:val="0"/>
              <w:ind w:leftChars="-10" w:left="434" w:hangingChars="229" w:hanging="458"/>
              <w:rPr>
                <w:rFonts w:eastAsia="標楷體"/>
                <w:sz w:val="20"/>
                <w:szCs w:val="20"/>
              </w:rPr>
            </w:pPr>
            <w:r w:rsidRPr="008A0E33">
              <w:rPr>
                <w:rFonts w:eastAsia="標楷體" w:hint="eastAsia"/>
                <w:sz w:val="20"/>
                <w:szCs w:val="20"/>
              </w:rPr>
              <w:t>.</w:t>
            </w:r>
            <w:r w:rsidRPr="008A0E33">
              <w:rPr>
                <w:rFonts w:eastAsia="標楷體"/>
                <w:sz w:val="20"/>
                <w:szCs w:val="20"/>
              </w:rPr>
              <w:t>889</w:t>
            </w:r>
          </w:p>
        </w:tc>
      </w:tr>
      <w:tr w:rsidR="003A1C90" w:rsidRPr="008A0E33" w14:paraId="007317E2" w14:textId="77777777" w:rsidTr="00916DE0">
        <w:trPr>
          <w:trHeight w:val="283"/>
        </w:trPr>
        <w:tc>
          <w:tcPr>
            <w:tcW w:w="8735" w:type="dxa"/>
            <w:gridSpan w:val="2"/>
          </w:tcPr>
          <w:p w14:paraId="3B39BA39" w14:textId="2B27DA8B" w:rsidR="003A1C90" w:rsidRPr="008A0E33" w:rsidRDefault="003A1C90" w:rsidP="003A1C90">
            <w:pPr>
              <w:pStyle w:val="-11"/>
              <w:numPr>
                <w:ilvl w:val="0"/>
                <w:numId w:val="27"/>
              </w:numPr>
              <w:adjustRightInd w:val="0"/>
              <w:snapToGrid w:val="0"/>
              <w:ind w:leftChars="50" w:left="290" w:hanging="170"/>
              <w:rPr>
                <w:rFonts w:eastAsia="標楷體"/>
                <w:sz w:val="20"/>
                <w:szCs w:val="20"/>
              </w:rPr>
            </w:pPr>
            <w:r w:rsidRPr="00130A8E">
              <w:rPr>
                <w:sz w:val="20"/>
                <w:szCs w:val="20"/>
              </w:rPr>
              <w:t>My university is committed to long-term support for pursuing research excellence.</w:t>
            </w:r>
          </w:p>
        </w:tc>
        <w:tc>
          <w:tcPr>
            <w:tcW w:w="763" w:type="dxa"/>
            <w:tcBorders>
              <w:bottom w:val="nil"/>
            </w:tcBorders>
            <w:shd w:val="clear" w:color="auto" w:fill="auto"/>
          </w:tcPr>
          <w:p w14:paraId="30A9E2EB" w14:textId="77777777" w:rsidR="003A1C90" w:rsidRPr="008A0E33" w:rsidRDefault="003A1C90" w:rsidP="003A1C90">
            <w:pPr>
              <w:adjustRightInd w:val="0"/>
              <w:snapToGrid w:val="0"/>
              <w:rPr>
                <w:rFonts w:eastAsia="標楷體"/>
                <w:sz w:val="20"/>
                <w:szCs w:val="20"/>
              </w:rPr>
            </w:pPr>
            <w:r w:rsidRPr="008A0E33">
              <w:rPr>
                <w:rFonts w:eastAsia="標楷體"/>
                <w:sz w:val="20"/>
                <w:szCs w:val="20"/>
              </w:rPr>
              <w:t>.</w:t>
            </w:r>
            <w:r w:rsidRPr="008A0E33">
              <w:rPr>
                <w:rFonts w:eastAsia="標楷體" w:hint="eastAsia"/>
                <w:sz w:val="20"/>
                <w:szCs w:val="20"/>
              </w:rPr>
              <w:t>8</w:t>
            </w:r>
            <w:r w:rsidRPr="008A0E33">
              <w:rPr>
                <w:rFonts w:eastAsia="標楷體"/>
                <w:sz w:val="20"/>
                <w:szCs w:val="20"/>
              </w:rPr>
              <w:t>85</w:t>
            </w:r>
          </w:p>
        </w:tc>
      </w:tr>
      <w:tr w:rsidR="003A1C90" w:rsidRPr="008A0E33" w14:paraId="24C87ACF" w14:textId="77777777" w:rsidTr="00916DE0">
        <w:trPr>
          <w:trHeight w:val="283"/>
        </w:trPr>
        <w:tc>
          <w:tcPr>
            <w:tcW w:w="8735" w:type="dxa"/>
            <w:gridSpan w:val="2"/>
          </w:tcPr>
          <w:p w14:paraId="5A67E9A7" w14:textId="676C572F" w:rsidR="003A1C90" w:rsidRPr="008A0E33" w:rsidRDefault="003A1C90" w:rsidP="003A1C90">
            <w:pPr>
              <w:pStyle w:val="-11"/>
              <w:numPr>
                <w:ilvl w:val="0"/>
                <w:numId w:val="27"/>
              </w:numPr>
              <w:adjustRightInd w:val="0"/>
              <w:snapToGrid w:val="0"/>
              <w:ind w:leftChars="50" w:left="290" w:hanging="170"/>
              <w:rPr>
                <w:rFonts w:eastAsia="標楷體"/>
                <w:noProof/>
                <w:sz w:val="20"/>
                <w:szCs w:val="20"/>
              </w:rPr>
            </w:pPr>
            <w:r w:rsidRPr="00130A8E">
              <w:rPr>
                <w:sz w:val="20"/>
                <w:szCs w:val="20"/>
              </w:rPr>
              <w:t>I perceive university administrators to consider pursuing research excellence to be a primary objective in my university.</w:t>
            </w:r>
          </w:p>
        </w:tc>
        <w:tc>
          <w:tcPr>
            <w:tcW w:w="763" w:type="dxa"/>
            <w:tcBorders>
              <w:bottom w:val="nil"/>
            </w:tcBorders>
            <w:shd w:val="clear" w:color="auto" w:fill="auto"/>
          </w:tcPr>
          <w:p w14:paraId="5F7BA07B" w14:textId="77777777" w:rsidR="003A1C90" w:rsidRPr="008A0E33" w:rsidRDefault="003A1C90" w:rsidP="003A1C90">
            <w:pPr>
              <w:adjustRightInd w:val="0"/>
              <w:snapToGrid w:val="0"/>
              <w:rPr>
                <w:rFonts w:eastAsia="標楷體"/>
                <w:sz w:val="20"/>
                <w:szCs w:val="20"/>
              </w:rPr>
            </w:pPr>
            <w:r w:rsidRPr="008A0E33">
              <w:rPr>
                <w:rFonts w:eastAsia="標楷體"/>
                <w:sz w:val="20"/>
                <w:szCs w:val="20"/>
              </w:rPr>
              <w:t>.</w:t>
            </w:r>
            <w:r w:rsidRPr="008A0E33">
              <w:rPr>
                <w:rFonts w:eastAsia="標楷體" w:hint="eastAsia"/>
                <w:sz w:val="20"/>
                <w:szCs w:val="20"/>
              </w:rPr>
              <w:t>8</w:t>
            </w:r>
            <w:r w:rsidRPr="008A0E33">
              <w:rPr>
                <w:rFonts w:eastAsia="標楷體"/>
                <w:sz w:val="20"/>
                <w:szCs w:val="20"/>
              </w:rPr>
              <w:t>21</w:t>
            </w:r>
          </w:p>
        </w:tc>
      </w:tr>
      <w:tr w:rsidR="008A0E33" w:rsidRPr="008A0E33" w14:paraId="61707968" w14:textId="77777777" w:rsidTr="00B40DF7">
        <w:trPr>
          <w:trHeight w:val="283"/>
        </w:trPr>
        <w:tc>
          <w:tcPr>
            <w:tcW w:w="9498" w:type="dxa"/>
            <w:gridSpan w:val="3"/>
            <w:tcBorders>
              <w:bottom w:val="nil"/>
            </w:tcBorders>
            <w:shd w:val="clear" w:color="auto" w:fill="auto"/>
          </w:tcPr>
          <w:p w14:paraId="3A1C0ECC" w14:textId="29A5D23A" w:rsidR="000A27DC" w:rsidRPr="008A0E33" w:rsidRDefault="00B31CE4" w:rsidP="0057484E">
            <w:pPr>
              <w:adjustRightInd w:val="0"/>
              <w:snapToGrid w:val="0"/>
              <w:rPr>
                <w:rFonts w:eastAsia="標楷體"/>
                <w:i/>
                <w:sz w:val="20"/>
                <w:szCs w:val="20"/>
              </w:rPr>
            </w:pPr>
            <w:r w:rsidRPr="008A0E33">
              <w:rPr>
                <w:rFonts w:eastAsia="標楷體"/>
                <w:i/>
                <w:sz w:val="20"/>
                <w:szCs w:val="20"/>
              </w:rPr>
              <w:t>Organizational munificence</w:t>
            </w:r>
            <w:r w:rsidR="000A27DC" w:rsidRPr="008A0E33">
              <w:rPr>
                <w:rFonts w:eastAsia="標楷體"/>
                <w:i/>
                <w:sz w:val="20"/>
                <w:szCs w:val="20"/>
              </w:rPr>
              <w:t xml:space="preserve"> for research commercialization(eigenvalues=4.731, </w:t>
            </w:r>
            <w:r w:rsidR="000A27DC" w:rsidRPr="008A0E33">
              <w:rPr>
                <w:rFonts w:ascii="標楷體" w:eastAsia="標楷體" w:hAnsi="標楷體" w:hint="eastAsia"/>
                <w:i/>
                <w:sz w:val="20"/>
                <w:szCs w:val="20"/>
              </w:rPr>
              <w:t>α</w:t>
            </w:r>
            <w:r w:rsidR="000A27DC" w:rsidRPr="008A0E33">
              <w:rPr>
                <w:rFonts w:eastAsia="標楷體" w:hint="eastAsia"/>
                <w:i/>
                <w:sz w:val="20"/>
                <w:szCs w:val="20"/>
              </w:rPr>
              <w:t>=</w:t>
            </w:r>
            <w:r w:rsidR="000A27DC" w:rsidRPr="008A0E33">
              <w:rPr>
                <w:rFonts w:eastAsia="標楷體"/>
                <w:i/>
                <w:sz w:val="20"/>
                <w:szCs w:val="20"/>
              </w:rPr>
              <w:t>.971)</w:t>
            </w:r>
          </w:p>
        </w:tc>
      </w:tr>
      <w:tr w:rsidR="003A1C90" w:rsidRPr="008A0E33" w14:paraId="2A32E63C" w14:textId="77777777" w:rsidTr="00720C27">
        <w:trPr>
          <w:trHeight w:val="283"/>
        </w:trPr>
        <w:tc>
          <w:tcPr>
            <w:tcW w:w="8735" w:type="dxa"/>
            <w:gridSpan w:val="2"/>
          </w:tcPr>
          <w:p w14:paraId="32EE67B2" w14:textId="2B4063B9" w:rsidR="003A1C90" w:rsidRPr="008A0E33" w:rsidRDefault="003A1C90" w:rsidP="003A1C90">
            <w:pPr>
              <w:pStyle w:val="-11"/>
              <w:numPr>
                <w:ilvl w:val="0"/>
                <w:numId w:val="27"/>
              </w:numPr>
              <w:adjustRightInd w:val="0"/>
              <w:snapToGrid w:val="0"/>
              <w:ind w:leftChars="50" w:left="290" w:hanging="170"/>
              <w:rPr>
                <w:rFonts w:eastAsia="標楷體"/>
                <w:noProof/>
                <w:sz w:val="20"/>
                <w:szCs w:val="20"/>
              </w:rPr>
            </w:pPr>
            <w:r w:rsidRPr="00130A8E">
              <w:rPr>
                <w:sz w:val="20"/>
                <w:szCs w:val="20"/>
              </w:rPr>
              <w:t>My university provides sufficient resources for pursuing research commercialization.</w:t>
            </w:r>
          </w:p>
        </w:tc>
        <w:tc>
          <w:tcPr>
            <w:tcW w:w="763" w:type="dxa"/>
            <w:tcBorders>
              <w:bottom w:val="nil"/>
            </w:tcBorders>
            <w:shd w:val="clear" w:color="auto" w:fill="auto"/>
          </w:tcPr>
          <w:p w14:paraId="7F0CD421" w14:textId="77777777" w:rsidR="003A1C90" w:rsidRPr="008A0E33" w:rsidRDefault="003A1C90" w:rsidP="003A1C90">
            <w:pPr>
              <w:adjustRightInd w:val="0"/>
              <w:snapToGrid w:val="0"/>
              <w:rPr>
                <w:rFonts w:eastAsia="標楷體"/>
                <w:sz w:val="20"/>
                <w:szCs w:val="20"/>
              </w:rPr>
            </w:pPr>
            <w:r w:rsidRPr="008A0E33">
              <w:rPr>
                <w:rFonts w:eastAsia="標楷體"/>
                <w:sz w:val="20"/>
                <w:szCs w:val="20"/>
              </w:rPr>
              <w:t>.</w:t>
            </w:r>
            <w:r w:rsidRPr="008A0E33">
              <w:rPr>
                <w:rFonts w:eastAsia="標楷體" w:hint="eastAsia"/>
                <w:sz w:val="20"/>
                <w:szCs w:val="20"/>
              </w:rPr>
              <w:t>9</w:t>
            </w:r>
            <w:r w:rsidRPr="008A0E33">
              <w:rPr>
                <w:rFonts w:eastAsia="標楷體"/>
                <w:sz w:val="20"/>
                <w:szCs w:val="20"/>
              </w:rPr>
              <w:t>26</w:t>
            </w:r>
          </w:p>
        </w:tc>
      </w:tr>
      <w:tr w:rsidR="003A1C90" w:rsidRPr="008A0E33" w14:paraId="4DF36B4C" w14:textId="77777777" w:rsidTr="00720C27">
        <w:trPr>
          <w:trHeight w:val="283"/>
        </w:trPr>
        <w:tc>
          <w:tcPr>
            <w:tcW w:w="8735" w:type="dxa"/>
            <w:gridSpan w:val="2"/>
          </w:tcPr>
          <w:p w14:paraId="7DB7432A" w14:textId="5A0C227D" w:rsidR="003A1C90" w:rsidRPr="008A0E33" w:rsidRDefault="003A1C90" w:rsidP="003A1C90">
            <w:pPr>
              <w:pStyle w:val="-11"/>
              <w:numPr>
                <w:ilvl w:val="0"/>
                <w:numId w:val="27"/>
              </w:numPr>
              <w:adjustRightInd w:val="0"/>
              <w:snapToGrid w:val="0"/>
              <w:ind w:leftChars="50" w:left="290" w:hanging="170"/>
              <w:rPr>
                <w:rFonts w:eastAsia="標楷體"/>
                <w:noProof/>
                <w:sz w:val="20"/>
                <w:szCs w:val="20"/>
              </w:rPr>
            </w:pPr>
            <w:r w:rsidRPr="00130A8E">
              <w:rPr>
                <w:sz w:val="20"/>
                <w:szCs w:val="20"/>
              </w:rPr>
              <w:t>My university is committed to long-term support for pursuing commercialization.</w:t>
            </w:r>
          </w:p>
        </w:tc>
        <w:tc>
          <w:tcPr>
            <w:tcW w:w="763" w:type="dxa"/>
            <w:tcBorders>
              <w:bottom w:val="nil"/>
            </w:tcBorders>
            <w:shd w:val="clear" w:color="auto" w:fill="auto"/>
          </w:tcPr>
          <w:p w14:paraId="7A98AB60" w14:textId="77777777" w:rsidR="003A1C90" w:rsidRPr="008A0E33" w:rsidRDefault="003A1C90" w:rsidP="003A1C90">
            <w:pPr>
              <w:adjustRightInd w:val="0"/>
              <w:snapToGrid w:val="0"/>
              <w:rPr>
                <w:rFonts w:eastAsia="標楷體"/>
                <w:sz w:val="20"/>
                <w:szCs w:val="20"/>
              </w:rPr>
            </w:pPr>
            <w:r w:rsidRPr="008A0E33">
              <w:rPr>
                <w:rFonts w:eastAsia="標楷體"/>
                <w:sz w:val="20"/>
                <w:szCs w:val="20"/>
              </w:rPr>
              <w:t>.</w:t>
            </w:r>
            <w:r w:rsidRPr="008A0E33">
              <w:rPr>
                <w:rFonts w:eastAsia="標楷體" w:hint="eastAsia"/>
                <w:sz w:val="20"/>
                <w:szCs w:val="20"/>
              </w:rPr>
              <w:t>8</w:t>
            </w:r>
            <w:r w:rsidRPr="008A0E33">
              <w:rPr>
                <w:rFonts w:eastAsia="標楷體"/>
                <w:sz w:val="20"/>
                <w:szCs w:val="20"/>
              </w:rPr>
              <w:t>43</w:t>
            </w:r>
          </w:p>
        </w:tc>
      </w:tr>
      <w:tr w:rsidR="003A1C90" w:rsidRPr="008A0E33" w14:paraId="43B1923E" w14:textId="77777777" w:rsidTr="00720C27">
        <w:trPr>
          <w:trHeight w:val="283"/>
        </w:trPr>
        <w:tc>
          <w:tcPr>
            <w:tcW w:w="8735" w:type="dxa"/>
            <w:gridSpan w:val="2"/>
          </w:tcPr>
          <w:p w14:paraId="0E683255" w14:textId="2C7959FC" w:rsidR="003A1C90" w:rsidRPr="008A0E33" w:rsidRDefault="003A1C90" w:rsidP="003A1C90">
            <w:pPr>
              <w:pStyle w:val="-11"/>
              <w:numPr>
                <w:ilvl w:val="0"/>
                <w:numId w:val="27"/>
              </w:numPr>
              <w:adjustRightInd w:val="0"/>
              <w:snapToGrid w:val="0"/>
              <w:ind w:leftChars="50" w:left="290" w:hanging="170"/>
              <w:rPr>
                <w:rFonts w:eastAsia="標楷體"/>
                <w:noProof/>
                <w:sz w:val="20"/>
                <w:szCs w:val="20"/>
              </w:rPr>
            </w:pPr>
            <w:r w:rsidRPr="00130A8E">
              <w:rPr>
                <w:sz w:val="20"/>
                <w:szCs w:val="20"/>
              </w:rPr>
              <w:t>I perceive university administrators to consider pursuing research commercialization to be a primary objective in my university.</w:t>
            </w:r>
          </w:p>
        </w:tc>
        <w:tc>
          <w:tcPr>
            <w:tcW w:w="763" w:type="dxa"/>
            <w:tcBorders>
              <w:bottom w:val="nil"/>
            </w:tcBorders>
            <w:shd w:val="clear" w:color="auto" w:fill="auto"/>
          </w:tcPr>
          <w:p w14:paraId="4E5F93AF" w14:textId="77777777" w:rsidR="003A1C90" w:rsidRPr="008A0E33" w:rsidRDefault="003A1C90" w:rsidP="003A1C90">
            <w:pPr>
              <w:adjustRightInd w:val="0"/>
              <w:snapToGrid w:val="0"/>
              <w:rPr>
                <w:rFonts w:eastAsia="標楷體"/>
                <w:sz w:val="20"/>
                <w:szCs w:val="20"/>
              </w:rPr>
            </w:pPr>
            <w:r w:rsidRPr="008A0E33">
              <w:rPr>
                <w:rFonts w:eastAsia="標楷體"/>
                <w:sz w:val="20"/>
                <w:szCs w:val="20"/>
              </w:rPr>
              <w:t>.</w:t>
            </w:r>
            <w:r w:rsidRPr="008A0E33">
              <w:rPr>
                <w:rFonts w:eastAsia="標楷體" w:hint="eastAsia"/>
                <w:sz w:val="20"/>
                <w:szCs w:val="20"/>
              </w:rPr>
              <w:t>8</w:t>
            </w:r>
            <w:r w:rsidRPr="008A0E33">
              <w:rPr>
                <w:rFonts w:eastAsia="標楷體"/>
                <w:sz w:val="20"/>
                <w:szCs w:val="20"/>
              </w:rPr>
              <w:t>57</w:t>
            </w:r>
          </w:p>
        </w:tc>
      </w:tr>
      <w:tr w:rsidR="008A0E33" w:rsidRPr="008A0E33" w14:paraId="661B7554" w14:textId="77777777" w:rsidTr="00B40DF7">
        <w:trPr>
          <w:trHeight w:val="283"/>
        </w:trPr>
        <w:tc>
          <w:tcPr>
            <w:tcW w:w="9498" w:type="dxa"/>
            <w:gridSpan w:val="3"/>
            <w:tcBorders>
              <w:bottom w:val="nil"/>
            </w:tcBorders>
            <w:shd w:val="clear" w:color="auto" w:fill="auto"/>
          </w:tcPr>
          <w:p w14:paraId="0E441D0F" w14:textId="77777777" w:rsidR="000A27DC" w:rsidRPr="008A0E33" w:rsidRDefault="000A27DC" w:rsidP="0057484E">
            <w:pPr>
              <w:adjustRightInd w:val="0"/>
              <w:snapToGrid w:val="0"/>
              <w:rPr>
                <w:rFonts w:eastAsia="標楷體"/>
                <w:sz w:val="20"/>
                <w:szCs w:val="20"/>
              </w:rPr>
            </w:pPr>
            <w:r w:rsidRPr="008A0E33">
              <w:rPr>
                <w:rFonts w:eastAsia="標楷體"/>
                <w:i/>
                <w:sz w:val="20"/>
                <w:szCs w:val="20"/>
              </w:rPr>
              <w:t xml:space="preserve">Organization flexibility (eigenvalues=3.035, </w:t>
            </w:r>
            <w:r w:rsidRPr="008A0E33">
              <w:rPr>
                <w:rFonts w:ascii="標楷體" w:eastAsia="標楷體" w:hAnsi="標楷體" w:hint="eastAsia"/>
                <w:i/>
                <w:sz w:val="20"/>
                <w:szCs w:val="20"/>
              </w:rPr>
              <w:t>α</w:t>
            </w:r>
            <w:r w:rsidRPr="008A0E33">
              <w:rPr>
                <w:rFonts w:eastAsia="標楷體" w:hint="eastAsia"/>
                <w:i/>
                <w:sz w:val="20"/>
                <w:szCs w:val="20"/>
              </w:rPr>
              <w:t>=</w:t>
            </w:r>
            <w:r w:rsidRPr="008A0E33">
              <w:rPr>
                <w:rFonts w:eastAsia="標楷體"/>
                <w:i/>
                <w:sz w:val="20"/>
                <w:szCs w:val="20"/>
              </w:rPr>
              <w:t>.933)</w:t>
            </w:r>
          </w:p>
        </w:tc>
      </w:tr>
      <w:tr w:rsidR="0069020D" w:rsidRPr="008A0E33" w14:paraId="6BA33D62" w14:textId="77777777" w:rsidTr="001977F7">
        <w:trPr>
          <w:trHeight w:val="283"/>
        </w:trPr>
        <w:tc>
          <w:tcPr>
            <w:tcW w:w="8735" w:type="dxa"/>
            <w:gridSpan w:val="2"/>
          </w:tcPr>
          <w:p w14:paraId="46711026" w14:textId="323B507E" w:rsidR="0069020D" w:rsidRPr="008A0E33" w:rsidRDefault="0069020D" w:rsidP="0069020D">
            <w:pPr>
              <w:pStyle w:val="-11"/>
              <w:numPr>
                <w:ilvl w:val="0"/>
                <w:numId w:val="33"/>
              </w:numPr>
              <w:adjustRightInd w:val="0"/>
              <w:snapToGrid w:val="0"/>
              <w:ind w:leftChars="50" w:left="290" w:hanging="170"/>
              <w:rPr>
                <w:rFonts w:eastAsia="標楷體"/>
                <w:noProof/>
                <w:sz w:val="20"/>
                <w:szCs w:val="20"/>
              </w:rPr>
            </w:pPr>
            <w:r w:rsidRPr="00833B36">
              <w:rPr>
                <w:sz w:val="20"/>
                <w:szCs w:val="20"/>
              </w:rPr>
              <w:t>My university authorized my department to frequently set up cross-functional committees to reconfigure inappropriate regulations.</w:t>
            </w:r>
          </w:p>
        </w:tc>
        <w:tc>
          <w:tcPr>
            <w:tcW w:w="763" w:type="dxa"/>
            <w:tcBorders>
              <w:bottom w:val="nil"/>
            </w:tcBorders>
            <w:shd w:val="clear" w:color="auto" w:fill="auto"/>
          </w:tcPr>
          <w:p w14:paraId="7A856C93" w14:textId="77777777" w:rsidR="0069020D" w:rsidRPr="008A0E33" w:rsidRDefault="0069020D" w:rsidP="0069020D">
            <w:pPr>
              <w:adjustRightInd w:val="0"/>
              <w:snapToGrid w:val="0"/>
              <w:rPr>
                <w:rFonts w:eastAsia="標楷體"/>
                <w:sz w:val="20"/>
                <w:szCs w:val="20"/>
              </w:rPr>
            </w:pPr>
            <w:r w:rsidRPr="008A0E33">
              <w:rPr>
                <w:rFonts w:eastAsia="標楷體" w:hint="eastAsia"/>
                <w:sz w:val="20"/>
                <w:szCs w:val="20"/>
              </w:rPr>
              <w:t>.8</w:t>
            </w:r>
            <w:r w:rsidRPr="008A0E33">
              <w:rPr>
                <w:rFonts w:eastAsia="標楷體"/>
                <w:sz w:val="20"/>
                <w:szCs w:val="20"/>
              </w:rPr>
              <w:t>29</w:t>
            </w:r>
          </w:p>
        </w:tc>
      </w:tr>
      <w:tr w:rsidR="0069020D" w:rsidRPr="008A0E33" w14:paraId="683484BE" w14:textId="77777777" w:rsidTr="001977F7">
        <w:trPr>
          <w:trHeight w:val="283"/>
        </w:trPr>
        <w:tc>
          <w:tcPr>
            <w:tcW w:w="8735" w:type="dxa"/>
            <w:gridSpan w:val="2"/>
          </w:tcPr>
          <w:p w14:paraId="7076CDB6" w14:textId="1725EB2A" w:rsidR="0069020D" w:rsidRPr="008A0E33" w:rsidRDefault="0069020D" w:rsidP="0069020D">
            <w:pPr>
              <w:pStyle w:val="-11"/>
              <w:numPr>
                <w:ilvl w:val="0"/>
                <w:numId w:val="33"/>
              </w:numPr>
              <w:adjustRightInd w:val="0"/>
              <w:snapToGrid w:val="0"/>
              <w:ind w:leftChars="50" w:left="290" w:hanging="170"/>
              <w:rPr>
                <w:rFonts w:eastAsia="標楷體"/>
                <w:noProof/>
                <w:sz w:val="20"/>
                <w:szCs w:val="20"/>
              </w:rPr>
            </w:pPr>
            <w:r w:rsidRPr="00833B36">
              <w:rPr>
                <w:sz w:val="20"/>
                <w:szCs w:val="20"/>
              </w:rPr>
              <w:t>My university authorized my department to frequently set up cross-functional committees to respond to ongoing external opportunities.</w:t>
            </w:r>
          </w:p>
        </w:tc>
        <w:tc>
          <w:tcPr>
            <w:tcW w:w="763" w:type="dxa"/>
            <w:tcBorders>
              <w:bottom w:val="nil"/>
            </w:tcBorders>
            <w:shd w:val="clear" w:color="auto" w:fill="auto"/>
          </w:tcPr>
          <w:p w14:paraId="18BEBBBA" w14:textId="77777777" w:rsidR="0069020D" w:rsidRPr="008A0E33" w:rsidRDefault="0069020D" w:rsidP="0069020D">
            <w:pPr>
              <w:adjustRightInd w:val="0"/>
              <w:snapToGrid w:val="0"/>
              <w:rPr>
                <w:rFonts w:eastAsia="標楷體"/>
                <w:sz w:val="20"/>
                <w:szCs w:val="20"/>
              </w:rPr>
            </w:pPr>
            <w:r w:rsidRPr="008A0E33">
              <w:rPr>
                <w:rFonts w:eastAsia="標楷體" w:hint="eastAsia"/>
                <w:sz w:val="20"/>
                <w:szCs w:val="20"/>
              </w:rPr>
              <w:t>.8</w:t>
            </w:r>
            <w:r w:rsidRPr="008A0E33">
              <w:rPr>
                <w:rFonts w:eastAsia="標楷體"/>
                <w:sz w:val="20"/>
                <w:szCs w:val="20"/>
              </w:rPr>
              <w:t>24</w:t>
            </w:r>
          </w:p>
        </w:tc>
      </w:tr>
      <w:tr w:rsidR="0069020D" w:rsidRPr="008A0E33" w14:paraId="1B6C6D23" w14:textId="77777777" w:rsidTr="001977F7">
        <w:trPr>
          <w:trHeight w:val="283"/>
        </w:trPr>
        <w:tc>
          <w:tcPr>
            <w:tcW w:w="8735" w:type="dxa"/>
            <w:gridSpan w:val="2"/>
          </w:tcPr>
          <w:p w14:paraId="41D55360" w14:textId="464C4156" w:rsidR="0069020D" w:rsidRPr="008A0E33" w:rsidRDefault="0069020D" w:rsidP="0069020D">
            <w:pPr>
              <w:pStyle w:val="-11"/>
              <w:numPr>
                <w:ilvl w:val="0"/>
                <w:numId w:val="33"/>
              </w:numPr>
              <w:adjustRightInd w:val="0"/>
              <w:snapToGrid w:val="0"/>
              <w:ind w:leftChars="50" w:left="290" w:hanging="170"/>
              <w:rPr>
                <w:rFonts w:eastAsia="標楷體"/>
                <w:sz w:val="20"/>
                <w:szCs w:val="20"/>
              </w:rPr>
            </w:pPr>
            <w:r w:rsidRPr="00833B36">
              <w:rPr>
                <w:sz w:val="20"/>
                <w:szCs w:val="20"/>
              </w:rPr>
              <w:t>My university authorized my department to rapidly adjust the priority of goals.</w:t>
            </w:r>
          </w:p>
        </w:tc>
        <w:tc>
          <w:tcPr>
            <w:tcW w:w="763" w:type="dxa"/>
            <w:tcBorders>
              <w:top w:val="nil"/>
              <w:bottom w:val="single" w:sz="4" w:space="0" w:color="auto"/>
            </w:tcBorders>
            <w:shd w:val="clear" w:color="auto" w:fill="auto"/>
          </w:tcPr>
          <w:p w14:paraId="2FEC685C" w14:textId="77777777" w:rsidR="0069020D" w:rsidRPr="008A0E33" w:rsidRDefault="0069020D" w:rsidP="0069020D">
            <w:pPr>
              <w:adjustRightInd w:val="0"/>
              <w:snapToGrid w:val="0"/>
              <w:rPr>
                <w:rFonts w:eastAsia="標楷體"/>
                <w:sz w:val="20"/>
                <w:szCs w:val="20"/>
              </w:rPr>
            </w:pPr>
            <w:r w:rsidRPr="008A0E33">
              <w:rPr>
                <w:rFonts w:eastAsia="標楷體" w:hint="eastAsia"/>
                <w:sz w:val="20"/>
                <w:szCs w:val="20"/>
              </w:rPr>
              <w:t>.</w:t>
            </w:r>
            <w:r w:rsidRPr="008A0E33">
              <w:rPr>
                <w:rFonts w:eastAsia="標楷體"/>
                <w:sz w:val="20"/>
                <w:szCs w:val="20"/>
              </w:rPr>
              <w:t>821</w:t>
            </w:r>
          </w:p>
        </w:tc>
      </w:tr>
      <w:tr w:rsidR="008A0E33" w:rsidRPr="008A0E33" w14:paraId="040292C0" w14:textId="77777777" w:rsidTr="00B40DF7">
        <w:trPr>
          <w:trHeight w:val="283"/>
        </w:trPr>
        <w:tc>
          <w:tcPr>
            <w:tcW w:w="9498" w:type="dxa"/>
            <w:gridSpan w:val="3"/>
            <w:tcBorders>
              <w:top w:val="single" w:sz="4" w:space="0" w:color="auto"/>
            </w:tcBorders>
            <w:shd w:val="clear" w:color="auto" w:fill="auto"/>
          </w:tcPr>
          <w:p w14:paraId="29A397C8" w14:textId="77777777" w:rsidR="000A27DC" w:rsidRPr="008A0E33" w:rsidRDefault="000A27DC" w:rsidP="0057484E">
            <w:pPr>
              <w:adjustRightInd w:val="0"/>
              <w:snapToGrid w:val="0"/>
              <w:rPr>
                <w:rFonts w:eastAsia="標楷體"/>
                <w:i/>
                <w:sz w:val="20"/>
                <w:szCs w:val="20"/>
              </w:rPr>
            </w:pPr>
            <w:r w:rsidRPr="008A0E33">
              <w:rPr>
                <w:rFonts w:eastAsia="標楷體"/>
                <w:i/>
                <w:sz w:val="20"/>
                <w:szCs w:val="20"/>
              </w:rPr>
              <w:t>Organizational support for K</w:t>
            </w:r>
            <w:r w:rsidRPr="008A0E33">
              <w:rPr>
                <w:rFonts w:eastAsia="標楷體" w:hint="eastAsia"/>
                <w:i/>
                <w:sz w:val="20"/>
                <w:szCs w:val="20"/>
              </w:rPr>
              <w:t xml:space="preserve">nowledge </w:t>
            </w:r>
            <w:r w:rsidRPr="008A0E33">
              <w:rPr>
                <w:rFonts w:eastAsia="標楷體"/>
                <w:i/>
                <w:sz w:val="20"/>
                <w:szCs w:val="20"/>
              </w:rPr>
              <w:t xml:space="preserve">creation ( eigenvalues=1.568, </w:t>
            </w:r>
            <w:r w:rsidRPr="008A0E33">
              <w:rPr>
                <w:rFonts w:ascii="標楷體" w:eastAsia="標楷體" w:hAnsi="標楷體" w:hint="eastAsia"/>
                <w:i/>
                <w:sz w:val="20"/>
                <w:szCs w:val="20"/>
              </w:rPr>
              <w:t>α</w:t>
            </w:r>
            <w:r w:rsidRPr="008A0E33">
              <w:rPr>
                <w:rFonts w:eastAsia="標楷體" w:hint="eastAsia"/>
                <w:i/>
                <w:sz w:val="20"/>
                <w:szCs w:val="20"/>
              </w:rPr>
              <w:t>=</w:t>
            </w:r>
            <w:r w:rsidRPr="008A0E33">
              <w:rPr>
                <w:rFonts w:eastAsia="標楷體"/>
                <w:i/>
                <w:sz w:val="20"/>
                <w:szCs w:val="20"/>
              </w:rPr>
              <w:t>.773)</w:t>
            </w:r>
          </w:p>
        </w:tc>
      </w:tr>
      <w:tr w:rsidR="008A0E33" w:rsidRPr="008A0E33" w14:paraId="5C06FEB1" w14:textId="77777777" w:rsidTr="00B40DF7">
        <w:trPr>
          <w:trHeight w:val="283"/>
        </w:trPr>
        <w:tc>
          <w:tcPr>
            <w:tcW w:w="8735" w:type="dxa"/>
            <w:gridSpan w:val="2"/>
            <w:shd w:val="clear" w:color="auto" w:fill="auto"/>
          </w:tcPr>
          <w:p w14:paraId="71C480FA" w14:textId="1F188BE6" w:rsidR="000A27DC" w:rsidRPr="008A0E33" w:rsidRDefault="000A27DC" w:rsidP="0057484E">
            <w:pPr>
              <w:pStyle w:val="-11"/>
              <w:numPr>
                <w:ilvl w:val="0"/>
                <w:numId w:val="28"/>
              </w:numPr>
              <w:adjustRightInd w:val="0"/>
              <w:snapToGrid w:val="0"/>
              <w:ind w:leftChars="50" w:left="290" w:hanging="170"/>
              <w:rPr>
                <w:rFonts w:eastAsia="標楷體"/>
                <w:sz w:val="20"/>
                <w:szCs w:val="20"/>
              </w:rPr>
            </w:pPr>
            <w:r w:rsidRPr="008A0E33">
              <w:rPr>
                <w:rFonts w:eastAsia="標楷體"/>
                <w:noProof/>
                <w:sz w:val="20"/>
                <w:szCs w:val="20"/>
              </w:rPr>
              <w:t>My</w:t>
            </w:r>
            <w:r w:rsidRPr="008A0E33">
              <w:rPr>
                <w:rFonts w:eastAsia="標楷體"/>
                <w:sz w:val="20"/>
                <w:szCs w:val="20"/>
              </w:rPr>
              <w:t xml:space="preserve"> department has provided suffi</w:t>
            </w:r>
            <w:r w:rsidR="00826592" w:rsidRPr="008A0E33">
              <w:rPr>
                <w:rFonts w:eastAsia="標楷體"/>
                <w:sz w:val="20"/>
                <w:szCs w:val="20"/>
              </w:rPr>
              <w:t>cient facilities</w:t>
            </w:r>
            <w:r w:rsidRPr="008A0E33">
              <w:rPr>
                <w:rFonts w:eastAsia="標楷體"/>
                <w:sz w:val="20"/>
                <w:szCs w:val="20"/>
              </w:rPr>
              <w:t xml:space="preserve"> for research.</w:t>
            </w:r>
          </w:p>
        </w:tc>
        <w:tc>
          <w:tcPr>
            <w:tcW w:w="763" w:type="dxa"/>
            <w:shd w:val="clear" w:color="auto" w:fill="auto"/>
          </w:tcPr>
          <w:p w14:paraId="1A94DDA0"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w:t>
            </w:r>
            <w:r w:rsidRPr="008A0E33">
              <w:rPr>
                <w:rFonts w:eastAsia="標楷體"/>
                <w:sz w:val="20"/>
                <w:szCs w:val="20"/>
              </w:rPr>
              <w:t>681</w:t>
            </w:r>
          </w:p>
        </w:tc>
      </w:tr>
      <w:tr w:rsidR="008A0E33" w:rsidRPr="008A0E33" w14:paraId="70183281" w14:textId="77777777" w:rsidTr="00B40DF7">
        <w:trPr>
          <w:trHeight w:val="283"/>
        </w:trPr>
        <w:tc>
          <w:tcPr>
            <w:tcW w:w="8735" w:type="dxa"/>
            <w:gridSpan w:val="2"/>
            <w:shd w:val="clear" w:color="auto" w:fill="auto"/>
          </w:tcPr>
          <w:p w14:paraId="1365B5A7" w14:textId="77777777" w:rsidR="000A27DC" w:rsidRPr="008A0E33" w:rsidRDefault="000A27DC" w:rsidP="0057484E">
            <w:pPr>
              <w:pStyle w:val="-11"/>
              <w:numPr>
                <w:ilvl w:val="0"/>
                <w:numId w:val="28"/>
              </w:numPr>
              <w:adjustRightInd w:val="0"/>
              <w:snapToGrid w:val="0"/>
              <w:ind w:leftChars="50" w:left="290" w:hanging="170"/>
              <w:rPr>
                <w:rFonts w:eastAsia="標楷體"/>
                <w:sz w:val="20"/>
                <w:szCs w:val="20"/>
              </w:rPr>
            </w:pPr>
            <w:r w:rsidRPr="008A0E33">
              <w:rPr>
                <w:rFonts w:eastAsia="標楷體"/>
                <w:noProof/>
                <w:sz w:val="20"/>
                <w:szCs w:val="20"/>
              </w:rPr>
              <w:t>My</w:t>
            </w:r>
            <w:r w:rsidRPr="008A0E33">
              <w:rPr>
                <w:rFonts w:eastAsia="標楷體"/>
                <w:sz w:val="20"/>
                <w:szCs w:val="20"/>
              </w:rPr>
              <w:t xml:space="preserve"> department </w:t>
            </w:r>
            <w:r w:rsidRPr="008A0E33">
              <w:rPr>
                <w:rFonts w:eastAsia="標楷體"/>
                <w:noProof/>
                <w:sz w:val="20"/>
                <w:szCs w:val="20"/>
              </w:rPr>
              <w:t>is highly regarded</w:t>
            </w:r>
            <w:r w:rsidRPr="008A0E33">
              <w:rPr>
                <w:rFonts w:eastAsia="標楷體"/>
                <w:sz w:val="20"/>
                <w:szCs w:val="20"/>
              </w:rPr>
              <w:t xml:space="preserve"> for receiving domestic and world research excellence awards.</w:t>
            </w:r>
          </w:p>
        </w:tc>
        <w:tc>
          <w:tcPr>
            <w:tcW w:w="763" w:type="dxa"/>
            <w:shd w:val="clear" w:color="auto" w:fill="auto"/>
          </w:tcPr>
          <w:p w14:paraId="3FF689FB"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w:t>
            </w:r>
            <w:r w:rsidRPr="008A0E33">
              <w:rPr>
                <w:rFonts w:eastAsia="標楷體"/>
                <w:sz w:val="20"/>
                <w:szCs w:val="20"/>
              </w:rPr>
              <w:t>645</w:t>
            </w:r>
          </w:p>
        </w:tc>
      </w:tr>
      <w:tr w:rsidR="008A0E33" w:rsidRPr="008A0E33" w14:paraId="13A42DEA" w14:textId="77777777" w:rsidTr="00B40DF7">
        <w:trPr>
          <w:trHeight w:val="283"/>
        </w:trPr>
        <w:tc>
          <w:tcPr>
            <w:tcW w:w="8735" w:type="dxa"/>
            <w:gridSpan w:val="2"/>
            <w:shd w:val="clear" w:color="auto" w:fill="auto"/>
          </w:tcPr>
          <w:p w14:paraId="6B567446" w14:textId="505EB894" w:rsidR="000A27DC" w:rsidRPr="008A0E33" w:rsidRDefault="00826592" w:rsidP="0057484E">
            <w:pPr>
              <w:pStyle w:val="-11"/>
              <w:numPr>
                <w:ilvl w:val="0"/>
                <w:numId w:val="28"/>
              </w:numPr>
              <w:adjustRightInd w:val="0"/>
              <w:snapToGrid w:val="0"/>
              <w:ind w:leftChars="50" w:left="290" w:hanging="170"/>
              <w:rPr>
                <w:rFonts w:eastAsia="標楷體"/>
                <w:sz w:val="20"/>
                <w:szCs w:val="20"/>
              </w:rPr>
            </w:pPr>
            <w:r w:rsidRPr="008A0E33">
              <w:rPr>
                <w:rFonts w:eastAsia="標楷體"/>
                <w:sz w:val="20"/>
                <w:szCs w:val="20"/>
              </w:rPr>
              <w:t>The director</w:t>
            </w:r>
            <w:r w:rsidR="000A27DC" w:rsidRPr="008A0E33">
              <w:rPr>
                <w:rFonts w:eastAsia="標楷體"/>
                <w:sz w:val="20"/>
                <w:szCs w:val="20"/>
              </w:rPr>
              <w:t xml:space="preserve"> of </w:t>
            </w:r>
            <w:r w:rsidR="000A27DC" w:rsidRPr="008A0E33">
              <w:rPr>
                <w:rFonts w:eastAsia="標楷體"/>
                <w:noProof/>
                <w:sz w:val="20"/>
                <w:szCs w:val="20"/>
              </w:rPr>
              <w:t>my</w:t>
            </w:r>
            <w:r w:rsidR="000A27DC" w:rsidRPr="008A0E33">
              <w:rPr>
                <w:rFonts w:eastAsia="標楷體"/>
                <w:sz w:val="20"/>
                <w:szCs w:val="20"/>
              </w:rPr>
              <w:t xml:space="preserve"> department has a high commitment to pursuing research excellence.</w:t>
            </w:r>
          </w:p>
        </w:tc>
        <w:tc>
          <w:tcPr>
            <w:tcW w:w="763" w:type="dxa"/>
            <w:shd w:val="clear" w:color="auto" w:fill="auto"/>
          </w:tcPr>
          <w:p w14:paraId="6EB7938B"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.790</w:t>
            </w:r>
          </w:p>
        </w:tc>
      </w:tr>
      <w:tr w:rsidR="008A0E33" w:rsidRPr="008A0E33" w14:paraId="2EFC02AE" w14:textId="77777777" w:rsidTr="00B40DF7">
        <w:trPr>
          <w:trHeight w:val="283"/>
        </w:trPr>
        <w:tc>
          <w:tcPr>
            <w:tcW w:w="8735" w:type="dxa"/>
            <w:gridSpan w:val="2"/>
            <w:shd w:val="clear" w:color="auto" w:fill="auto"/>
          </w:tcPr>
          <w:p w14:paraId="1C822B93" w14:textId="77777777" w:rsidR="000A27DC" w:rsidRPr="008A0E33" w:rsidRDefault="000A27DC" w:rsidP="0057484E">
            <w:pPr>
              <w:pStyle w:val="-11"/>
              <w:numPr>
                <w:ilvl w:val="0"/>
                <w:numId w:val="28"/>
              </w:numPr>
              <w:adjustRightInd w:val="0"/>
              <w:snapToGrid w:val="0"/>
              <w:ind w:leftChars="50" w:left="290" w:hanging="170"/>
              <w:rPr>
                <w:rFonts w:eastAsia="標楷體"/>
                <w:sz w:val="20"/>
                <w:szCs w:val="20"/>
              </w:rPr>
            </w:pPr>
            <w:r w:rsidRPr="008A0E33">
              <w:rPr>
                <w:rFonts w:eastAsia="標楷體"/>
                <w:noProof/>
                <w:sz w:val="20"/>
                <w:szCs w:val="20"/>
              </w:rPr>
              <w:t>My</w:t>
            </w:r>
            <w:r w:rsidRPr="008A0E33">
              <w:rPr>
                <w:rFonts w:eastAsia="標楷體"/>
                <w:sz w:val="20"/>
                <w:szCs w:val="20"/>
              </w:rPr>
              <w:t xml:space="preserve"> colleagues have a high degree of consensus for pursuing research excellence.</w:t>
            </w:r>
          </w:p>
        </w:tc>
        <w:tc>
          <w:tcPr>
            <w:tcW w:w="763" w:type="dxa"/>
            <w:shd w:val="clear" w:color="auto" w:fill="auto"/>
          </w:tcPr>
          <w:p w14:paraId="48CE5768" w14:textId="77777777" w:rsidR="000A27DC" w:rsidRPr="008A0E33" w:rsidRDefault="000A27DC" w:rsidP="0057484E">
            <w:pPr>
              <w:adjustRightInd w:val="0"/>
              <w:snapToGrid w:val="0"/>
              <w:rPr>
                <w:rFonts w:ascii="標楷體" w:eastAsia="標楷體" w:hAnsi="標楷體" w:cs="標楷體"/>
                <w:sz w:val="20"/>
                <w:szCs w:val="20"/>
              </w:rPr>
            </w:pPr>
            <w:r w:rsidRPr="008A0E33">
              <w:rPr>
                <w:rFonts w:eastAsia="標楷體" w:hint="eastAsia"/>
                <w:sz w:val="20"/>
                <w:szCs w:val="20"/>
              </w:rPr>
              <w:t>.</w:t>
            </w:r>
            <w:r w:rsidRPr="008A0E33">
              <w:rPr>
                <w:rFonts w:eastAsia="標楷體"/>
                <w:sz w:val="20"/>
                <w:szCs w:val="20"/>
              </w:rPr>
              <w:t>739</w:t>
            </w:r>
          </w:p>
        </w:tc>
      </w:tr>
      <w:tr w:rsidR="008A0E33" w:rsidRPr="008A0E33" w14:paraId="2C096E4E" w14:textId="77777777" w:rsidTr="00B40DF7">
        <w:trPr>
          <w:trHeight w:val="283"/>
        </w:trPr>
        <w:tc>
          <w:tcPr>
            <w:tcW w:w="9498" w:type="dxa"/>
            <w:gridSpan w:val="3"/>
            <w:shd w:val="clear" w:color="auto" w:fill="auto"/>
          </w:tcPr>
          <w:p w14:paraId="14FF9525" w14:textId="77777777" w:rsidR="000A27DC" w:rsidRPr="008A0E33" w:rsidRDefault="000A27DC" w:rsidP="0057484E">
            <w:pPr>
              <w:adjustRightInd w:val="0"/>
              <w:snapToGrid w:val="0"/>
              <w:rPr>
                <w:rFonts w:eastAsia="標楷體"/>
                <w:i/>
                <w:sz w:val="20"/>
                <w:szCs w:val="20"/>
              </w:rPr>
            </w:pPr>
            <w:r w:rsidRPr="008A0E33">
              <w:rPr>
                <w:rFonts w:eastAsia="標楷體"/>
                <w:i/>
                <w:sz w:val="20"/>
                <w:szCs w:val="20"/>
              </w:rPr>
              <w:t>Faculty engagement in k</w:t>
            </w:r>
            <w:r w:rsidRPr="008A0E33">
              <w:rPr>
                <w:rFonts w:eastAsia="標楷體" w:hint="eastAsia"/>
                <w:i/>
                <w:sz w:val="20"/>
                <w:szCs w:val="20"/>
              </w:rPr>
              <w:t xml:space="preserve">nowledge </w:t>
            </w:r>
            <w:r w:rsidRPr="008A0E33">
              <w:rPr>
                <w:rFonts w:eastAsia="標楷體"/>
                <w:i/>
                <w:sz w:val="20"/>
                <w:szCs w:val="20"/>
              </w:rPr>
              <w:t xml:space="preserve">creation (eigenvalues=1.192, </w:t>
            </w:r>
            <w:r w:rsidRPr="008A0E33">
              <w:rPr>
                <w:rFonts w:ascii="標楷體" w:eastAsia="標楷體" w:hAnsi="標楷體" w:hint="eastAsia"/>
                <w:i/>
                <w:sz w:val="20"/>
                <w:szCs w:val="20"/>
              </w:rPr>
              <w:t>α</w:t>
            </w:r>
            <w:r w:rsidRPr="008A0E33">
              <w:rPr>
                <w:rFonts w:eastAsia="標楷體" w:hint="eastAsia"/>
                <w:i/>
                <w:sz w:val="20"/>
                <w:szCs w:val="20"/>
              </w:rPr>
              <w:t>=</w:t>
            </w:r>
            <w:r w:rsidRPr="008A0E33">
              <w:rPr>
                <w:rFonts w:eastAsia="標楷體"/>
                <w:i/>
                <w:sz w:val="20"/>
                <w:szCs w:val="20"/>
              </w:rPr>
              <w:t>.774</w:t>
            </w:r>
            <w:r w:rsidRPr="008A0E33">
              <w:rPr>
                <w:rFonts w:eastAsia="標楷體" w:hint="eastAsia"/>
                <w:i/>
                <w:sz w:val="20"/>
                <w:szCs w:val="20"/>
              </w:rPr>
              <w:t>)</w:t>
            </w:r>
          </w:p>
        </w:tc>
      </w:tr>
      <w:tr w:rsidR="008A0E33" w:rsidRPr="008A0E33" w14:paraId="1138DA20" w14:textId="77777777" w:rsidTr="00B40DF7">
        <w:trPr>
          <w:trHeight w:val="283"/>
        </w:trPr>
        <w:tc>
          <w:tcPr>
            <w:tcW w:w="8735" w:type="dxa"/>
            <w:gridSpan w:val="2"/>
            <w:shd w:val="clear" w:color="auto" w:fill="auto"/>
          </w:tcPr>
          <w:p w14:paraId="00D97337" w14:textId="77777777" w:rsidR="000A27DC" w:rsidRPr="008A0E33" w:rsidRDefault="000A27DC" w:rsidP="0057484E">
            <w:pPr>
              <w:pStyle w:val="-11"/>
              <w:numPr>
                <w:ilvl w:val="0"/>
                <w:numId w:val="29"/>
              </w:numPr>
              <w:adjustRightInd w:val="0"/>
              <w:snapToGrid w:val="0"/>
              <w:ind w:leftChars="50" w:left="290" w:hanging="170"/>
              <w:rPr>
                <w:rFonts w:eastAsia="標楷體"/>
                <w:sz w:val="20"/>
                <w:szCs w:val="20"/>
              </w:rPr>
            </w:pPr>
            <w:r w:rsidRPr="008A0E33">
              <w:rPr>
                <w:rFonts w:eastAsia="標楷體"/>
                <w:noProof/>
                <w:sz w:val="20"/>
                <w:szCs w:val="20"/>
              </w:rPr>
              <w:t>I</w:t>
            </w:r>
            <w:r w:rsidRPr="008A0E33">
              <w:rPr>
                <w:rFonts w:eastAsia="標楷體"/>
                <w:sz w:val="20"/>
                <w:szCs w:val="20"/>
              </w:rPr>
              <w:t xml:space="preserve"> have devoted lots of time to research excellence activities.</w:t>
            </w:r>
          </w:p>
        </w:tc>
        <w:tc>
          <w:tcPr>
            <w:tcW w:w="763" w:type="dxa"/>
            <w:shd w:val="clear" w:color="auto" w:fill="auto"/>
          </w:tcPr>
          <w:p w14:paraId="3125C665"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.725</w:t>
            </w:r>
          </w:p>
        </w:tc>
      </w:tr>
      <w:tr w:rsidR="008A0E33" w:rsidRPr="008A0E33" w14:paraId="1E8BF208" w14:textId="77777777" w:rsidTr="00B40DF7">
        <w:trPr>
          <w:trHeight w:val="283"/>
        </w:trPr>
        <w:tc>
          <w:tcPr>
            <w:tcW w:w="8735" w:type="dxa"/>
            <w:gridSpan w:val="2"/>
            <w:shd w:val="clear" w:color="auto" w:fill="auto"/>
          </w:tcPr>
          <w:p w14:paraId="4D14BCE7" w14:textId="7A0D3D5A" w:rsidR="000A27DC" w:rsidRPr="008A0E33" w:rsidRDefault="000A27DC" w:rsidP="0057484E">
            <w:pPr>
              <w:pStyle w:val="-11"/>
              <w:numPr>
                <w:ilvl w:val="0"/>
                <w:numId w:val="29"/>
              </w:numPr>
              <w:adjustRightInd w:val="0"/>
              <w:snapToGrid w:val="0"/>
              <w:ind w:leftChars="50" w:left="290" w:hanging="170"/>
              <w:rPr>
                <w:rFonts w:eastAsia="標楷體"/>
                <w:sz w:val="20"/>
                <w:szCs w:val="20"/>
              </w:rPr>
            </w:pPr>
            <w:r w:rsidRPr="008A0E33">
              <w:rPr>
                <w:rFonts w:eastAsia="標楷體"/>
                <w:noProof/>
                <w:sz w:val="20"/>
                <w:szCs w:val="20"/>
              </w:rPr>
              <w:t>I</w:t>
            </w:r>
            <w:r w:rsidRPr="008A0E33">
              <w:rPr>
                <w:rFonts w:eastAsia="標楷體"/>
                <w:sz w:val="20"/>
                <w:szCs w:val="20"/>
              </w:rPr>
              <w:t xml:space="preserve"> take charge of managing </w:t>
            </w:r>
            <w:r w:rsidR="009F663E" w:rsidRPr="008A0E33">
              <w:rPr>
                <w:rFonts w:eastAsia="標楷體"/>
                <w:sz w:val="20"/>
                <w:szCs w:val="20"/>
              </w:rPr>
              <w:t xml:space="preserve">the </w:t>
            </w:r>
            <w:r w:rsidRPr="008A0E33">
              <w:rPr>
                <w:rFonts w:eastAsia="標楷體"/>
                <w:noProof/>
                <w:sz w:val="20"/>
                <w:szCs w:val="20"/>
              </w:rPr>
              <w:t>research</w:t>
            </w:r>
            <w:r w:rsidRPr="008A0E33">
              <w:rPr>
                <w:rFonts w:eastAsia="標楷體"/>
                <w:sz w:val="20"/>
                <w:szCs w:val="20"/>
              </w:rPr>
              <w:t xml:space="preserve"> agenda and facilities in </w:t>
            </w:r>
            <w:r w:rsidRPr="008A0E33">
              <w:rPr>
                <w:rFonts w:eastAsia="標楷體"/>
                <w:noProof/>
                <w:sz w:val="20"/>
                <w:szCs w:val="20"/>
              </w:rPr>
              <w:t>my</w:t>
            </w:r>
            <w:r w:rsidRPr="008A0E33">
              <w:rPr>
                <w:rFonts w:eastAsia="標楷體"/>
                <w:sz w:val="20"/>
                <w:szCs w:val="20"/>
              </w:rPr>
              <w:t xml:space="preserve"> lab.</w:t>
            </w:r>
          </w:p>
        </w:tc>
        <w:tc>
          <w:tcPr>
            <w:tcW w:w="763" w:type="dxa"/>
            <w:shd w:val="clear" w:color="auto" w:fill="auto"/>
          </w:tcPr>
          <w:p w14:paraId="2F9FBFC0"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w:t>
            </w:r>
            <w:r w:rsidRPr="008A0E33">
              <w:rPr>
                <w:rFonts w:eastAsia="標楷體"/>
                <w:sz w:val="20"/>
                <w:szCs w:val="20"/>
              </w:rPr>
              <w:t>17</w:t>
            </w:r>
          </w:p>
        </w:tc>
      </w:tr>
      <w:tr w:rsidR="008A0E33" w:rsidRPr="008A0E33" w14:paraId="2E8303BD" w14:textId="77777777" w:rsidTr="00B40DF7">
        <w:trPr>
          <w:trHeight w:val="283"/>
        </w:trPr>
        <w:tc>
          <w:tcPr>
            <w:tcW w:w="8735" w:type="dxa"/>
            <w:gridSpan w:val="2"/>
            <w:shd w:val="clear" w:color="auto" w:fill="auto"/>
          </w:tcPr>
          <w:p w14:paraId="79D0E91B" w14:textId="77777777" w:rsidR="000A27DC" w:rsidRPr="008A0E33" w:rsidRDefault="000A27DC" w:rsidP="0057484E">
            <w:pPr>
              <w:pStyle w:val="-11"/>
              <w:numPr>
                <w:ilvl w:val="0"/>
                <w:numId w:val="29"/>
              </w:numPr>
              <w:adjustRightInd w:val="0"/>
              <w:snapToGrid w:val="0"/>
              <w:ind w:leftChars="50" w:left="290" w:hanging="170"/>
              <w:rPr>
                <w:rFonts w:eastAsia="標楷體"/>
                <w:sz w:val="20"/>
                <w:szCs w:val="20"/>
              </w:rPr>
            </w:pPr>
            <w:r w:rsidRPr="008A0E33">
              <w:rPr>
                <w:rFonts w:eastAsia="標楷體"/>
                <w:noProof/>
                <w:sz w:val="20"/>
                <w:szCs w:val="20"/>
              </w:rPr>
              <w:t>I</w:t>
            </w:r>
            <w:r w:rsidRPr="008A0E33">
              <w:rPr>
                <w:rFonts w:eastAsia="標楷體"/>
                <w:sz w:val="20"/>
                <w:szCs w:val="20"/>
              </w:rPr>
              <w:t xml:space="preserve"> frequently participate in international conferences, seminars, and workshops related to </w:t>
            </w:r>
            <w:r w:rsidRPr="008A0E33">
              <w:rPr>
                <w:rFonts w:eastAsia="標楷體"/>
                <w:noProof/>
                <w:sz w:val="20"/>
                <w:szCs w:val="20"/>
              </w:rPr>
              <w:t>my</w:t>
            </w:r>
            <w:r w:rsidRPr="008A0E33">
              <w:rPr>
                <w:rFonts w:eastAsia="標楷體"/>
                <w:sz w:val="20"/>
                <w:szCs w:val="20"/>
              </w:rPr>
              <w:t xml:space="preserve"> research agenda.</w:t>
            </w:r>
          </w:p>
        </w:tc>
        <w:tc>
          <w:tcPr>
            <w:tcW w:w="763" w:type="dxa"/>
            <w:shd w:val="clear" w:color="auto" w:fill="auto"/>
          </w:tcPr>
          <w:p w14:paraId="5E8BA698"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w:t>
            </w:r>
            <w:r w:rsidRPr="008A0E33">
              <w:rPr>
                <w:rFonts w:eastAsia="標楷體"/>
                <w:sz w:val="20"/>
                <w:szCs w:val="20"/>
              </w:rPr>
              <w:t>740</w:t>
            </w:r>
          </w:p>
        </w:tc>
      </w:tr>
      <w:tr w:rsidR="008A0E33" w:rsidRPr="008A0E33" w14:paraId="103B7C7A" w14:textId="77777777" w:rsidTr="00B40DF7">
        <w:trPr>
          <w:trHeight w:val="283"/>
        </w:trPr>
        <w:tc>
          <w:tcPr>
            <w:tcW w:w="9498" w:type="dxa"/>
            <w:gridSpan w:val="3"/>
            <w:shd w:val="clear" w:color="auto" w:fill="auto"/>
          </w:tcPr>
          <w:p w14:paraId="7333406D" w14:textId="77777777" w:rsidR="000A27DC" w:rsidRPr="008A0E33" w:rsidRDefault="000A27DC" w:rsidP="0057484E">
            <w:pPr>
              <w:adjustRightInd w:val="0"/>
              <w:snapToGrid w:val="0"/>
              <w:rPr>
                <w:rFonts w:eastAsia="標楷體"/>
                <w:i/>
                <w:sz w:val="20"/>
                <w:szCs w:val="20"/>
              </w:rPr>
            </w:pPr>
            <w:r w:rsidRPr="008A0E33">
              <w:rPr>
                <w:rFonts w:eastAsia="標楷體"/>
                <w:i/>
                <w:sz w:val="20"/>
                <w:szCs w:val="20"/>
              </w:rPr>
              <w:t>Organizational support for k</w:t>
            </w:r>
            <w:r w:rsidRPr="008A0E33">
              <w:rPr>
                <w:rFonts w:eastAsia="標楷體" w:hint="eastAsia"/>
                <w:i/>
                <w:sz w:val="20"/>
                <w:szCs w:val="20"/>
              </w:rPr>
              <w:t xml:space="preserve">nowledge </w:t>
            </w:r>
            <w:r w:rsidRPr="008A0E33">
              <w:rPr>
                <w:rFonts w:eastAsia="標楷體"/>
                <w:i/>
                <w:sz w:val="20"/>
                <w:szCs w:val="20"/>
              </w:rPr>
              <w:t xml:space="preserve">utilization (eigenvalues=7.084, </w:t>
            </w:r>
            <w:r w:rsidRPr="008A0E33">
              <w:rPr>
                <w:rFonts w:ascii="標楷體" w:eastAsia="標楷體" w:hAnsi="標楷體" w:hint="eastAsia"/>
                <w:i/>
                <w:sz w:val="20"/>
                <w:szCs w:val="20"/>
              </w:rPr>
              <w:t>α</w:t>
            </w:r>
            <w:r w:rsidRPr="008A0E33">
              <w:rPr>
                <w:rFonts w:eastAsia="標楷體" w:hint="eastAsia"/>
                <w:i/>
                <w:sz w:val="20"/>
                <w:szCs w:val="20"/>
              </w:rPr>
              <w:t>=</w:t>
            </w:r>
            <w:r w:rsidRPr="008A0E33">
              <w:rPr>
                <w:rFonts w:eastAsia="標楷體"/>
                <w:i/>
                <w:sz w:val="20"/>
                <w:szCs w:val="20"/>
              </w:rPr>
              <w:t>.965)</w:t>
            </w:r>
          </w:p>
        </w:tc>
      </w:tr>
      <w:tr w:rsidR="0069020D" w:rsidRPr="008A0E33" w14:paraId="5BDAD5F5" w14:textId="77777777" w:rsidTr="00B16C78">
        <w:trPr>
          <w:trHeight w:val="283"/>
        </w:trPr>
        <w:tc>
          <w:tcPr>
            <w:tcW w:w="8735" w:type="dxa"/>
            <w:gridSpan w:val="2"/>
          </w:tcPr>
          <w:p w14:paraId="552316EE" w14:textId="1435DCB2" w:rsidR="0069020D" w:rsidRPr="008A0E33" w:rsidRDefault="0069020D" w:rsidP="0069020D">
            <w:pPr>
              <w:pStyle w:val="-11"/>
              <w:numPr>
                <w:ilvl w:val="0"/>
                <w:numId w:val="30"/>
              </w:numPr>
              <w:adjustRightInd w:val="0"/>
              <w:snapToGrid w:val="0"/>
              <w:ind w:leftChars="50" w:left="290" w:hanging="170"/>
              <w:rPr>
                <w:rFonts w:eastAsia="標楷體"/>
                <w:sz w:val="20"/>
                <w:szCs w:val="20"/>
              </w:rPr>
            </w:pPr>
            <w:r w:rsidRPr="00651B6C">
              <w:rPr>
                <w:sz w:val="20"/>
                <w:szCs w:val="20"/>
              </w:rPr>
              <w:t>My department has provided sufficient incentives and support for faculty to apply for and protect intellectual property rights</w:t>
            </w:r>
          </w:p>
        </w:tc>
        <w:tc>
          <w:tcPr>
            <w:tcW w:w="763" w:type="dxa"/>
            <w:shd w:val="clear" w:color="auto" w:fill="auto"/>
          </w:tcPr>
          <w:p w14:paraId="3E3394A8" w14:textId="77777777" w:rsidR="0069020D" w:rsidRPr="008A0E33" w:rsidRDefault="0069020D" w:rsidP="0069020D">
            <w:pPr>
              <w:adjustRightInd w:val="0"/>
              <w:snapToGrid w:val="0"/>
              <w:rPr>
                <w:rFonts w:eastAsia="標楷體"/>
                <w:sz w:val="20"/>
                <w:szCs w:val="20"/>
              </w:rPr>
            </w:pPr>
            <w:r w:rsidRPr="008A0E33">
              <w:rPr>
                <w:rFonts w:eastAsia="標楷體" w:hint="eastAsia"/>
                <w:sz w:val="20"/>
                <w:szCs w:val="20"/>
              </w:rPr>
              <w:t>.903</w:t>
            </w:r>
          </w:p>
        </w:tc>
      </w:tr>
      <w:tr w:rsidR="0069020D" w:rsidRPr="008A0E33" w14:paraId="21DCC80B" w14:textId="77777777" w:rsidTr="00B16C78">
        <w:trPr>
          <w:trHeight w:val="283"/>
        </w:trPr>
        <w:tc>
          <w:tcPr>
            <w:tcW w:w="8735" w:type="dxa"/>
            <w:gridSpan w:val="2"/>
          </w:tcPr>
          <w:p w14:paraId="754F0B8A" w14:textId="166CD1B8" w:rsidR="0069020D" w:rsidRPr="008A0E33" w:rsidRDefault="0069020D" w:rsidP="0069020D">
            <w:pPr>
              <w:pStyle w:val="-11"/>
              <w:numPr>
                <w:ilvl w:val="0"/>
                <w:numId w:val="30"/>
              </w:numPr>
              <w:adjustRightInd w:val="0"/>
              <w:snapToGrid w:val="0"/>
              <w:ind w:leftChars="50" w:left="290" w:hanging="170"/>
              <w:rPr>
                <w:rFonts w:eastAsia="標楷體"/>
                <w:sz w:val="20"/>
                <w:szCs w:val="20"/>
              </w:rPr>
            </w:pPr>
            <w:r w:rsidRPr="00651B6C">
              <w:rPr>
                <w:sz w:val="20"/>
                <w:szCs w:val="20"/>
              </w:rPr>
              <w:t>My department has provided sufficient incentives and support for faculty to engage in technology transfers</w:t>
            </w:r>
          </w:p>
        </w:tc>
        <w:tc>
          <w:tcPr>
            <w:tcW w:w="763" w:type="dxa"/>
            <w:shd w:val="clear" w:color="auto" w:fill="auto"/>
          </w:tcPr>
          <w:p w14:paraId="747AB0C7" w14:textId="77777777" w:rsidR="0069020D" w:rsidRPr="008A0E33" w:rsidRDefault="0069020D" w:rsidP="0069020D">
            <w:pPr>
              <w:adjustRightInd w:val="0"/>
              <w:snapToGrid w:val="0"/>
              <w:rPr>
                <w:rFonts w:eastAsia="標楷體"/>
                <w:sz w:val="20"/>
                <w:szCs w:val="20"/>
              </w:rPr>
            </w:pPr>
            <w:r w:rsidRPr="008A0E33">
              <w:rPr>
                <w:rFonts w:eastAsia="標楷體" w:hint="eastAsia"/>
                <w:sz w:val="20"/>
                <w:szCs w:val="20"/>
              </w:rPr>
              <w:t>.9</w:t>
            </w:r>
            <w:r w:rsidRPr="008A0E33">
              <w:rPr>
                <w:rFonts w:eastAsia="標楷體"/>
                <w:sz w:val="20"/>
                <w:szCs w:val="20"/>
              </w:rPr>
              <w:t>46</w:t>
            </w:r>
          </w:p>
        </w:tc>
      </w:tr>
      <w:tr w:rsidR="0069020D" w:rsidRPr="008A0E33" w14:paraId="1C72D8FA" w14:textId="77777777" w:rsidTr="00B16C78">
        <w:trPr>
          <w:trHeight w:val="283"/>
        </w:trPr>
        <w:tc>
          <w:tcPr>
            <w:tcW w:w="8735" w:type="dxa"/>
            <w:gridSpan w:val="2"/>
          </w:tcPr>
          <w:p w14:paraId="2DF30A51" w14:textId="55152F76" w:rsidR="0069020D" w:rsidRPr="008A0E33" w:rsidRDefault="0069020D" w:rsidP="0069020D">
            <w:pPr>
              <w:pStyle w:val="-11"/>
              <w:numPr>
                <w:ilvl w:val="0"/>
                <w:numId w:val="30"/>
              </w:numPr>
              <w:adjustRightInd w:val="0"/>
              <w:snapToGrid w:val="0"/>
              <w:ind w:leftChars="50" w:left="290" w:hanging="170"/>
              <w:rPr>
                <w:rFonts w:eastAsia="標楷體"/>
                <w:sz w:val="20"/>
                <w:szCs w:val="20"/>
              </w:rPr>
            </w:pPr>
            <w:r w:rsidRPr="00651B6C">
              <w:rPr>
                <w:sz w:val="20"/>
                <w:szCs w:val="20"/>
              </w:rPr>
              <w:t xml:space="preserve">My department has provided sufficient incentives and support for faculty </w:t>
            </w:r>
            <w:r w:rsidR="003E3DE9">
              <w:rPr>
                <w:sz w:val="20"/>
                <w:szCs w:val="20"/>
              </w:rPr>
              <w:t xml:space="preserve">to </w:t>
            </w:r>
            <w:r w:rsidRPr="00651B6C">
              <w:rPr>
                <w:sz w:val="20"/>
                <w:szCs w:val="20"/>
              </w:rPr>
              <w:t>engage in university-industry collaborative research</w:t>
            </w:r>
          </w:p>
        </w:tc>
        <w:tc>
          <w:tcPr>
            <w:tcW w:w="763" w:type="dxa"/>
            <w:shd w:val="clear" w:color="auto" w:fill="auto"/>
          </w:tcPr>
          <w:p w14:paraId="5FDF815E" w14:textId="77777777" w:rsidR="0069020D" w:rsidRPr="008A0E33" w:rsidRDefault="0069020D" w:rsidP="0069020D">
            <w:pPr>
              <w:adjustRightInd w:val="0"/>
              <w:snapToGrid w:val="0"/>
              <w:rPr>
                <w:rFonts w:eastAsia="標楷體"/>
                <w:sz w:val="20"/>
                <w:szCs w:val="20"/>
              </w:rPr>
            </w:pPr>
            <w:r w:rsidRPr="008A0E33">
              <w:rPr>
                <w:rFonts w:eastAsia="標楷體" w:hint="eastAsia"/>
                <w:sz w:val="20"/>
                <w:szCs w:val="20"/>
              </w:rPr>
              <w:t>.9</w:t>
            </w:r>
            <w:r w:rsidRPr="008A0E33">
              <w:rPr>
                <w:rFonts w:eastAsia="標楷體"/>
                <w:sz w:val="20"/>
                <w:szCs w:val="20"/>
              </w:rPr>
              <w:t>55</w:t>
            </w:r>
          </w:p>
        </w:tc>
      </w:tr>
      <w:tr w:rsidR="0069020D" w:rsidRPr="008A0E33" w14:paraId="74CA050E" w14:textId="77777777" w:rsidTr="00B16C78">
        <w:trPr>
          <w:trHeight w:val="283"/>
        </w:trPr>
        <w:tc>
          <w:tcPr>
            <w:tcW w:w="8735" w:type="dxa"/>
            <w:gridSpan w:val="2"/>
          </w:tcPr>
          <w:p w14:paraId="7CFAC2E3" w14:textId="39AF99FE" w:rsidR="0069020D" w:rsidRPr="008A0E33" w:rsidRDefault="0069020D" w:rsidP="0069020D">
            <w:pPr>
              <w:pStyle w:val="-11"/>
              <w:numPr>
                <w:ilvl w:val="0"/>
                <w:numId w:val="30"/>
              </w:numPr>
              <w:adjustRightInd w:val="0"/>
              <w:snapToGrid w:val="0"/>
              <w:ind w:leftChars="50" w:left="290" w:hanging="170"/>
              <w:rPr>
                <w:rFonts w:eastAsia="標楷體"/>
                <w:sz w:val="20"/>
                <w:szCs w:val="20"/>
              </w:rPr>
            </w:pPr>
            <w:r w:rsidRPr="00651B6C">
              <w:rPr>
                <w:sz w:val="20"/>
                <w:szCs w:val="20"/>
              </w:rPr>
              <w:t>My department has provided sufficient incentives and support for faculty to engage in creating spin-offs</w:t>
            </w:r>
          </w:p>
        </w:tc>
        <w:tc>
          <w:tcPr>
            <w:tcW w:w="763" w:type="dxa"/>
            <w:shd w:val="clear" w:color="auto" w:fill="auto"/>
          </w:tcPr>
          <w:p w14:paraId="3B137706" w14:textId="77777777" w:rsidR="0069020D" w:rsidRPr="008A0E33" w:rsidRDefault="0069020D" w:rsidP="0069020D">
            <w:pPr>
              <w:adjustRightInd w:val="0"/>
              <w:snapToGrid w:val="0"/>
              <w:rPr>
                <w:rFonts w:eastAsia="標楷體"/>
                <w:sz w:val="20"/>
                <w:szCs w:val="20"/>
              </w:rPr>
            </w:pPr>
            <w:r w:rsidRPr="008A0E33">
              <w:rPr>
                <w:rFonts w:eastAsia="標楷體" w:hint="eastAsia"/>
                <w:sz w:val="20"/>
                <w:szCs w:val="20"/>
              </w:rPr>
              <w:t>.8</w:t>
            </w:r>
            <w:r w:rsidRPr="008A0E33">
              <w:rPr>
                <w:rFonts w:eastAsia="標楷體"/>
                <w:sz w:val="20"/>
                <w:szCs w:val="20"/>
              </w:rPr>
              <w:t>97</w:t>
            </w:r>
          </w:p>
        </w:tc>
      </w:tr>
      <w:tr w:rsidR="008A0E33" w:rsidRPr="008A0E33" w14:paraId="4153C226" w14:textId="77777777" w:rsidTr="00B40DF7">
        <w:trPr>
          <w:trHeight w:val="283"/>
        </w:trPr>
        <w:tc>
          <w:tcPr>
            <w:tcW w:w="9498" w:type="dxa"/>
            <w:gridSpan w:val="3"/>
            <w:shd w:val="clear" w:color="auto" w:fill="auto"/>
          </w:tcPr>
          <w:p w14:paraId="0530EF2A" w14:textId="77777777" w:rsidR="000A27DC" w:rsidRPr="008A0E33" w:rsidRDefault="000A27DC" w:rsidP="0057484E">
            <w:pPr>
              <w:adjustRightInd w:val="0"/>
              <w:snapToGrid w:val="0"/>
              <w:rPr>
                <w:rFonts w:eastAsia="標楷體"/>
                <w:i/>
                <w:sz w:val="20"/>
                <w:szCs w:val="20"/>
              </w:rPr>
            </w:pPr>
            <w:r w:rsidRPr="008A0E33">
              <w:rPr>
                <w:rFonts w:eastAsia="標楷體"/>
                <w:i/>
                <w:sz w:val="20"/>
                <w:szCs w:val="20"/>
              </w:rPr>
              <w:t xml:space="preserve">Faculty engagement in knowledge utilization (eigenvalues=1.209, </w:t>
            </w:r>
            <w:r w:rsidRPr="008A0E33">
              <w:rPr>
                <w:rFonts w:ascii="標楷體" w:eastAsia="標楷體" w:hAnsi="標楷體" w:hint="eastAsia"/>
                <w:i/>
                <w:sz w:val="20"/>
                <w:szCs w:val="20"/>
              </w:rPr>
              <w:t>α</w:t>
            </w:r>
            <w:r w:rsidRPr="008A0E33">
              <w:rPr>
                <w:rFonts w:eastAsia="標楷體" w:hint="eastAsia"/>
                <w:i/>
                <w:sz w:val="20"/>
                <w:szCs w:val="20"/>
              </w:rPr>
              <w:t>=</w:t>
            </w:r>
            <w:r w:rsidRPr="008A0E33">
              <w:rPr>
                <w:rFonts w:eastAsia="標楷體"/>
                <w:i/>
                <w:sz w:val="20"/>
                <w:szCs w:val="20"/>
              </w:rPr>
              <w:t>.880)</w:t>
            </w:r>
          </w:p>
        </w:tc>
      </w:tr>
      <w:tr w:rsidR="008A0E33" w:rsidRPr="008A0E33" w14:paraId="189E0A19" w14:textId="77777777" w:rsidTr="00B40DF7">
        <w:trPr>
          <w:trHeight w:val="283"/>
        </w:trPr>
        <w:tc>
          <w:tcPr>
            <w:tcW w:w="8735" w:type="dxa"/>
            <w:gridSpan w:val="2"/>
            <w:shd w:val="clear" w:color="auto" w:fill="auto"/>
          </w:tcPr>
          <w:p w14:paraId="454C05DE" w14:textId="77777777" w:rsidR="000A27DC" w:rsidRPr="008A0E33" w:rsidRDefault="000A27DC" w:rsidP="0057484E">
            <w:pPr>
              <w:pStyle w:val="-11"/>
              <w:numPr>
                <w:ilvl w:val="0"/>
                <w:numId w:val="31"/>
              </w:numPr>
              <w:adjustRightInd w:val="0"/>
              <w:snapToGrid w:val="0"/>
              <w:ind w:leftChars="50" w:left="290" w:hanging="170"/>
              <w:rPr>
                <w:rFonts w:eastAsia="標楷體"/>
                <w:sz w:val="20"/>
                <w:szCs w:val="20"/>
              </w:rPr>
            </w:pPr>
            <w:r w:rsidRPr="008A0E33">
              <w:rPr>
                <w:rFonts w:eastAsia="標楷體"/>
                <w:noProof/>
                <w:sz w:val="20"/>
                <w:szCs w:val="20"/>
              </w:rPr>
              <w:t>I</w:t>
            </w:r>
            <w:r w:rsidRPr="008A0E33">
              <w:rPr>
                <w:rFonts w:eastAsia="標楷體"/>
                <w:sz w:val="20"/>
                <w:szCs w:val="20"/>
              </w:rPr>
              <w:t xml:space="preserve"> have devoted lots of time to research commercialization activities.</w:t>
            </w:r>
          </w:p>
        </w:tc>
        <w:tc>
          <w:tcPr>
            <w:tcW w:w="763" w:type="dxa"/>
            <w:shd w:val="clear" w:color="auto" w:fill="auto"/>
          </w:tcPr>
          <w:p w14:paraId="1089FC3A"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.862</w:t>
            </w:r>
          </w:p>
        </w:tc>
      </w:tr>
      <w:tr w:rsidR="008A0E33" w:rsidRPr="008A0E33" w14:paraId="6D3B237A" w14:textId="77777777" w:rsidTr="00B40DF7">
        <w:trPr>
          <w:trHeight w:val="283"/>
        </w:trPr>
        <w:tc>
          <w:tcPr>
            <w:tcW w:w="8735" w:type="dxa"/>
            <w:gridSpan w:val="2"/>
            <w:tcBorders>
              <w:bottom w:val="nil"/>
            </w:tcBorders>
            <w:shd w:val="clear" w:color="auto" w:fill="auto"/>
          </w:tcPr>
          <w:p w14:paraId="01F6306F" w14:textId="77777777" w:rsidR="000A27DC" w:rsidRPr="008A0E33" w:rsidRDefault="000A27DC" w:rsidP="0057484E">
            <w:pPr>
              <w:pStyle w:val="-11"/>
              <w:numPr>
                <w:ilvl w:val="0"/>
                <w:numId w:val="31"/>
              </w:numPr>
              <w:adjustRightInd w:val="0"/>
              <w:snapToGrid w:val="0"/>
              <w:ind w:leftChars="50" w:left="290" w:hanging="170"/>
              <w:rPr>
                <w:rFonts w:eastAsia="標楷體"/>
                <w:sz w:val="20"/>
                <w:szCs w:val="20"/>
              </w:rPr>
            </w:pPr>
            <w:r w:rsidRPr="008A0E33">
              <w:rPr>
                <w:rFonts w:eastAsia="標楷體"/>
                <w:noProof/>
                <w:sz w:val="20"/>
                <w:szCs w:val="20"/>
              </w:rPr>
              <w:t>I</w:t>
            </w:r>
            <w:r w:rsidRPr="008A0E33">
              <w:rPr>
                <w:rFonts w:eastAsia="標楷體"/>
                <w:sz w:val="20"/>
                <w:szCs w:val="20"/>
              </w:rPr>
              <w:t xml:space="preserve"> frequently participate in technical conferences, industry forums, commercial exhibitions related to </w:t>
            </w:r>
            <w:r w:rsidRPr="008A0E33">
              <w:rPr>
                <w:rFonts w:eastAsia="標楷體"/>
                <w:noProof/>
                <w:sz w:val="20"/>
                <w:szCs w:val="20"/>
              </w:rPr>
              <w:t>my</w:t>
            </w:r>
            <w:r w:rsidRPr="008A0E33">
              <w:rPr>
                <w:rFonts w:eastAsia="標楷體"/>
                <w:sz w:val="20"/>
                <w:szCs w:val="20"/>
              </w:rPr>
              <w:t xml:space="preserve"> research agenda.</w:t>
            </w:r>
          </w:p>
        </w:tc>
        <w:tc>
          <w:tcPr>
            <w:tcW w:w="763" w:type="dxa"/>
            <w:tcBorders>
              <w:bottom w:val="nil"/>
            </w:tcBorders>
            <w:shd w:val="clear" w:color="auto" w:fill="auto"/>
          </w:tcPr>
          <w:p w14:paraId="5CACD383"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.851</w:t>
            </w:r>
          </w:p>
        </w:tc>
      </w:tr>
      <w:tr w:rsidR="008A0E33" w:rsidRPr="008A0E33" w14:paraId="208516E5" w14:textId="77777777" w:rsidTr="00B40DF7">
        <w:trPr>
          <w:trHeight w:val="283"/>
        </w:trPr>
        <w:tc>
          <w:tcPr>
            <w:tcW w:w="8735" w:type="dxa"/>
            <w:gridSpan w:val="2"/>
            <w:tcBorders>
              <w:top w:val="nil"/>
              <w:bottom w:val="single" w:sz="4" w:space="0" w:color="auto"/>
            </w:tcBorders>
            <w:shd w:val="clear" w:color="auto" w:fill="auto"/>
          </w:tcPr>
          <w:p w14:paraId="10CCFCD4" w14:textId="17AD3E9F" w:rsidR="000A27DC" w:rsidRPr="008A0E33" w:rsidRDefault="00596F3C" w:rsidP="00596F3C">
            <w:pPr>
              <w:pStyle w:val="-11"/>
              <w:numPr>
                <w:ilvl w:val="0"/>
                <w:numId w:val="31"/>
              </w:numPr>
              <w:adjustRightInd w:val="0"/>
              <w:snapToGrid w:val="0"/>
              <w:ind w:leftChars="50" w:left="290" w:hanging="170"/>
              <w:rPr>
                <w:rFonts w:eastAsia="標楷體"/>
                <w:sz w:val="20"/>
                <w:szCs w:val="20"/>
              </w:rPr>
            </w:pPr>
            <w:r>
              <w:rPr>
                <w:rFonts w:eastAsia="標楷體"/>
                <w:sz w:val="20"/>
                <w:szCs w:val="20"/>
              </w:rPr>
              <w:t>I</w:t>
            </w:r>
            <w:r w:rsidR="000A27DC" w:rsidRPr="008A0E33">
              <w:rPr>
                <w:rFonts w:eastAsia="標楷體"/>
                <w:sz w:val="20"/>
                <w:szCs w:val="20"/>
              </w:rPr>
              <w:t xml:space="preserve">ndustrial firms have shown great interest in commercializing </w:t>
            </w:r>
            <w:r w:rsidR="000A27DC" w:rsidRPr="008A0E33">
              <w:rPr>
                <w:rFonts w:eastAsia="標楷體"/>
                <w:noProof/>
                <w:sz w:val="20"/>
                <w:szCs w:val="20"/>
              </w:rPr>
              <w:t>my</w:t>
            </w:r>
            <w:r w:rsidR="000A27DC" w:rsidRPr="008A0E33">
              <w:rPr>
                <w:rFonts w:eastAsia="標楷體"/>
                <w:sz w:val="20"/>
                <w:szCs w:val="20"/>
              </w:rPr>
              <w:t xml:space="preserve"> research and keep</w:t>
            </w:r>
            <w:r>
              <w:rPr>
                <w:rFonts w:eastAsia="標楷體"/>
                <w:sz w:val="20"/>
                <w:szCs w:val="20"/>
              </w:rPr>
              <w:t>ing in</w:t>
            </w:r>
            <w:r w:rsidR="000A27DC" w:rsidRPr="008A0E33">
              <w:rPr>
                <w:rFonts w:eastAsia="標楷體"/>
                <w:sz w:val="20"/>
                <w:szCs w:val="20"/>
              </w:rPr>
              <w:t xml:space="preserve"> contact.</w:t>
            </w:r>
          </w:p>
        </w:tc>
        <w:tc>
          <w:tcPr>
            <w:tcW w:w="763" w:type="dxa"/>
            <w:tcBorders>
              <w:top w:val="nil"/>
              <w:bottom w:val="single" w:sz="4" w:space="0" w:color="auto"/>
            </w:tcBorders>
            <w:shd w:val="clear" w:color="auto" w:fill="auto"/>
          </w:tcPr>
          <w:p w14:paraId="230C0E16"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.8</w:t>
            </w:r>
            <w:r w:rsidRPr="008A0E33">
              <w:rPr>
                <w:rFonts w:eastAsia="標楷體"/>
                <w:sz w:val="20"/>
                <w:szCs w:val="20"/>
              </w:rPr>
              <w:t>42</w:t>
            </w:r>
          </w:p>
        </w:tc>
      </w:tr>
      <w:tr w:rsidR="008A0E33" w:rsidRPr="008A0E33" w14:paraId="2AEDDC04" w14:textId="77777777" w:rsidTr="00B40DF7">
        <w:trPr>
          <w:trHeight w:val="283"/>
        </w:trPr>
        <w:tc>
          <w:tcPr>
            <w:tcW w:w="9498" w:type="dxa"/>
            <w:gridSpan w:val="3"/>
            <w:tcBorders>
              <w:top w:val="single" w:sz="4" w:space="0" w:color="auto"/>
            </w:tcBorders>
            <w:shd w:val="clear" w:color="auto" w:fill="auto"/>
          </w:tcPr>
          <w:p w14:paraId="2CCC0BCF" w14:textId="506B2DFE" w:rsidR="000A27DC" w:rsidRPr="008A0E33" w:rsidRDefault="002A46B9" w:rsidP="0057484E">
            <w:pPr>
              <w:adjustRightInd w:val="0"/>
              <w:snapToGrid w:val="0"/>
              <w:rPr>
                <w:rFonts w:eastAsia="標楷體"/>
                <w:i/>
                <w:sz w:val="20"/>
                <w:szCs w:val="20"/>
              </w:rPr>
            </w:pPr>
            <w:r w:rsidRPr="008A0E33">
              <w:rPr>
                <w:rFonts w:eastAsia="標楷體"/>
                <w:i/>
                <w:sz w:val="20"/>
                <w:szCs w:val="20"/>
              </w:rPr>
              <w:t>Departmental collective efficacy</w:t>
            </w:r>
            <w:r w:rsidR="000A27DC" w:rsidRPr="008A0E33">
              <w:rPr>
                <w:rFonts w:eastAsia="標楷體"/>
                <w:i/>
                <w:sz w:val="20"/>
                <w:szCs w:val="20"/>
              </w:rPr>
              <w:t xml:space="preserve"> (eigenvalues=1.048, </w:t>
            </w:r>
            <w:r w:rsidR="000A27DC" w:rsidRPr="008A0E33">
              <w:rPr>
                <w:rFonts w:ascii="標楷體" w:eastAsia="標楷體" w:hAnsi="標楷體" w:hint="eastAsia"/>
                <w:i/>
                <w:sz w:val="20"/>
                <w:szCs w:val="20"/>
              </w:rPr>
              <w:t>α</w:t>
            </w:r>
            <w:r w:rsidR="000A27DC" w:rsidRPr="008A0E33">
              <w:rPr>
                <w:rFonts w:eastAsia="標楷體" w:hint="eastAsia"/>
                <w:i/>
                <w:sz w:val="20"/>
                <w:szCs w:val="20"/>
              </w:rPr>
              <w:t>=</w:t>
            </w:r>
            <w:r w:rsidR="000A27DC" w:rsidRPr="008A0E33">
              <w:rPr>
                <w:rFonts w:eastAsia="標楷體"/>
                <w:i/>
                <w:sz w:val="20"/>
                <w:szCs w:val="20"/>
              </w:rPr>
              <w:t>.750)</w:t>
            </w:r>
          </w:p>
        </w:tc>
      </w:tr>
      <w:tr w:rsidR="008A0E33" w:rsidRPr="008A0E33" w14:paraId="237BEC53" w14:textId="77777777" w:rsidTr="00B40DF7">
        <w:trPr>
          <w:trHeight w:val="283"/>
        </w:trPr>
        <w:tc>
          <w:tcPr>
            <w:tcW w:w="8735" w:type="dxa"/>
            <w:gridSpan w:val="2"/>
            <w:shd w:val="clear" w:color="auto" w:fill="auto"/>
          </w:tcPr>
          <w:p w14:paraId="021E5ACD" w14:textId="750DFC9C" w:rsidR="000A27DC" w:rsidRPr="008A0E33" w:rsidRDefault="000A27DC" w:rsidP="0069020D">
            <w:pPr>
              <w:pStyle w:val="-11"/>
              <w:numPr>
                <w:ilvl w:val="0"/>
                <w:numId w:val="32"/>
              </w:numPr>
              <w:adjustRightInd w:val="0"/>
              <w:snapToGrid w:val="0"/>
              <w:ind w:leftChars="50" w:left="290" w:hanging="170"/>
              <w:rPr>
                <w:rFonts w:eastAsia="標楷體"/>
                <w:sz w:val="20"/>
                <w:szCs w:val="20"/>
              </w:rPr>
            </w:pPr>
            <w:r w:rsidRPr="008A0E33">
              <w:rPr>
                <w:rFonts w:eastAsia="標楷體"/>
                <w:sz w:val="20"/>
                <w:szCs w:val="20"/>
              </w:rPr>
              <w:t xml:space="preserve">Compared to </w:t>
            </w:r>
            <w:r w:rsidRPr="008A0E33">
              <w:rPr>
                <w:rFonts w:eastAsia="標楷體"/>
                <w:noProof/>
                <w:sz w:val="20"/>
                <w:szCs w:val="20"/>
              </w:rPr>
              <w:t>equivalent</w:t>
            </w:r>
            <w:r w:rsidRPr="008A0E33">
              <w:rPr>
                <w:rFonts w:eastAsia="標楷體"/>
                <w:sz w:val="20"/>
                <w:szCs w:val="20"/>
              </w:rPr>
              <w:t xml:space="preserve"> departments in other universities, </w:t>
            </w:r>
            <w:r w:rsidRPr="008A0E33">
              <w:rPr>
                <w:rFonts w:eastAsia="標楷體"/>
                <w:noProof/>
                <w:sz w:val="20"/>
                <w:szCs w:val="20"/>
              </w:rPr>
              <w:t>my</w:t>
            </w:r>
            <w:r w:rsidRPr="008A0E33">
              <w:rPr>
                <w:rFonts w:eastAsia="標楷體"/>
                <w:sz w:val="20"/>
                <w:szCs w:val="20"/>
              </w:rPr>
              <w:t xml:space="preserve"> department </w:t>
            </w:r>
            <w:r w:rsidR="002A46B9" w:rsidRPr="008A0E33">
              <w:rPr>
                <w:rFonts w:eastAsia="標楷體"/>
                <w:sz w:val="20"/>
                <w:szCs w:val="20"/>
              </w:rPr>
              <w:t>ha</w:t>
            </w:r>
            <w:r w:rsidR="003A0E7C" w:rsidRPr="008A0E33">
              <w:rPr>
                <w:rFonts w:eastAsia="標楷體"/>
                <w:sz w:val="20"/>
                <w:szCs w:val="20"/>
              </w:rPr>
              <w:t>s</w:t>
            </w:r>
            <w:r w:rsidRPr="008A0E33">
              <w:rPr>
                <w:rFonts w:eastAsia="標楷體"/>
                <w:sz w:val="20"/>
                <w:szCs w:val="20"/>
              </w:rPr>
              <w:t xml:space="preserve"> </w:t>
            </w:r>
            <w:r w:rsidR="001B5070" w:rsidRPr="008A0E33">
              <w:rPr>
                <w:rFonts w:eastAsia="標楷體"/>
                <w:sz w:val="20"/>
                <w:szCs w:val="20"/>
              </w:rPr>
              <w:t xml:space="preserve">excellent </w:t>
            </w:r>
            <w:r w:rsidR="003A0E7C" w:rsidRPr="008A0E33">
              <w:rPr>
                <w:rFonts w:eastAsia="標楷體"/>
                <w:sz w:val="20"/>
                <w:szCs w:val="20"/>
              </w:rPr>
              <w:t xml:space="preserve">capabilities and organizational practices </w:t>
            </w:r>
            <w:r w:rsidR="0069020D">
              <w:rPr>
                <w:rFonts w:eastAsia="標楷體"/>
                <w:sz w:val="20"/>
                <w:szCs w:val="20"/>
              </w:rPr>
              <w:t>for</w:t>
            </w:r>
            <w:r w:rsidR="003A0E7C" w:rsidRPr="008A0E33">
              <w:rPr>
                <w:rFonts w:eastAsia="標楷體"/>
                <w:sz w:val="20"/>
                <w:szCs w:val="20"/>
              </w:rPr>
              <w:t xml:space="preserve"> the implementation of pursuing </w:t>
            </w:r>
            <w:r w:rsidRPr="008A0E33">
              <w:rPr>
                <w:rFonts w:eastAsia="標楷體"/>
                <w:sz w:val="20"/>
                <w:szCs w:val="20"/>
              </w:rPr>
              <w:t>research excellence.</w:t>
            </w:r>
          </w:p>
        </w:tc>
        <w:tc>
          <w:tcPr>
            <w:tcW w:w="763" w:type="dxa"/>
            <w:shd w:val="clear" w:color="auto" w:fill="auto"/>
          </w:tcPr>
          <w:p w14:paraId="618E19AD"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w:t>
            </w:r>
            <w:r w:rsidRPr="008A0E33">
              <w:rPr>
                <w:rFonts w:eastAsia="標楷體"/>
                <w:sz w:val="20"/>
                <w:szCs w:val="20"/>
              </w:rPr>
              <w:t>741</w:t>
            </w:r>
          </w:p>
        </w:tc>
      </w:tr>
      <w:tr w:rsidR="008A0E33" w:rsidRPr="008A0E33" w14:paraId="37E88F7C" w14:textId="77777777" w:rsidTr="00B40DF7">
        <w:trPr>
          <w:trHeight w:val="283"/>
        </w:trPr>
        <w:tc>
          <w:tcPr>
            <w:tcW w:w="8735" w:type="dxa"/>
            <w:gridSpan w:val="2"/>
            <w:tcBorders>
              <w:bottom w:val="nil"/>
            </w:tcBorders>
            <w:shd w:val="clear" w:color="auto" w:fill="auto"/>
          </w:tcPr>
          <w:p w14:paraId="6425FAE6" w14:textId="1CAE25CC" w:rsidR="000A27DC" w:rsidRPr="008A0E33" w:rsidRDefault="000A27DC" w:rsidP="0069020D">
            <w:pPr>
              <w:pStyle w:val="-11"/>
              <w:numPr>
                <w:ilvl w:val="0"/>
                <w:numId w:val="32"/>
              </w:numPr>
              <w:adjustRightInd w:val="0"/>
              <w:snapToGrid w:val="0"/>
              <w:ind w:leftChars="50" w:left="290" w:hanging="170"/>
              <w:rPr>
                <w:rFonts w:eastAsia="標楷體"/>
                <w:sz w:val="20"/>
                <w:szCs w:val="20"/>
              </w:rPr>
            </w:pPr>
            <w:r w:rsidRPr="008A0E33">
              <w:rPr>
                <w:rFonts w:eastAsia="標楷體"/>
                <w:sz w:val="20"/>
                <w:szCs w:val="20"/>
              </w:rPr>
              <w:t xml:space="preserve">Compared to </w:t>
            </w:r>
            <w:r w:rsidRPr="008A0E33">
              <w:rPr>
                <w:rFonts w:eastAsia="標楷體"/>
                <w:noProof/>
                <w:sz w:val="20"/>
                <w:szCs w:val="20"/>
              </w:rPr>
              <w:t>equivalent</w:t>
            </w:r>
            <w:r w:rsidRPr="008A0E33">
              <w:rPr>
                <w:rFonts w:eastAsia="標楷體"/>
                <w:sz w:val="20"/>
                <w:szCs w:val="20"/>
              </w:rPr>
              <w:t xml:space="preserve"> departments in other universities, </w:t>
            </w:r>
            <w:r w:rsidR="003A0E7C" w:rsidRPr="008A0E33">
              <w:rPr>
                <w:rFonts w:eastAsia="標楷體"/>
                <w:noProof/>
                <w:sz w:val="20"/>
                <w:szCs w:val="20"/>
              </w:rPr>
              <w:t>my</w:t>
            </w:r>
            <w:r w:rsidR="003A0E7C" w:rsidRPr="008A0E33">
              <w:rPr>
                <w:rFonts w:eastAsia="標楷體"/>
                <w:sz w:val="20"/>
                <w:szCs w:val="20"/>
              </w:rPr>
              <w:t xml:space="preserve"> department has excellent capabilities and organizational practices</w:t>
            </w:r>
            <w:r w:rsidR="0069020D">
              <w:rPr>
                <w:rFonts w:eastAsia="標楷體"/>
                <w:sz w:val="20"/>
                <w:szCs w:val="20"/>
              </w:rPr>
              <w:t xml:space="preserve"> for</w:t>
            </w:r>
            <w:r w:rsidR="003A0E7C" w:rsidRPr="008A0E33">
              <w:rPr>
                <w:rFonts w:eastAsia="標楷體"/>
                <w:sz w:val="20"/>
                <w:szCs w:val="20"/>
              </w:rPr>
              <w:t xml:space="preserve"> the implementation of pursuing research commercialization.</w:t>
            </w:r>
          </w:p>
        </w:tc>
        <w:tc>
          <w:tcPr>
            <w:tcW w:w="763" w:type="dxa"/>
            <w:tcBorders>
              <w:bottom w:val="nil"/>
            </w:tcBorders>
            <w:shd w:val="clear" w:color="auto" w:fill="auto"/>
          </w:tcPr>
          <w:p w14:paraId="20174616"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.65</w:t>
            </w:r>
            <w:r w:rsidRPr="008A0E33">
              <w:rPr>
                <w:rFonts w:eastAsia="標楷體"/>
                <w:sz w:val="20"/>
                <w:szCs w:val="20"/>
              </w:rPr>
              <w:t>5</w:t>
            </w:r>
          </w:p>
        </w:tc>
      </w:tr>
      <w:tr w:rsidR="008A0E33" w:rsidRPr="008A0E33" w14:paraId="367B5B13" w14:textId="77777777" w:rsidTr="00B40DF7">
        <w:trPr>
          <w:trHeight w:val="283"/>
        </w:trPr>
        <w:tc>
          <w:tcPr>
            <w:tcW w:w="8735" w:type="dxa"/>
            <w:gridSpan w:val="2"/>
            <w:tcBorders>
              <w:top w:val="nil"/>
              <w:bottom w:val="single" w:sz="12" w:space="0" w:color="auto"/>
            </w:tcBorders>
            <w:shd w:val="clear" w:color="auto" w:fill="auto"/>
          </w:tcPr>
          <w:p w14:paraId="6FD56B8D" w14:textId="5A9154BF" w:rsidR="000A27DC" w:rsidRPr="008A0E33" w:rsidRDefault="003A0E7C" w:rsidP="0057484E">
            <w:pPr>
              <w:pStyle w:val="-11"/>
              <w:numPr>
                <w:ilvl w:val="0"/>
                <w:numId w:val="32"/>
              </w:numPr>
              <w:adjustRightInd w:val="0"/>
              <w:snapToGrid w:val="0"/>
              <w:ind w:leftChars="50" w:left="290" w:hanging="170"/>
              <w:rPr>
                <w:rFonts w:eastAsia="標楷體"/>
                <w:sz w:val="20"/>
                <w:szCs w:val="20"/>
              </w:rPr>
            </w:pPr>
            <w:r w:rsidRPr="008A0E33">
              <w:rPr>
                <w:rFonts w:eastAsia="標楷體"/>
                <w:noProof/>
                <w:sz w:val="20"/>
                <w:szCs w:val="20"/>
              </w:rPr>
              <w:t>My colleagues are confident that our department has sufficient abilities to achieve the missions of the university.</w:t>
            </w:r>
          </w:p>
        </w:tc>
        <w:tc>
          <w:tcPr>
            <w:tcW w:w="763" w:type="dxa"/>
            <w:tcBorders>
              <w:top w:val="nil"/>
              <w:bottom w:val="single" w:sz="12" w:space="0" w:color="auto"/>
            </w:tcBorders>
            <w:shd w:val="clear" w:color="auto" w:fill="auto"/>
          </w:tcPr>
          <w:p w14:paraId="698BE274" w14:textId="77777777" w:rsidR="000A27DC" w:rsidRPr="008A0E33" w:rsidRDefault="000A27DC" w:rsidP="0057484E">
            <w:pPr>
              <w:adjustRightInd w:val="0"/>
              <w:snapToGrid w:val="0"/>
              <w:rPr>
                <w:rFonts w:eastAsia="標楷體"/>
                <w:sz w:val="20"/>
                <w:szCs w:val="20"/>
              </w:rPr>
            </w:pPr>
            <w:r w:rsidRPr="008A0E33">
              <w:rPr>
                <w:rFonts w:eastAsia="標楷體" w:hint="eastAsia"/>
                <w:sz w:val="20"/>
                <w:szCs w:val="20"/>
              </w:rPr>
              <w:t>.7</w:t>
            </w:r>
            <w:r w:rsidRPr="008A0E33">
              <w:rPr>
                <w:rFonts w:eastAsia="標楷體"/>
                <w:sz w:val="20"/>
                <w:szCs w:val="20"/>
              </w:rPr>
              <w:t>28</w:t>
            </w:r>
          </w:p>
        </w:tc>
      </w:tr>
    </w:tbl>
    <w:p w14:paraId="3E6D2859" w14:textId="4CDA02CC" w:rsidR="00EC2BE9" w:rsidRPr="008A0E33" w:rsidRDefault="000A27DC" w:rsidP="0057484E">
      <w:r w:rsidRPr="008A0E33">
        <w:rPr>
          <w:b/>
        </w:rPr>
        <w:t>Appendix 1</w:t>
      </w:r>
      <w:r w:rsidRPr="008A0E33">
        <w:t xml:space="preserve"> </w:t>
      </w:r>
      <w:r w:rsidRPr="008A0E33">
        <w:rPr>
          <w:b/>
          <w:bCs/>
        </w:rPr>
        <w:t>Item</w:t>
      </w:r>
      <w:r w:rsidRPr="008A0E33">
        <w:rPr>
          <w:rFonts w:hint="eastAsia"/>
          <w:b/>
          <w:bCs/>
        </w:rPr>
        <w:t>s</w:t>
      </w:r>
      <w:r w:rsidRPr="008A0E33">
        <w:rPr>
          <w:b/>
          <w:bCs/>
        </w:rPr>
        <w:t xml:space="preserve"> and</w:t>
      </w:r>
      <w:r w:rsidRPr="008A0E33">
        <w:rPr>
          <w:rFonts w:hint="eastAsia"/>
          <w:b/>
          <w:bCs/>
        </w:rPr>
        <w:t xml:space="preserve"> </w:t>
      </w:r>
      <w:r w:rsidRPr="008A0E33">
        <w:rPr>
          <w:b/>
          <w:bCs/>
        </w:rPr>
        <w:t>Factor Analys</w:t>
      </w:r>
      <w:r w:rsidRPr="008A0E33">
        <w:rPr>
          <w:rFonts w:hint="eastAsia"/>
          <w:b/>
          <w:bCs/>
        </w:rPr>
        <w:t>is</w:t>
      </w:r>
    </w:p>
    <w:sectPr w:rsidR="00EC2BE9" w:rsidRPr="008A0E33" w:rsidSect="004109D3">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4A5B0" w14:textId="77777777" w:rsidR="00B024E1" w:rsidRDefault="00B024E1" w:rsidP="00BC2632">
      <w:r>
        <w:separator/>
      </w:r>
    </w:p>
  </w:endnote>
  <w:endnote w:type="continuationSeparator" w:id="0">
    <w:p w14:paraId="2C8218D5" w14:textId="77777777" w:rsidR="00B024E1" w:rsidRDefault="00B024E1" w:rsidP="00BC2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Heiti TC Light">
    <w:altName w:val="Calibri"/>
    <w:charset w:val="51"/>
    <w:family w:val="auto"/>
    <w:pitch w:val="variable"/>
    <w:sig w:usb0="00000000" w:usb1="0808004A" w:usb2="00000010" w:usb3="00000000" w:csb0="003E0000" w:csb1="00000000"/>
  </w:font>
  <w:font w:name="Arial">
    <w:panose1 w:val="020B0604020202020204"/>
    <w:charset w:val="00"/>
    <w:family w:val="swiss"/>
    <w:pitch w:val="variable"/>
    <w:sig w:usb0="E0002AFF" w:usb1="C0007843" w:usb2="00000009" w:usb3="00000000" w:csb0="000001FF" w:csb1="00000000"/>
  </w:font>
  <w:font w:name="AdvEPSTIM">
    <w:altName w:val="細明體"/>
    <w:panose1 w:val="00000000000000000000"/>
    <w:charset w:val="88"/>
    <w:family w:val="auto"/>
    <w:notTrueType/>
    <w:pitch w:val="default"/>
    <w:sig w:usb0="00000001" w:usb1="08080000" w:usb2="00000010" w:usb3="00000000" w:csb0="00100000"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36B2B6" w14:textId="77777777" w:rsidR="009B6FA9" w:rsidRDefault="009B6FA9" w:rsidP="00C1252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4772BF04" w14:textId="77777777" w:rsidR="009B6FA9" w:rsidRDefault="009B6FA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B19B33" w14:textId="49E674FA" w:rsidR="009B6FA9" w:rsidRDefault="009B6FA9" w:rsidP="00C1252A">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722711">
      <w:rPr>
        <w:rStyle w:val="a7"/>
        <w:noProof/>
      </w:rPr>
      <w:t>29</w:t>
    </w:r>
    <w:r>
      <w:rPr>
        <w:rStyle w:val="a7"/>
      </w:rPr>
      <w:fldChar w:fldCharType="end"/>
    </w:r>
  </w:p>
  <w:p w14:paraId="789BD7C7" w14:textId="77777777" w:rsidR="009B6FA9" w:rsidRDefault="009B6FA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C291A" w14:textId="77777777" w:rsidR="00B024E1" w:rsidRDefault="00B024E1" w:rsidP="00BC2632">
      <w:r>
        <w:separator/>
      </w:r>
    </w:p>
  </w:footnote>
  <w:footnote w:type="continuationSeparator" w:id="0">
    <w:p w14:paraId="4DF9FB17" w14:textId="77777777" w:rsidR="00B024E1" w:rsidRDefault="00B024E1" w:rsidP="00BC26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5F9A"/>
    <w:multiLevelType w:val="multilevel"/>
    <w:tmpl w:val="A954ADA0"/>
    <w:lvl w:ilvl="0">
      <w:start w:val="1"/>
      <w:numFmt w:val="decimal"/>
      <w:lvlText w:val="%1."/>
      <w:lvlJc w:val="left"/>
      <w:pPr>
        <w:tabs>
          <w:tab w:val="num" w:pos="1713"/>
        </w:tabs>
        <w:ind w:left="1713" w:hanging="360"/>
      </w:pPr>
    </w:lvl>
    <w:lvl w:ilvl="1" w:tentative="1">
      <w:start w:val="1"/>
      <w:numFmt w:val="decimal"/>
      <w:lvlText w:val="%2."/>
      <w:lvlJc w:val="left"/>
      <w:pPr>
        <w:tabs>
          <w:tab w:val="num" w:pos="2433"/>
        </w:tabs>
        <w:ind w:left="2433" w:hanging="360"/>
      </w:pPr>
    </w:lvl>
    <w:lvl w:ilvl="2" w:tentative="1">
      <w:start w:val="1"/>
      <w:numFmt w:val="decimal"/>
      <w:lvlText w:val="%3."/>
      <w:lvlJc w:val="left"/>
      <w:pPr>
        <w:tabs>
          <w:tab w:val="num" w:pos="3153"/>
        </w:tabs>
        <w:ind w:left="3153" w:hanging="360"/>
      </w:pPr>
    </w:lvl>
    <w:lvl w:ilvl="3" w:tentative="1">
      <w:start w:val="1"/>
      <w:numFmt w:val="decimal"/>
      <w:lvlText w:val="%4."/>
      <w:lvlJc w:val="left"/>
      <w:pPr>
        <w:tabs>
          <w:tab w:val="num" w:pos="3873"/>
        </w:tabs>
        <w:ind w:left="3873" w:hanging="360"/>
      </w:pPr>
    </w:lvl>
    <w:lvl w:ilvl="4" w:tentative="1">
      <w:start w:val="1"/>
      <w:numFmt w:val="decimal"/>
      <w:lvlText w:val="%5."/>
      <w:lvlJc w:val="left"/>
      <w:pPr>
        <w:tabs>
          <w:tab w:val="num" w:pos="4593"/>
        </w:tabs>
        <w:ind w:left="4593" w:hanging="360"/>
      </w:pPr>
    </w:lvl>
    <w:lvl w:ilvl="5" w:tentative="1">
      <w:start w:val="1"/>
      <w:numFmt w:val="decimal"/>
      <w:lvlText w:val="%6."/>
      <w:lvlJc w:val="left"/>
      <w:pPr>
        <w:tabs>
          <w:tab w:val="num" w:pos="5313"/>
        </w:tabs>
        <w:ind w:left="5313" w:hanging="360"/>
      </w:pPr>
    </w:lvl>
    <w:lvl w:ilvl="6" w:tentative="1">
      <w:start w:val="1"/>
      <w:numFmt w:val="decimal"/>
      <w:lvlText w:val="%7."/>
      <w:lvlJc w:val="left"/>
      <w:pPr>
        <w:tabs>
          <w:tab w:val="num" w:pos="6033"/>
        </w:tabs>
        <w:ind w:left="6033" w:hanging="360"/>
      </w:pPr>
    </w:lvl>
    <w:lvl w:ilvl="7" w:tentative="1">
      <w:start w:val="1"/>
      <w:numFmt w:val="decimal"/>
      <w:lvlText w:val="%8."/>
      <w:lvlJc w:val="left"/>
      <w:pPr>
        <w:tabs>
          <w:tab w:val="num" w:pos="6753"/>
        </w:tabs>
        <w:ind w:left="6753" w:hanging="360"/>
      </w:pPr>
    </w:lvl>
    <w:lvl w:ilvl="8" w:tentative="1">
      <w:start w:val="1"/>
      <w:numFmt w:val="decimal"/>
      <w:lvlText w:val="%9."/>
      <w:lvlJc w:val="left"/>
      <w:pPr>
        <w:tabs>
          <w:tab w:val="num" w:pos="7473"/>
        </w:tabs>
        <w:ind w:left="7473" w:hanging="360"/>
      </w:pPr>
    </w:lvl>
  </w:abstractNum>
  <w:abstractNum w:abstractNumId="1" w15:restartNumberingAfterBreak="0">
    <w:nsid w:val="030A46F4"/>
    <w:multiLevelType w:val="multilevel"/>
    <w:tmpl w:val="8990B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946D0"/>
    <w:multiLevelType w:val="hybridMultilevel"/>
    <w:tmpl w:val="233E8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CB6A6A"/>
    <w:multiLevelType w:val="hybridMultilevel"/>
    <w:tmpl w:val="233E8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A271CE6"/>
    <w:multiLevelType w:val="multilevel"/>
    <w:tmpl w:val="CA98D764"/>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E33A3D"/>
    <w:multiLevelType w:val="multilevel"/>
    <w:tmpl w:val="E99CCA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25064"/>
    <w:multiLevelType w:val="multilevel"/>
    <w:tmpl w:val="9BAEFE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455434"/>
    <w:multiLevelType w:val="multilevel"/>
    <w:tmpl w:val="42D2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35835"/>
    <w:multiLevelType w:val="multilevel"/>
    <w:tmpl w:val="67DE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758D7"/>
    <w:multiLevelType w:val="multilevel"/>
    <w:tmpl w:val="CE343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72090A"/>
    <w:multiLevelType w:val="hybridMultilevel"/>
    <w:tmpl w:val="233E8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416A6F"/>
    <w:multiLevelType w:val="multilevel"/>
    <w:tmpl w:val="C04462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64F95"/>
    <w:multiLevelType w:val="multilevel"/>
    <w:tmpl w:val="B106E5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2C3006"/>
    <w:multiLevelType w:val="hybridMultilevel"/>
    <w:tmpl w:val="93D26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EE76BE7"/>
    <w:multiLevelType w:val="multilevel"/>
    <w:tmpl w:val="757469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320F2D"/>
    <w:multiLevelType w:val="multilevel"/>
    <w:tmpl w:val="DA14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0A05DE"/>
    <w:multiLevelType w:val="hybridMultilevel"/>
    <w:tmpl w:val="93D26F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4443A43"/>
    <w:multiLevelType w:val="multilevel"/>
    <w:tmpl w:val="BC6624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2C4259"/>
    <w:multiLevelType w:val="hybridMultilevel"/>
    <w:tmpl w:val="233E8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6F0279B"/>
    <w:multiLevelType w:val="multilevel"/>
    <w:tmpl w:val="4DEE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AC028D"/>
    <w:multiLevelType w:val="multilevel"/>
    <w:tmpl w:val="20EE9A86"/>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CC3866"/>
    <w:multiLevelType w:val="multilevel"/>
    <w:tmpl w:val="AF9A5D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1D5F3C"/>
    <w:multiLevelType w:val="multilevel"/>
    <w:tmpl w:val="A8F088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192DAA"/>
    <w:multiLevelType w:val="multilevel"/>
    <w:tmpl w:val="1982D162"/>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9E4DF8"/>
    <w:multiLevelType w:val="multilevel"/>
    <w:tmpl w:val="E4262C6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CB2381"/>
    <w:multiLevelType w:val="multilevel"/>
    <w:tmpl w:val="98B8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6A6774"/>
    <w:multiLevelType w:val="hybridMultilevel"/>
    <w:tmpl w:val="233E841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2920EDA"/>
    <w:multiLevelType w:val="multilevel"/>
    <w:tmpl w:val="EC062A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BD6FA2"/>
    <w:multiLevelType w:val="multilevel"/>
    <w:tmpl w:val="CE2866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249D4"/>
    <w:multiLevelType w:val="multilevel"/>
    <w:tmpl w:val="0CEC28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FC6568"/>
    <w:multiLevelType w:val="multilevel"/>
    <w:tmpl w:val="279ACC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490693"/>
    <w:multiLevelType w:val="multilevel"/>
    <w:tmpl w:val="AEEC2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006784"/>
    <w:multiLevelType w:val="hybridMultilevel"/>
    <w:tmpl w:val="E14CD2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0"/>
    <w:lvlOverride w:ilvl="2">
      <w:lvl w:ilvl="2">
        <w:numFmt w:val="decimal"/>
        <w:lvlText w:val="%3."/>
        <w:lvlJc w:val="left"/>
      </w:lvl>
    </w:lvlOverride>
  </w:num>
  <w:num w:numId="2">
    <w:abstractNumId w:val="15"/>
  </w:num>
  <w:num w:numId="3">
    <w:abstractNumId w:val="19"/>
  </w:num>
  <w:num w:numId="4">
    <w:abstractNumId w:val="5"/>
    <w:lvlOverride w:ilvl="0">
      <w:lvl w:ilvl="0">
        <w:numFmt w:val="decimal"/>
        <w:lvlText w:val="%1."/>
        <w:lvlJc w:val="left"/>
      </w:lvl>
    </w:lvlOverride>
  </w:num>
  <w:num w:numId="5">
    <w:abstractNumId w:val="6"/>
    <w:lvlOverride w:ilvl="0">
      <w:lvl w:ilvl="0">
        <w:numFmt w:val="decimal"/>
        <w:lvlText w:val="%1."/>
        <w:lvlJc w:val="left"/>
      </w:lvl>
    </w:lvlOverride>
  </w:num>
  <w:num w:numId="6">
    <w:abstractNumId w:val="25"/>
  </w:num>
  <w:num w:numId="7">
    <w:abstractNumId w:val="31"/>
    <w:lvlOverride w:ilvl="0">
      <w:lvl w:ilvl="0">
        <w:numFmt w:val="decimal"/>
        <w:lvlText w:val="%1."/>
        <w:lvlJc w:val="left"/>
      </w:lvl>
    </w:lvlOverride>
  </w:num>
  <w:num w:numId="8">
    <w:abstractNumId w:val="11"/>
    <w:lvlOverride w:ilvl="0">
      <w:lvl w:ilvl="0">
        <w:numFmt w:val="decimal"/>
        <w:lvlText w:val="%1."/>
        <w:lvlJc w:val="left"/>
      </w:lvl>
    </w:lvlOverride>
  </w:num>
  <w:num w:numId="9">
    <w:abstractNumId w:val="27"/>
    <w:lvlOverride w:ilvl="0">
      <w:lvl w:ilvl="0">
        <w:numFmt w:val="decimal"/>
        <w:lvlText w:val="%1."/>
        <w:lvlJc w:val="left"/>
      </w:lvl>
    </w:lvlOverride>
  </w:num>
  <w:num w:numId="10">
    <w:abstractNumId w:val="7"/>
  </w:num>
  <w:num w:numId="11">
    <w:abstractNumId w:val="14"/>
    <w:lvlOverride w:ilvl="0">
      <w:lvl w:ilvl="0">
        <w:numFmt w:val="decimal"/>
        <w:lvlText w:val="%1."/>
        <w:lvlJc w:val="left"/>
      </w:lvl>
    </w:lvlOverride>
  </w:num>
  <w:num w:numId="12">
    <w:abstractNumId w:val="21"/>
    <w:lvlOverride w:ilvl="0">
      <w:lvl w:ilvl="0">
        <w:numFmt w:val="decimal"/>
        <w:lvlText w:val="%1."/>
        <w:lvlJc w:val="left"/>
      </w:lvl>
    </w:lvlOverride>
  </w:num>
  <w:num w:numId="13">
    <w:abstractNumId w:val="1"/>
  </w:num>
  <w:num w:numId="14">
    <w:abstractNumId w:val="12"/>
    <w:lvlOverride w:ilvl="0">
      <w:lvl w:ilvl="0">
        <w:numFmt w:val="decimal"/>
        <w:lvlText w:val="%1."/>
        <w:lvlJc w:val="left"/>
      </w:lvl>
    </w:lvlOverride>
  </w:num>
  <w:num w:numId="15">
    <w:abstractNumId w:val="30"/>
    <w:lvlOverride w:ilvl="0">
      <w:lvl w:ilvl="0">
        <w:numFmt w:val="decimal"/>
        <w:lvlText w:val="%1."/>
        <w:lvlJc w:val="left"/>
      </w:lvl>
    </w:lvlOverride>
  </w:num>
  <w:num w:numId="16">
    <w:abstractNumId w:val="29"/>
    <w:lvlOverride w:ilvl="0">
      <w:lvl w:ilvl="0">
        <w:numFmt w:val="decimal"/>
        <w:lvlText w:val="%1."/>
        <w:lvlJc w:val="left"/>
      </w:lvl>
    </w:lvlOverride>
  </w:num>
  <w:num w:numId="17">
    <w:abstractNumId w:val="0"/>
  </w:num>
  <w:num w:numId="18">
    <w:abstractNumId w:val="17"/>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8"/>
  </w:num>
  <w:num w:numId="21">
    <w:abstractNumId w:val="22"/>
    <w:lvlOverride w:ilvl="0">
      <w:lvl w:ilvl="0">
        <w:numFmt w:val="decimal"/>
        <w:lvlText w:val="%1."/>
        <w:lvlJc w:val="left"/>
      </w:lvl>
    </w:lvlOverride>
  </w:num>
  <w:num w:numId="22">
    <w:abstractNumId w:val="9"/>
    <w:lvlOverride w:ilvl="0">
      <w:lvl w:ilvl="0">
        <w:numFmt w:val="decimal"/>
        <w:lvlText w:val="%1."/>
        <w:lvlJc w:val="left"/>
      </w:lvl>
    </w:lvlOverride>
  </w:num>
  <w:num w:numId="23">
    <w:abstractNumId w:val="4"/>
  </w:num>
  <w:num w:numId="24">
    <w:abstractNumId w:val="23"/>
  </w:num>
  <w:num w:numId="25">
    <w:abstractNumId w:val="24"/>
  </w:num>
  <w:num w:numId="26">
    <w:abstractNumId w:val="32"/>
  </w:num>
  <w:num w:numId="27">
    <w:abstractNumId w:val="16"/>
  </w:num>
  <w:num w:numId="28">
    <w:abstractNumId w:val="2"/>
  </w:num>
  <w:num w:numId="29">
    <w:abstractNumId w:val="10"/>
  </w:num>
  <w:num w:numId="30">
    <w:abstractNumId w:val="26"/>
  </w:num>
  <w:num w:numId="31">
    <w:abstractNumId w:val="3"/>
  </w:num>
  <w:num w:numId="32">
    <w:abstractNumId w:val="18"/>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clean"/>
  <w:defaultTabStop w:val="480"/>
  <w:drawingGridHorizontalSpacing w:val="1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wMzUyNgRSFqaG5ko6SsGpxcWZ+XkgBSamtQBPUDnPLQAAAA=="/>
    <w:docVar w:name="EN.InstantFormat" w:val="&lt;ENInstantFormat&gt;&lt;Enabled&gt;1&lt;/Enabled&gt;&lt;ScanUnformatted&gt;1&lt;/ScanUnformatted&gt;&lt;ScanChanges&gt;1&lt;/ScanChanges&gt;&lt;Suspended&gt;0&lt;/Suspended&gt;&lt;/ENInstantFormat&gt;"/>
    <w:docVar w:name="EN.Layout" w:val="&lt;ENLayout&gt;&lt;Style&gt;Academy Management Review&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sfpfvd5r0sxmevwvk5rz2q09zxsf25tv0d&quot;&gt;PO-Saved&lt;record-ids&gt;&lt;item&gt;2&lt;/item&gt;&lt;item&gt;3&lt;/item&gt;&lt;item&gt;6&lt;/item&gt;&lt;item&gt;8&lt;/item&gt;&lt;item&gt;11&lt;/item&gt;&lt;item&gt;12&lt;/item&gt;&lt;item&gt;13&lt;/item&gt;&lt;item&gt;14&lt;/item&gt;&lt;item&gt;15&lt;/item&gt;&lt;item&gt;16&lt;/item&gt;&lt;item&gt;17&lt;/item&gt;&lt;item&gt;18&lt;/item&gt;&lt;item&gt;19&lt;/item&gt;&lt;item&gt;20&lt;/item&gt;&lt;item&gt;21&lt;/item&gt;&lt;item&gt;22&lt;/item&gt;&lt;item&gt;24&lt;/item&gt;&lt;item&gt;27&lt;/item&gt;&lt;item&gt;29&lt;/item&gt;&lt;item&gt;30&lt;/item&gt;&lt;item&gt;32&lt;/item&gt;&lt;item&gt;33&lt;/item&gt;&lt;item&gt;34&lt;/item&gt;&lt;item&gt;35&lt;/item&gt;&lt;item&gt;36&lt;/item&gt;&lt;item&gt;37&lt;/item&gt;&lt;item&gt;39&lt;/item&gt;&lt;item&gt;42&lt;/item&gt;&lt;item&gt;45&lt;/item&gt;&lt;item&gt;46&lt;/item&gt;&lt;item&gt;51&lt;/item&gt;&lt;item&gt;52&lt;/item&gt;&lt;item&gt;54&lt;/item&gt;&lt;item&gt;66&lt;/item&gt;&lt;item&gt;81&lt;/item&gt;&lt;item&gt;83&lt;/item&gt;&lt;item&gt;84&lt;/item&gt;&lt;item&gt;85&lt;/item&gt;&lt;item&gt;86&lt;/item&gt;&lt;item&gt;87&lt;/item&gt;&lt;item&gt;88&lt;/item&gt;&lt;item&gt;89&lt;/item&gt;&lt;item&gt;91&lt;/item&gt;&lt;item&gt;92&lt;/item&gt;&lt;item&gt;93&lt;/item&gt;&lt;item&gt;95&lt;/item&gt;&lt;item&gt;96&lt;/item&gt;&lt;item&gt;97&lt;/item&gt;&lt;item&gt;98&lt;/item&gt;&lt;item&gt;100&lt;/item&gt;&lt;item&gt;101&lt;/item&gt;&lt;item&gt;102&lt;/item&gt;&lt;item&gt;104&lt;/item&gt;&lt;item&gt;105&lt;/item&gt;&lt;item&gt;106&lt;/item&gt;&lt;item&gt;107&lt;/item&gt;&lt;item&gt;108&lt;/item&gt;&lt;item&gt;109&lt;/item&gt;&lt;item&gt;111&lt;/item&gt;&lt;item&gt;112&lt;/item&gt;&lt;item&gt;113&lt;/item&gt;&lt;item&gt;122&lt;/item&gt;&lt;item&gt;123&lt;/item&gt;&lt;item&gt;125&lt;/item&gt;&lt;item&gt;126&lt;/item&gt;&lt;item&gt;128&lt;/item&gt;&lt;item&gt;129&lt;/item&gt;&lt;item&gt;130&lt;/item&gt;&lt;item&gt;131&lt;/item&gt;&lt;item&gt;132&lt;/item&gt;&lt;item&gt;133&lt;/item&gt;&lt;item&gt;134&lt;/item&gt;&lt;item&gt;135&lt;/item&gt;&lt;/record-ids&gt;&lt;/item&gt;&lt;/Libraries&gt;"/>
  </w:docVars>
  <w:rsids>
    <w:rsidRoot w:val="00BC2632"/>
    <w:rsid w:val="00002C1D"/>
    <w:rsid w:val="00002FAD"/>
    <w:rsid w:val="00005518"/>
    <w:rsid w:val="00007969"/>
    <w:rsid w:val="0001018C"/>
    <w:rsid w:val="00016C06"/>
    <w:rsid w:val="00026A8F"/>
    <w:rsid w:val="000311D4"/>
    <w:rsid w:val="00034B29"/>
    <w:rsid w:val="000418D0"/>
    <w:rsid w:val="00041B4E"/>
    <w:rsid w:val="0004261D"/>
    <w:rsid w:val="000518DC"/>
    <w:rsid w:val="00062BBD"/>
    <w:rsid w:val="00067332"/>
    <w:rsid w:val="000727C1"/>
    <w:rsid w:val="00074919"/>
    <w:rsid w:val="00075E23"/>
    <w:rsid w:val="00076CCB"/>
    <w:rsid w:val="0008004B"/>
    <w:rsid w:val="00082B01"/>
    <w:rsid w:val="00082DCF"/>
    <w:rsid w:val="000847EB"/>
    <w:rsid w:val="00085641"/>
    <w:rsid w:val="00087C74"/>
    <w:rsid w:val="00090429"/>
    <w:rsid w:val="00091FF6"/>
    <w:rsid w:val="000970FF"/>
    <w:rsid w:val="000A1349"/>
    <w:rsid w:val="000A27DC"/>
    <w:rsid w:val="000A4882"/>
    <w:rsid w:val="000A78BF"/>
    <w:rsid w:val="000B04B1"/>
    <w:rsid w:val="000B0964"/>
    <w:rsid w:val="000B112F"/>
    <w:rsid w:val="000B17F7"/>
    <w:rsid w:val="000C32D6"/>
    <w:rsid w:val="000C394C"/>
    <w:rsid w:val="000C4050"/>
    <w:rsid w:val="000C747D"/>
    <w:rsid w:val="000D1FD6"/>
    <w:rsid w:val="000D4364"/>
    <w:rsid w:val="000D45DD"/>
    <w:rsid w:val="000D4CCB"/>
    <w:rsid w:val="000E216E"/>
    <w:rsid w:val="000E7E6C"/>
    <w:rsid w:val="000F0C2E"/>
    <w:rsid w:val="000F3ED4"/>
    <w:rsid w:val="000F5D86"/>
    <w:rsid w:val="000F5F4A"/>
    <w:rsid w:val="000F60DC"/>
    <w:rsid w:val="000F662E"/>
    <w:rsid w:val="001057E2"/>
    <w:rsid w:val="001141DF"/>
    <w:rsid w:val="0011556A"/>
    <w:rsid w:val="001168EB"/>
    <w:rsid w:val="0012581A"/>
    <w:rsid w:val="001308DD"/>
    <w:rsid w:val="0013252C"/>
    <w:rsid w:val="00132C10"/>
    <w:rsid w:val="00133571"/>
    <w:rsid w:val="00140BAB"/>
    <w:rsid w:val="001446CF"/>
    <w:rsid w:val="00150763"/>
    <w:rsid w:val="001548F5"/>
    <w:rsid w:val="00156417"/>
    <w:rsid w:val="00161355"/>
    <w:rsid w:val="00162496"/>
    <w:rsid w:val="0016328B"/>
    <w:rsid w:val="00166C7D"/>
    <w:rsid w:val="00171FDF"/>
    <w:rsid w:val="0017629D"/>
    <w:rsid w:val="00177DF1"/>
    <w:rsid w:val="00184E73"/>
    <w:rsid w:val="001855C0"/>
    <w:rsid w:val="00186156"/>
    <w:rsid w:val="00186817"/>
    <w:rsid w:val="0019062C"/>
    <w:rsid w:val="0019199F"/>
    <w:rsid w:val="00194A09"/>
    <w:rsid w:val="00196E7B"/>
    <w:rsid w:val="001A5A28"/>
    <w:rsid w:val="001B01E9"/>
    <w:rsid w:val="001B5070"/>
    <w:rsid w:val="001B5616"/>
    <w:rsid w:val="001B7439"/>
    <w:rsid w:val="001C5A0B"/>
    <w:rsid w:val="001D0A00"/>
    <w:rsid w:val="001D0D64"/>
    <w:rsid w:val="001D5DCF"/>
    <w:rsid w:val="001E439E"/>
    <w:rsid w:val="001E588C"/>
    <w:rsid w:val="001E58BA"/>
    <w:rsid w:val="001E78F5"/>
    <w:rsid w:val="001F3D76"/>
    <w:rsid w:val="001F4136"/>
    <w:rsid w:val="001F4497"/>
    <w:rsid w:val="001F5CF7"/>
    <w:rsid w:val="001F69BD"/>
    <w:rsid w:val="001F735E"/>
    <w:rsid w:val="00201724"/>
    <w:rsid w:val="0020208E"/>
    <w:rsid w:val="00202906"/>
    <w:rsid w:val="002051F7"/>
    <w:rsid w:val="00213912"/>
    <w:rsid w:val="00222952"/>
    <w:rsid w:val="00223E6C"/>
    <w:rsid w:val="00224CE0"/>
    <w:rsid w:val="002254A7"/>
    <w:rsid w:val="002258E9"/>
    <w:rsid w:val="002274B1"/>
    <w:rsid w:val="002348AC"/>
    <w:rsid w:val="0023511E"/>
    <w:rsid w:val="00235C11"/>
    <w:rsid w:val="002445B9"/>
    <w:rsid w:val="00254CC4"/>
    <w:rsid w:val="0025639F"/>
    <w:rsid w:val="00256A2C"/>
    <w:rsid w:val="00263AB1"/>
    <w:rsid w:val="00270A63"/>
    <w:rsid w:val="002745DC"/>
    <w:rsid w:val="0027518C"/>
    <w:rsid w:val="00275803"/>
    <w:rsid w:val="00276096"/>
    <w:rsid w:val="00280B86"/>
    <w:rsid w:val="0028228F"/>
    <w:rsid w:val="00282403"/>
    <w:rsid w:val="002846B1"/>
    <w:rsid w:val="00285F7D"/>
    <w:rsid w:val="002860C9"/>
    <w:rsid w:val="002864F7"/>
    <w:rsid w:val="00290DDA"/>
    <w:rsid w:val="002927E3"/>
    <w:rsid w:val="00293C6B"/>
    <w:rsid w:val="002A062E"/>
    <w:rsid w:val="002A46B9"/>
    <w:rsid w:val="002A647B"/>
    <w:rsid w:val="002B4A9F"/>
    <w:rsid w:val="002B5E3B"/>
    <w:rsid w:val="002B62AF"/>
    <w:rsid w:val="002B6BEC"/>
    <w:rsid w:val="002C51A3"/>
    <w:rsid w:val="002C626D"/>
    <w:rsid w:val="002C6553"/>
    <w:rsid w:val="002C79C9"/>
    <w:rsid w:val="002D1BB2"/>
    <w:rsid w:val="002D5819"/>
    <w:rsid w:val="002D73EF"/>
    <w:rsid w:val="002E3138"/>
    <w:rsid w:val="002E495A"/>
    <w:rsid w:val="002E69B6"/>
    <w:rsid w:val="002E719B"/>
    <w:rsid w:val="002F034F"/>
    <w:rsid w:val="002F15E3"/>
    <w:rsid w:val="002F1B6D"/>
    <w:rsid w:val="002F383B"/>
    <w:rsid w:val="002F4C20"/>
    <w:rsid w:val="003009B0"/>
    <w:rsid w:val="00301290"/>
    <w:rsid w:val="0030225E"/>
    <w:rsid w:val="00306E39"/>
    <w:rsid w:val="003074ED"/>
    <w:rsid w:val="003109E5"/>
    <w:rsid w:val="003112C0"/>
    <w:rsid w:val="00312F76"/>
    <w:rsid w:val="00314C1D"/>
    <w:rsid w:val="00316628"/>
    <w:rsid w:val="00317C2C"/>
    <w:rsid w:val="003212D8"/>
    <w:rsid w:val="00321A4E"/>
    <w:rsid w:val="003220E9"/>
    <w:rsid w:val="0032227E"/>
    <w:rsid w:val="00322D0E"/>
    <w:rsid w:val="00331817"/>
    <w:rsid w:val="00332964"/>
    <w:rsid w:val="003339A8"/>
    <w:rsid w:val="00334CC5"/>
    <w:rsid w:val="00335379"/>
    <w:rsid w:val="003364BD"/>
    <w:rsid w:val="00343732"/>
    <w:rsid w:val="003446E3"/>
    <w:rsid w:val="00344770"/>
    <w:rsid w:val="00344C6E"/>
    <w:rsid w:val="00345435"/>
    <w:rsid w:val="00346841"/>
    <w:rsid w:val="003569A8"/>
    <w:rsid w:val="00357541"/>
    <w:rsid w:val="00357712"/>
    <w:rsid w:val="00357E59"/>
    <w:rsid w:val="00360EE2"/>
    <w:rsid w:val="0036390D"/>
    <w:rsid w:val="003642D7"/>
    <w:rsid w:val="0037203D"/>
    <w:rsid w:val="003737EF"/>
    <w:rsid w:val="00374FF2"/>
    <w:rsid w:val="003758BF"/>
    <w:rsid w:val="00382DD8"/>
    <w:rsid w:val="00383D67"/>
    <w:rsid w:val="00384AC8"/>
    <w:rsid w:val="00391D9D"/>
    <w:rsid w:val="00392557"/>
    <w:rsid w:val="0039338C"/>
    <w:rsid w:val="00393C96"/>
    <w:rsid w:val="00394A30"/>
    <w:rsid w:val="003A0E7C"/>
    <w:rsid w:val="003A1C90"/>
    <w:rsid w:val="003A79AE"/>
    <w:rsid w:val="003B0817"/>
    <w:rsid w:val="003C1347"/>
    <w:rsid w:val="003C2B6A"/>
    <w:rsid w:val="003C543A"/>
    <w:rsid w:val="003D357B"/>
    <w:rsid w:val="003D5242"/>
    <w:rsid w:val="003E0161"/>
    <w:rsid w:val="003E1C55"/>
    <w:rsid w:val="003E3DE9"/>
    <w:rsid w:val="003E5D86"/>
    <w:rsid w:val="003E76AD"/>
    <w:rsid w:val="003F04BB"/>
    <w:rsid w:val="003F07A1"/>
    <w:rsid w:val="003F264B"/>
    <w:rsid w:val="003F2AD4"/>
    <w:rsid w:val="003F3794"/>
    <w:rsid w:val="0040466C"/>
    <w:rsid w:val="00404FFD"/>
    <w:rsid w:val="004109D3"/>
    <w:rsid w:val="0041468D"/>
    <w:rsid w:val="00414AB0"/>
    <w:rsid w:val="004158CD"/>
    <w:rsid w:val="00415D37"/>
    <w:rsid w:val="004173F0"/>
    <w:rsid w:val="00422E26"/>
    <w:rsid w:val="00425D4C"/>
    <w:rsid w:val="0042785C"/>
    <w:rsid w:val="004278F4"/>
    <w:rsid w:val="004306AD"/>
    <w:rsid w:val="00431870"/>
    <w:rsid w:val="0043421F"/>
    <w:rsid w:val="00436D51"/>
    <w:rsid w:val="004376B3"/>
    <w:rsid w:val="00441556"/>
    <w:rsid w:val="004437D3"/>
    <w:rsid w:val="00444E83"/>
    <w:rsid w:val="0044622A"/>
    <w:rsid w:val="004469E6"/>
    <w:rsid w:val="00447BC4"/>
    <w:rsid w:val="00450FCC"/>
    <w:rsid w:val="00454716"/>
    <w:rsid w:val="0046233F"/>
    <w:rsid w:val="00463938"/>
    <w:rsid w:val="00475E56"/>
    <w:rsid w:val="004771C3"/>
    <w:rsid w:val="0048011E"/>
    <w:rsid w:val="00480B35"/>
    <w:rsid w:val="00480DC4"/>
    <w:rsid w:val="004829E8"/>
    <w:rsid w:val="00483782"/>
    <w:rsid w:val="00485595"/>
    <w:rsid w:val="00493B9B"/>
    <w:rsid w:val="004A048B"/>
    <w:rsid w:val="004A264F"/>
    <w:rsid w:val="004A4575"/>
    <w:rsid w:val="004B1C36"/>
    <w:rsid w:val="004B5890"/>
    <w:rsid w:val="004B618C"/>
    <w:rsid w:val="004B7F3E"/>
    <w:rsid w:val="004C22EF"/>
    <w:rsid w:val="004C59AA"/>
    <w:rsid w:val="004D164A"/>
    <w:rsid w:val="004D2F00"/>
    <w:rsid w:val="004D406E"/>
    <w:rsid w:val="004D52F7"/>
    <w:rsid w:val="004D54E4"/>
    <w:rsid w:val="004D6FAC"/>
    <w:rsid w:val="004E176F"/>
    <w:rsid w:val="004E327A"/>
    <w:rsid w:val="004E32C5"/>
    <w:rsid w:val="004E34D6"/>
    <w:rsid w:val="004E3C32"/>
    <w:rsid w:val="004E4D16"/>
    <w:rsid w:val="004E5DE1"/>
    <w:rsid w:val="004F0762"/>
    <w:rsid w:val="004F2D87"/>
    <w:rsid w:val="004F688A"/>
    <w:rsid w:val="004F71E2"/>
    <w:rsid w:val="005010F4"/>
    <w:rsid w:val="005013F2"/>
    <w:rsid w:val="00503999"/>
    <w:rsid w:val="00511EC0"/>
    <w:rsid w:val="0051264E"/>
    <w:rsid w:val="00512BB7"/>
    <w:rsid w:val="0051583B"/>
    <w:rsid w:val="005204F8"/>
    <w:rsid w:val="00524222"/>
    <w:rsid w:val="00524447"/>
    <w:rsid w:val="00532161"/>
    <w:rsid w:val="00543BC4"/>
    <w:rsid w:val="00546D2D"/>
    <w:rsid w:val="00547662"/>
    <w:rsid w:val="00557714"/>
    <w:rsid w:val="005613C0"/>
    <w:rsid w:val="00565A93"/>
    <w:rsid w:val="00565D32"/>
    <w:rsid w:val="00567AA1"/>
    <w:rsid w:val="0057484E"/>
    <w:rsid w:val="005824C0"/>
    <w:rsid w:val="0058646D"/>
    <w:rsid w:val="00586528"/>
    <w:rsid w:val="00590EC2"/>
    <w:rsid w:val="00591131"/>
    <w:rsid w:val="00592222"/>
    <w:rsid w:val="00596F3C"/>
    <w:rsid w:val="005A197A"/>
    <w:rsid w:val="005A772A"/>
    <w:rsid w:val="005B1C8D"/>
    <w:rsid w:val="005B1CBE"/>
    <w:rsid w:val="005B5821"/>
    <w:rsid w:val="005B6184"/>
    <w:rsid w:val="005B651D"/>
    <w:rsid w:val="005B6CDF"/>
    <w:rsid w:val="005B7BFB"/>
    <w:rsid w:val="005C1B0C"/>
    <w:rsid w:val="005C34BD"/>
    <w:rsid w:val="005D2F8E"/>
    <w:rsid w:val="005D38BA"/>
    <w:rsid w:val="005D66D7"/>
    <w:rsid w:val="005D737A"/>
    <w:rsid w:val="005E0E2C"/>
    <w:rsid w:val="005E167A"/>
    <w:rsid w:val="005E39DE"/>
    <w:rsid w:val="005E418B"/>
    <w:rsid w:val="005E5CC2"/>
    <w:rsid w:val="005E5D5C"/>
    <w:rsid w:val="005F3A10"/>
    <w:rsid w:val="005F588E"/>
    <w:rsid w:val="005F760D"/>
    <w:rsid w:val="0060182D"/>
    <w:rsid w:val="00603AA6"/>
    <w:rsid w:val="006047EA"/>
    <w:rsid w:val="0060687F"/>
    <w:rsid w:val="00607A48"/>
    <w:rsid w:val="006113B3"/>
    <w:rsid w:val="0061344F"/>
    <w:rsid w:val="006220B5"/>
    <w:rsid w:val="0062554B"/>
    <w:rsid w:val="00632686"/>
    <w:rsid w:val="0063417C"/>
    <w:rsid w:val="00636CE2"/>
    <w:rsid w:val="0063755F"/>
    <w:rsid w:val="00643956"/>
    <w:rsid w:val="0064397F"/>
    <w:rsid w:val="00643F4C"/>
    <w:rsid w:val="00651137"/>
    <w:rsid w:val="00655174"/>
    <w:rsid w:val="00656A55"/>
    <w:rsid w:val="006579DD"/>
    <w:rsid w:val="006605B1"/>
    <w:rsid w:val="006623CB"/>
    <w:rsid w:val="00662B9F"/>
    <w:rsid w:val="00663FE3"/>
    <w:rsid w:val="00664C9E"/>
    <w:rsid w:val="00677120"/>
    <w:rsid w:val="00677B52"/>
    <w:rsid w:val="00683C66"/>
    <w:rsid w:val="00684FF2"/>
    <w:rsid w:val="00686739"/>
    <w:rsid w:val="006868BF"/>
    <w:rsid w:val="0069020D"/>
    <w:rsid w:val="006930CC"/>
    <w:rsid w:val="006947B0"/>
    <w:rsid w:val="00695ED1"/>
    <w:rsid w:val="006A40F2"/>
    <w:rsid w:val="006B1497"/>
    <w:rsid w:val="006B2A3D"/>
    <w:rsid w:val="006B5D12"/>
    <w:rsid w:val="006C22E4"/>
    <w:rsid w:val="006C26B7"/>
    <w:rsid w:val="006C41AB"/>
    <w:rsid w:val="006D0CB3"/>
    <w:rsid w:val="006D0DDA"/>
    <w:rsid w:val="006D38C3"/>
    <w:rsid w:val="006D45CD"/>
    <w:rsid w:val="006D4746"/>
    <w:rsid w:val="006D55EB"/>
    <w:rsid w:val="006D6626"/>
    <w:rsid w:val="006E0D76"/>
    <w:rsid w:val="006E198C"/>
    <w:rsid w:val="006F286C"/>
    <w:rsid w:val="006F6220"/>
    <w:rsid w:val="00700B7D"/>
    <w:rsid w:val="007042F6"/>
    <w:rsid w:val="00706519"/>
    <w:rsid w:val="007102BA"/>
    <w:rsid w:val="00712F37"/>
    <w:rsid w:val="0071388F"/>
    <w:rsid w:val="00714997"/>
    <w:rsid w:val="00714B4D"/>
    <w:rsid w:val="007154D4"/>
    <w:rsid w:val="0071736B"/>
    <w:rsid w:val="007201DB"/>
    <w:rsid w:val="00721598"/>
    <w:rsid w:val="0072259C"/>
    <w:rsid w:val="00722711"/>
    <w:rsid w:val="007245F9"/>
    <w:rsid w:val="007367B4"/>
    <w:rsid w:val="0073705D"/>
    <w:rsid w:val="007401FE"/>
    <w:rsid w:val="00745B56"/>
    <w:rsid w:val="00745D20"/>
    <w:rsid w:val="00762CFA"/>
    <w:rsid w:val="00763017"/>
    <w:rsid w:val="0077262B"/>
    <w:rsid w:val="00772F7E"/>
    <w:rsid w:val="00773279"/>
    <w:rsid w:val="007800E4"/>
    <w:rsid w:val="00780C54"/>
    <w:rsid w:val="00783621"/>
    <w:rsid w:val="007837F4"/>
    <w:rsid w:val="007863DF"/>
    <w:rsid w:val="007878CE"/>
    <w:rsid w:val="00793E08"/>
    <w:rsid w:val="007945CD"/>
    <w:rsid w:val="0079665C"/>
    <w:rsid w:val="007968F2"/>
    <w:rsid w:val="00796F0F"/>
    <w:rsid w:val="007A1334"/>
    <w:rsid w:val="007B66AB"/>
    <w:rsid w:val="007C1CA7"/>
    <w:rsid w:val="007C7ABA"/>
    <w:rsid w:val="007C7BD9"/>
    <w:rsid w:val="007D2DF6"/>
    <w:rsid w:val="007D35F5"/>
    <w:rsid w:val="007D6B9C"/>
    <w:rsid w:val="007D722F"/>
    <w:rsid w:val="007E0BFD"/>
    <w:rsid w:val="007E1D62"/>
    <w:rsid w:val="007E2321"/>
    <w:rsid w:val="007E7C23"/>
    <w:rsid w:val="007F4345"/>
    <w:rsid w:val="007F7142"/>
    <w:rsid w:val="008157D1"/>
    <w:rsid w:val="00815E9C"/>
    <w:rsid w:val="00820E6F"/>
    <w:rsid w:val="00822934"/>
    <w:rsid w:val="008236E7"/>
    <w:rsid w:val="00826592"/>
    <w:rsid w:val="00826E60"/>
    <w:rsid w:val="008313A9"/>
    <w:rsid w:val="00831B23"/>
    <w:rsid w:val="008320A3"/>
    <w:rsid w:val="00840075"/>
    <w:rsid w:val="0084043B"/>
    <w:rsid w:val="00841414"/>
    <w:rsid w:val="00841ACD"/>
    <w:rsid w:val="00842B04"/>
    <w:rsid w:val="00843535"/>
    <w:rsid w:val="008463AC"/>
    <w:rsid w:val="008463C5"/>
    <w:rsid w:val="00847D9C"/>
    <w:rsid w:val="0085079F"/>
    <w:rsid w:val="008513C0"/>
    <w:rsid w:val="00853DED"/>
    <w:rsid w:val="00862B09"/>
    <w:rsid w:val="00862B83"/>
    <w:rsid w:val="00865075"/>
    <w:rsid w:val="008672C4"/>
    <w:rsid w:val="00872300"/>
    <w:rsid w:val="0087438C"/>
    <w:rsid w:val="008746A2"/>
    <w:rsid w:val="00874A4D"/>
    <w:rsid w:val="00874E71"/>
    <w:rsid w:val="00875690"/>
    <w:rsid w:val="00876D26"/>
    <w:rsid w:val="00877935"/>
    <w:rsid w:val="00880048"/>
    <w:rsid w:val="00880CE4"/>
    <w:rsid w:val="0088275B"/>
    <w:rsid w:val="008831D3"/>
    <w:rsid w:val="00883E4E"/>
    <w:rsid w:val="008863AF"/>
    <w:rsid w:val="00895238"/>
    <w:rsid w:val="008966A5"/>
    <w:rsid w:val="00897ADF"/>
    <w:rsid w:val="008A0E33"/>
    <w:rsid w:val="008A185E"/>
    <w:rsid w:val="008A6E57"/>
    <w:rsid w:val="008B2853"/>
    <w:rsid w:val="008B292A"/>
    <w:rsid w:val="008B3725"/>
    <w:rsid w:val="008B53A8"/>
    <w:rsid w:val="008B66E4"/>
    <w:rsid w:val="008B7D92"/>
    <w:rsid w:val="008C06CD"/>
    <w:rsid w:val="008C49F4"/>
    <w:rsid w:val="008C518A"/>
    <w:rsid w:val="008C66DD"/>
    <w:rsid w:val="008D07F4"/>
    <w:rsid w:val="008D0ACE"/>
    <w:rsid w:val="008D14DC"/>
    <w:rsid w:val="008D2290"/>
    <w:rsid w:val="008D5EBE"/>
    <w:rsid w:val="008D776C"/>
    <w:rsid w:val="008E15AE"/>
    <w:rsid w:val="008E3643"/>
    <w:rsid w:val="008E3C87"/>
    <w:rsid w:val="008F1077"/>
    <w:rsid w:val="008F3BBA"/>
    <w:rsid w:val="008F6845"/>
    <w:rsid w:val="00900E9E"/>
    <w:rsid w:val="00901A5A"/>
    <w:rsid w:val="00905A31"/>
    <w:rsid w:val="009071D3"/>
    <w:rsid w:val="009078C4"/>
    <w:rsid w:val="009115C8"/>
    <w:rsid w:val="00914FC6"/>
    <w:rsid w:val="009166F0"/>
    <w:rsid w:val="00920B39"/>
    <w:rsid w:val="00922635"/>
    <w:rsid w:val="00923295"/>
    <w:rsid w:val="00923604"/>
    <w:rsid w:val="009239B8"/>
    <w:rsid w:val="00923FFE"/>
    <w:rsid w:val="00926549"/>
    <w:rsid w:val="00930C5B"/>
    <w:rsid w:val="009339AD"/>
    <w:rsid w:val="00933D57"/>
    <w:rsid w:val="00935441"/>
    <w:rsid w:val="0094155D"/>
    <w:rsid w:val="00943124"/>
    <w:rsid w:val="009434F0"/>
    <w:rsid w:val="00943C66"/>
    <w:rsid w:val="009453A9"/>
    <w:rsid w:val="0094776A"/>
    <w:rsid w:val="00952191"/>
    <w:rsid w:val="00957180"/>
    <w:rsid w:val="0096086B"/>
    <w:rsid w:val="0096685F"/>
    <w:rsid w:val="0097153E"/>
    <w:rsid w:val="009720F4"/>
    <w:rsid w:val="00972621"/>
    <w:rsid w:val="00973246"/>
    <w:rsid w:val="00973F8A"/>
    <w:rsid w:val="009740C5"/>
    <w:rsid w:val="009747B2"/>
    <w:rsid w:val="00980A12"/>
    <w:rsid w:val="009813D4"/>
    <w:rsid w:val="0098156A"/>
    <w:rsid w:val="00987290"/>
    <w:rsid w:val="0098760D"/>
    <w:rsid w:val="0098786C"/>
    <w:rsid w:val="00992C3B"/>
    <w:rsid w:val="009950EC"/>
    <w:rsid w:val="00997000"/>
    <w:rsid w:val="009A06B7"/>
    <w:rsid w:val="009A06CD"/>
    <w:rsid w:val="009A3A8E"/>
    <w:rsid w:val="009A4197"/>
    <w:rsid w:val="009B3325"/>
    <w:rsid w:val="009B6566"/>
    <w:rsid w:val="009B6977"/>
    <w:rsid w:val="009B6FA9"/>
    <w:rsid w:val="009B776D"/>
    <w:rsid w:val="009B7FD7"/>
    <w:rsid w:val="009C0376"/>
    <w:rsid w:val="009C1C8F"/>
    <w:rsid w:val="009C3289"/>
    <w:rsid w:val="009C4A0C"/>
    <w:rsid w:val="009C6F9B"/>
    <w:rsid w:val="009D0209"/>
    <w:rsid w:val="009D0239"/>
    <w:rsid w:val="009D4112"/>
    <w:rsid w:val="009D43EA"/>
    <w:rsid w:val="009D67D2"/>
    <w:rsid w:val="009D7C02"/>
    <w:rsid w:val="009E0DC6"/>
    <w:rsid w:val="009E252B"/>
    <w:rsid w:val="009E2C91"/>
    <w:rsid w:val="009F0893"/>
    <w:rsid w:val="009F37DB"/>
    <w:rsid w:val="009F3A69"/>
    <w:rsid w:val="009F663E"/>
    <w:rsid w:val="00A00F85"/>
    <w:rsid w:val="00A041E2"/>
    <w:rsid w:val="00A074E2"/>
    <w:rsid w:val="00A11ED8"/>
    <w:rsid w:val="00A14855"/>
    <w:rsid w:val="00A14868"/>
    <w:rsid w:val="00A1515F"/>
    <w:rsid w:val="00A20761"/>
    <w:rsid w:val="00A2392E"/>
    <w:rsid w:val="00A24014"/>
    <w:rsid w:val="00A24EEE"/>
    <w:rsid w:val="00A26064"/>
    <w:rsid w:val="00A32B75"/>
    <w:rsid w:val="00A3353B"/>
    <w:rsid w:val="00A33E0C"/>
    <w:rsid w:val="00A3406F"/>
    <w:rsid w:val="00A44160"/>
    <w:rsid w:val="00A478AA"/>
    <w:rsid w:val="00A52D79"/>
    <w:rsid w:val="00A53227"/>
    <w:rsid w:val="00A613CE"/>
    <w:rsid w:val="00A63E48"/>
    <w:rsid w:val="00A7065A"/>
    <w:rsid w:val="00A73040"/>
    <w:rsid w:val="00A73AD0"/>
    <w:rsid w:val="00A76237"/>
    <w:rsid w:val="00A76C02"/>
    <w:rsid w:val="00A77EB3"/>
    <w:rsid w:val="00A84F66"/>
    <w:rsid w:val="00A90A21"/>
    <w:rsid w:val="00A9114C"/>
    <w:rsid w:val="00A933D7"/>
    <w:rsid w:val="00A948D7"/>
    <w:rsid w:val="00A956EE"/>
    <w:rsid w:val="00A9697F"/>
    <w:rsid w:val="00AA0F5D"/>
    <w:rsid w:val="00AA6794"/>
    <w:rsid w:val="00AB206A"/>
    <w:rsid w:val="00AB2549"/>
    <w:rsid w:val="00AB4C8D"/>
    <w:rsid w:val="00AC22CA"/>
    <w:rsid w:val="00AC61CB"/>
    <w:rsid w:val="00AC6CBD"/>
    <w:rsid w:val="00AD19B7"/>
    <w:rsid w:val="00AD3E73"/>
    <w:rsid w:val="00AD538E"/>
    <w:rsid w:val="00AE2D0E"/>
    <w:rsid w:val="00AE420D"/>
    <w:rsid w:val="00AE4B66"/>
    <w:rsid w:val="00AE5FDE"/>
    <w:rsid w:val="00AF2AD4"/>
    <w:rsid w:val="00AF316A"/>
    <w:rsid w:val="00AF4006"/>
    <w:rsid w:val="00AF60A3"/>
    <w:rsid w:val="00B001AE"/>
    <w:rsid w:val="00B024E1"/>
    <w:rsid w:val="00B03815"/>
    <w:rsid w:val="00B04D6D"/>
    <w:rsid w:val="00B050DF"/>
    <w:rsid w:val="00B05612"/>
    <w:rsid w:val="00B126AD"/>
    <w:rsid w:val="00B14786"/>
    <w:rsid w:val="00B2090D"/>
    <w:rsid w:val="00B21010"/>
    <w:rsid w:val="00B273B9"/>
    <w:rsid w:val="00B31CE4"/>
    <w:rsid w:val="00B37933"/>
    <w:rsid w:val="00B40DF7"/>
    <w:rsid w:val="00B41836"/>
    <w:rsid w:val="00B44776"/>
    <w:rsid w:val="00B5215C"/>
    <w:rsid w:val="00B53F9F"/>
    <w:rsid w:val="00B5515F"/>
    <w:rsid w:val="00B57B29"/>
    <w:rsid w:val="00B60C88"/>
    <w:rsid w:val="00B62343"/>
    <w:rsid w:val="00B63441"/>
    <w:rsid w:val="00B63908"/>
    <w:rsid w:val="00B66201"/>
    <w:rsid w:val="00B71C96"/>
    <w:rsid w:val="00B75297"/>
    <w:rsid w:val="00B757D4"/>
    <w:rsid w:val="00B768F7"/>
    <w:rsid w:val="00B8355A"/>
    <w:rsid w:val="00B8505C"/>
    <w:rsid w:val="00B8567C"/>
    <w:rsid w:val="00B86568"/>
    <w:rsid w:val="00B8769A"/>
    <w:rsid w:val="00B876D1"/>
    <w:rsid w:val="00B91E0F"/>
    <w:rsid w:val="00B92C03"/>
    <w:rsid w:val="00B96413"/>
    <w:rsid w:val="00B9720D"/>
    <w:rsid w:val="00BA1515"/>
    <w:rsid w:val="00BA49D7"/>
    <w:rsid w:val="00BA5945"/>
    <w:rsid w:val="00BB197A"/>
    <w:rsid w:val="00BB35CB"/>
    <w:rsid w:val="00BB4516"/>
    <w:rsid w:val="00BB5030"/>
    <w:rsid w:val="00BC0714"/>
    <w:rsid w:val="00BC2632"/>
    <w:rsid w:val="00BD1001"/>
    <w:rsid w:val="00BD5000"/>
    <w:rsid w:val="00BD5CA2"/>
    <w:rsid w:val="00BD6D73"/>
    <w:rsid w:val="00BE0F5B"/>
    <w:rsid w:val="00BE1ECD"/>
    <w:rsid w:val="00BE318D"/>
    <w:rsid w:val="00BE6988"/>
    <w:rsid w:val="00BE7ECE"/>
    <w:rsid w:val="00BF3A3E"/>
    <w:rsid w:val="00BF442E"/>
    <w:rsid w:val="00BF506B"/>
    <w:rsid w:val="00BF5211"/>
    <w:rsid w:val="00C01744"/>
    <w:rsid w:val="00C05F45"/>
    <w:rsid w:val="00C07721"/>
    <w:rsid w:val="00C10F9E"/>
    <w:rsid w:val="00C1252A"/>
    <w:rsid w:val="00C1401D"/>
    <w:rsid w:val="00C154DD"/>
    <w:rsid w:val="00C16574"/>
    <w:rsid w:val="00C217A3"/>
    <w:rsid w:val="00C22D11"/>
    <w:rsid w:val="00C233A0"/>
    <w:rsid w:val="00C2561A"/>
    <w:rsid w:val="00C25EE9"/>
    <w:rsid w:val="00C3115F"/>
    <w:rsid w:val="00C31FFF"/>
    <w:rsid w:val="00C332E0"/>
    <w:rsid w:val="00C354F7"/>
    <w:rsid w:val="00C3674B"/>
    <w:rsid w:val="00C37C1B"/>
    <w:rsid w:val="00C4715E"/>
    <w:rsid w:val="00C50935"/>
    <w:rsid w:val="00C51F5E"/>
    <w:rsid w:val="00C5436D"/>
    <w:rsid w:val="00C62243"/>
    <w:rsid w:val="00C668CD"/>
    <w:rsid w:val="00C66B7B"/>
    <w:rsid w:val="00C71088"/>
    <w:rsid w:val="00C712BB"/>
    <w:rsid w:val="00C755FA"/>
    <w:rsid w:val="00C75CE2"/>
    <w:rsid w:val="00C76BCB"/>
    <w:rsid w:val="00C85B19"/>
    <w:rsid w:val="00C930D8"/>
    <w:rsid w:val="00C94FBC"/>
    <w:rsid w:val="00CA08DC"/>
    <w:rsid w:val="00CA1943"/>
    <w:rsid w:val="00CA282C"/>
    <w:rsid w:val="00CA3032"/>
    <w:rsid w:val="00CA3355"/>
    <w:rsid w:val="00CA44A0"/>
    <w:rsid w:val="00CA4D22"/>
    <w:rsid w:val="00CB01A1"/>
    <w:rsid w:val="00CB153B"/>
    <w:rsid w:val="00CC0650"/>
    <w:rsid w:val="00CC11A0"/>
    <w:rsid w:val="00CC21DA"/>
    <w:rsid w:val="00CC30CF"/>
    <w:rsid w:val="00CC513F"/>
    <w:rsid w:val="00CD074B"/>
    <w:rsid w:val="00CD4D20"/>
    <w:rsid w:val="00CD52E2"/>
    <w:rsid w:val="00CE40E4"/>
    <w:rsid w:val="00CE41FF"/>
    <w:rsid w:val="00CF4C28"/>
    <w:rsid w:val="00CF6181"/>
    <w:rsid w:val="00D10283"/>
    <w:rsid w:val="00D106A0"/>
    <w:rsid w:val="00D10E73"/>
    <w:rsid w:val="00D12BDD"/>
    <w:rsid w:val="00D15461"/>
    <w:rsid w:val="00D21D52"/>
    <w:rsid w:val="00D22205"/>
    <w:rsid w:val="00D22A66"/>
    <w:rsid w:val="00D30C47"/>
    <w:rsid w:val="00D34222"/>
    <w:rsid w:val="00D35460"/>
    <w:rsid w:val="00D40305"/>
    <w:rsid w:val="00D40C21"/>
    <w:rsid w:val="00D413C2"/>
    <w:rsid w:val="00D442FA"/>
    <w:rsid w:val="00D450CB"/>
    <w:rsid w:val="00D453C4"/>
    <w:rsid w:val="00D5102D"/>
    <w:rsid w:val="00D53EED"/>
    <w:rsid w:val="00D562E9"/>
    <w:rsid w:val="00D62849"/>
    <w:rsid w:val="00D71D9F"/>
    <w:rsid w:val="00D8050C"/>
    <w:rsid w:val="00D81BE6"/>
    <w:rsid w:val="00D87D6C"/>
    <w:rsid w:val="00D91108"/>
    <w:rsid w:val="00DB3242"/>
    <w:rsid w:val="00DB339E"/>
    <w:rsid w:val="00DC07F3"/>
    <w:rsid w:val="00DC7CBB"/>
    <w:rsid w:val="00DD0ECC"/>
    <w:rsid w:val="00DD1B35"/>
    <w:rsid w:val="00DD26C5"/>
    <w:rsid w:val="00DD2AC0"/>
    <w:rsid w:val="00DD4B3F"/>
    <w:rsid w:val="00DE1B8F"/>
    <w:rsid w:val="00DE2A33"/>
    <w:rsid w:val="00DE6382"/>
    <w:rsid w:val="00DF0A98"/>
    <w:rsid w:val="00DF1313"/>
    <w:rsid w:val="00DF1EF1"/>
    <w:rsid w:val="00DF6F9C"/>
    <w:rsid w:val="00E051F3"/>
    <w:rsid w:val="00E062D2"/>
    <w:rsid w:val="00E11193"/>
    <w:rsid w:val="00E11C14"/>
    <w:rsid w:val="00E12335"/>
    <w:rsid w:val="00E1719D"/>
    <w:rsid w:val="00E30ABF"/>
    <w:rsid w:val="00E320D0"/>
    <w:rsid w:val="00E3254A"/>
    <w:rsid w:val="00E340BD"/>
    <w:rsid w:val="00E350D8"/>
    <w:rsid w:val="00E40B23"/>
    <w:rsid w:val="00E42CE3"/>
    <w:rsid w:val="00E5136F"/>
    <w:rsid w:val="00E56AD8"/>
    <w:rsid w:val="00E6382C"/>
    <w:rsid w:val="00E671BF"/>
    <w:rsid w:val="00E72544"/>
    <w:rsid w:val="00E72916"/>
    <w:rsid w:val="00E738B0"/>
    <w:rsid w:val="00E73FF8"/>
    <w:rsid w:val="00E746A3"/>
    <w:rsid w:val="00E75A13"/>
    <w:rsid w:val="00E76352"/>
    <w:rsid w:val="00E77A01"/>
    <w:rsid w:val="00E826F9"/>
    <w:rsid w:val="00E91C94"/>
    <w:rsid w:val="00E94D9C"/>
    <w:rsid w:val="00EA0059"/>
    <w:rsid w:val="00EA2CEB"/>
    <w:rsid w:val="00EA5A1E"/>
    <w:rsid w:val="00EB504C"/>
    <w:rsid w:val="00EB6612"/>
    <w:rsid w:val="00EB68E6"/>
    <w:rsid w:val="00EB6FBC"/>
    <w:rsid w:val="00EB73E1"/>
    <w:rsid w:val="00EC0561"/>
    <w:rsid w:val="00EC2BE9"/>
    <w:rsid w:val="00EC721D"/>
    <w:rsid w:val="00ED2EE1"/>
    <w:rsid w:val="00ED6A27"/>
    <w:rsid w:val="00EE1CBA"/>
    <w:rsid w:val="00EE6700"/>
    <w:rsid w:val="00EE71DA"/>
    <w:rsid w:val="00F021B3"/>
    <w:rsid w:val="00F0349B"/>
    <w:rsid w:val="00F03F2B"/>
    <w:rsid w:val="00F05722"/>
    <w:rsid w:val="00F06D7F"/>
    <w:rsid w:val="00F1417A"/>
    <w:rsid w:val="00F14854"/>
    <w:rsid w:val="00F15659"/>
    <w:rsid w:val="00F23DEC"/>
    <w:rsid w:val="00F24CDC"/>
    <w:rsid w:val="00F30083"/>
    <w:rsid w:val="00F30915"/>
    <w:rsid w:val="00F32151"/>
    <w:rsid w:val="00F3239D"/>
    <w:rsid w:val="00F35265"/>
    <w:rsid w:val="00F354BF"/>
    <w:rsid w:val="00F445C3"/>
    <w:rsid w:val="00F47C4E"/>
    <w:rsid w:val="00F50576"/>
    <w:rsid w:val="00F51115"/>
    <w:rsid w:val="00F5258F"/>
    <w:rsid w:val="00F5567D"/>
    <w:rsid w:val="00F608A2"/>
    <w:rsid w:val="00F61BFD"/>
    <w:rsid w:val="00F63818"/>
    <w:rsid w:val="00F6713B"/>
    <w:rsid w:val="00F8499B"/>
    <w:rsid w:val="00F92FFD"/>
    <w:rsid w:val="00F95ABD"/>
    <w:rsid w:val="00F9722C"/>
    <w:rsid w:val="00FA2D2C"/>
    <w:rsid w:val="00FA60BB"/>
    <w:rsid w:val="00FA6797"/>
    <w:rsid w:val="00FB04C9"/>
    <w:rsid w:val="00FB6605"/>
    <w:rsid w:val="00FB6E49"/>
    <w:rsid w:val="00FD1B88"/>
    <w:rsid w:val="00FD370D"/>
    <w:rsid w:val="00FD5FD2"/>
    <w:rsid w:val="00FD7418"/>
    <w:rsid w:val="00FD7C6D"/>
    <w:rsid w:val="00FE478A"/>
    <w:rsid w:val="00FE4B2F"/>
    <w:rsid w:val="00FE5BAB"/>
    <w:rsid w:val="00FE6A3E"/>
    <w:rsid w:val="00FE75AF"/>
    <w:rsid w:val="00FF0874"/>
    <w:rsid w:val="00FF08A6"/>
    <w:rsid w:val="00FF0971"/>
    <w:rsid w:val="00FF4F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9716AC"/>
  <w14:defaultImageDpi w14:val="330"/>
  <w15:docId w15:val="{C0EFE8B1-6C29-472A-9B4F-703D1205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BC2632"/>
    <w:pPr>
      <w:widowControl/>
      <w:spacing w:before="100" w:beforeAutospacing="1" w:after="100" w:afterAutospacing="1"/>
      <w:outlineLvl w:val="0"/>
    </w:pPr>
    <w:rPr>
      <w:rFonts w:ascii="Times" w:hAnsi="Times"/>
      <w:b/>
      <w:bCs/>
      <w:kern w:val="36"/>
      <w:sz w:val="48"/>
      <w:szCs w:val="48"/>
    </w:rPr>
  </w:style>
  <w:style w:type="paragraph" w:styleId="2">
    <w:name w:val="heading 2"/>
    <w:basedOn w:val="a"/>
    <w:link w:val="20"/>
    <w:uiPriority w:val="9"/>
    <w:qFormat/>
    <w:rsid w:val="00BC2632"/>
    <w:pPr>
      <w:widowControl/>
      <w:spacing w:before="100" w:beforeAutospacing="1" w:after="100" w:afterAutospacing="1"/>
      <w:outlineLvl w:val="1"/>
    </w:pPr>
    <w:rPr>
      <w:rFonts w:ascii="Times" w:hAnsi="Times"/>
      <w:b/>
      <w:bCs/>
      <w:kern w:val="0"/>
      <w:sz w:val="36"/>
      <w:szCs w:val="36"/>
    </w:rPr>
  </w:style>
  <w:style w:type="paragraph" w:styleId="3">
    <w:name w:val="heading 3"/>
    <w:basedOn w:val="a"/>
    <w:link w:val="30"/>
    <w:uiPriority w:val="9"/>
    <w:qFormat/>
    <w:rsid w:val="00BC2632"/>
    <w:pPr>
      <w:widowControl/>
      <w:spacing w:before="100" w:beforeAutospacing="1" w:after="100" w:afterAutospacing="1"/>
      <w:outlineLvl w:val="2"/>
    </w:pPr>
    <w:rPr>
      <w:rFonts w:ascii="Times" w:hAnsi="Times"/>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C2632"/>
    <w:rPr>
      <w:rFonts w:ascii="Times" w:hAnsi="Times"/>
      <w:b/>
      <w:bCs/>
      <w:kern w:val="36"/>
      <w:sz w:val="48"/>
      <w:szCs w:val="48"/>
    </w:rPr>
  </w:style>
  <w:style w:type="character" w:customStyle="1" w:styleId="20">
    <w:name w:val="標題 2 字元"/>
    <w:basedOn w:val="a0"/>
    <w:link w:val="2"/>
    <w:uiPriority w:val="9"/>
    <w:rsid w:val="00BC2632"/>
    <w:rPr>
      <w:rFonts w:ascii="Times" w:hAnsi="Times"/>
      <w:b/>
      <w:bCs/>
      <w:kern w:val="0"/>
      <w:sz w:val="36"/>
      <w:szCs w:val="36"/>
    </w:rPr>
  </w:style>
  <w:style w:type="character" w:customStyle="1" w:styleId="30">
    <w:name w:val="標題 3 字元"/>
    <w:basedOn w:val="a0"/>
    <w:link w:val="3"/>
    <w:uiPriority w:val="9"/>
    <w:rsid w:val="00BC2632"/>
    <w:rPr>
      <w:rFonts w:ascii="Times" w:hAnsi="Times"/>
      <w:b/>
      <w:bCs/>
      <w:kern w:val="0"/>
      <w:sz w:val="27"/>
      <w:szCs w:val="27"/>
    </w:rPr>
  </w:style>
  <w:style w:type="paragraph" w:styleId="Web">
    <w:name w:val="Normal (Web)"/>
    <w:basedOn w:val="a"/>
    <w:uiPriority w:val="99"/>
    <w:unhideWhenUsed/>
    <w:rsid w:val="00BC2632"/>
    <w:pPr>
      <w:widowControl/>
      <w:spacing w:before="100" w:beforeAutospacing="1" w:after="100" w:afterAutospacing="1"/>
    </w:pPr>
    <w:rPr>
      <w:rFonts w:ascii="Times" w:hAnsi="Times" w:cs="Times New Roman"/>
      <w:kern w:val="0"/>
      <w:sz w:val="20"/>
      <w:szCs w:val="20"/>
    </w:rPr>
  </w:style>
  <w:style w:type="character" w:customStyle="1" w:styleId="apple-tab-span">
    <w:name w:val="apple-tab-span"/>
    <w:basedOn w:val="a0"/>
    <w:rsid w:val="00BC2632"/>
  </w:style>
  <w:style w:type="paragraph" w:styleId="a3">
    <w:name w:val="Balloon Text"/>
    <w:basedOn w:val="a"/>
    <w:link w:val="a4"/>
    <w:uiPriority w:val="99"/>
    <w:semiHidden/>
    <w:unhideWhenUsed/>
    <w:rsid w:val="00BC2632"/>
    <w:rPr>
      <w:rFonts w:ascii="Heiti TC Light" w:eastAsia="Heiti TC Light"/>
      <w:sz w:val="18"/>
      <w:szCs w:val="18"/>
    </w:rPr>
  </w:style>
  <w:style w:type="character" w:customStyle="1" w:styleId="a4">
    <w:name w:val="註解方塊文字 字元"/>
    <w:basedOn w:val="a0"/>
    <w:link w:val="a3"/>
    <w:uiPriority w:val="99"/>
    <w:semiHidden/>
    <w:rsid w:val="00BC2632"/>
    <w:rPr>
      <w:rFonts w:ascii="Heiti TC Light" w:eastAsia="Heiti TC Light"/>
      <w:sz w:val="18"/>
      <w:szCs w:val="18"/>
    </w:rPr>
  </w:style>
  <w:style w:type="paragraph" w:styleId="a5">
    <w:name w:val="footer"/>
    <w:basedOn w:val="a"/>
    <w:link w:val="a6"/>
    <w:uiPriority w:val="99"/>
    <w:unhideWhenUsed/>
    <w:rsid w:val="00BC2632"/>
    <w:pPr>
      <w:tabs>
        <w:tab w:val="center" w:pos="4153"/>
        <w:tab w:val="right" w:pos="8306"/>
      </w:tabs>
      <w:snapToGrid w:val="0"/>
    </w:pPr>
    <w:rPr>
      <w:sz w:val="20"/>
      <w:szCs w:val="20"/>
    </w:rPr>
  </w:style>
  <w:style w:type="character" w:customStyle="1" w:styleId="a6">
    <w:name w:val="頁尾 字元"/>
    <w:basedOn w:val="a0"/>
    <w:link w:val="a5"/>
    <w:uiPriority w:val="99"/>
    <w:rsid w:val="00BC2632"/>
    <w:rPr>
      <w:sz w:val="20"/>
      <w:szCs w:val="20"/>
    </w:rPr>
  </w:style>
  <w:style w:type="character" w:styleId="a7">
    <w:name w:val="page number"/>
    <w:basedOn w:val="a0"/>
    <w:uiPriority w:val="99"/>
    <w:semiHidden/>
    <w:unhideWhenUsed/>
    <w:rsid w:val="00BC2632"/>
  </w:style>
  <w:style w:type="paragraph" w:styleId="a8">
    <w:name w:val="List Paragraph"/>
    <w:basedOn w:val="a"/>
    <w:uiPriority w:val="34"/>
    <w:qFormat/>
    <w:rsid w:val="0063417C"/>
    <w:pPr>
      <w:ind w:leftChars="200" w:left="480"/>
    </w:pPr>
  </w:style>
  <w:style w:type="paragraph" w:customStyle="1" w:styleId="-11">
    <w:name w:val="彩色清單 - 輔色 11"/>
    <w:basedOn w:val="a"/>
    <w:uiPriority w:val="34"/>
    <w:qFormat/>
    <w:rsid w:val="000F662E"/>
    <w:pPr>
      <w:ind w:leftChars="200" w:left="480"/>
    </w:pPr>
    <w:rPr>
      <w:rFonts w:ascii="Times New Roman" w:eastAsia="新細明體" w:hAnsi="Times New Roman" w:cs="Times New Roman"/>
    </w:rPr>
  </w:style>
  <w:style w:type="paragraph" w:styleId="a9">
    <w:name w:val="header"/>
    <w:basedOn w:val="a"/>
    <w:link w:val="aa"/>
    <w:uiPriority w:val="99"/>
    <w:unhideWhenUsed/>
    <w:rsid w:val="004D52F7"/>
    <w:pPr>
      <w:tabs>
        <w:tab w:val="center" w:pos="4153"/>
        <w:tab w:val="right" w:pos="8306"/>
      </w:tabs>
      <w:snapToGrid w:val="0"/>
    </w:pPr>
    <w:rPr>
      <w:sz w:val="20"/>
      <w:szCs w:val="20"/>
    </w:rPr>
  </w:style>
  <w:style w:type="character" w:customStyle="1" w:styleId="aa">
    <w:name w:val="頁首 字元"/>
    <w:basedOn w:val="a0"/>
    <w:link w:val="a9"/>
    <w:uiPriority w:val="99"/>
    <w:rsid w:val="004D52F7"/>
    <w:rPr>
      <w:sz w:val="20"/>
      <w:szCs w:val="20"/>
    </w:rPr>
  </w:style>
  <w:style w:type="paragraph" w:styleId="ab">
    <w:name w:val="caption"/>
    <w:basedOn w:val="a"/>
    <w:next w:val="a"/>
    <w:uiPriority w:val="35"/>
    <w:qFormat/>
    <w:rsid w:val="009D0209"/>
    <w:rPr>
      <w:rFonts w:ascii="Times New Roman" w:eastAsia="新細明體" w:hAnsi="Times New Roman" w:cs="Times New Roman"/>
      <w:sz w:val="20"/>
      <w:szCs w:val="20"/>
    </w:rPr>
  </w:style>
  <w:style w:type="paragraph" w:customStyle="1" w:styleId="EndNoteBibliographyTitle">
    <w:name w:val="EndNote Bibliography Title"/>
    <w:basedOn w:val="a"/>
    <w:link w:val="EndNoteBibliographyTitle0"/>
    <w:rsid w:val="000A4882"/>
    <w:pPr>
      <w:jc w:val="center"/>
    </w:pPr>
    <w:rPr>
      <w:rFonts w:ascii="Cambria" w:hAnsi="Cambria"/>
      <w:noProof/>
    </w:rPr>
  </w:style>
  <w:style w:type="character" w:customStyle="1" w:styleId="EndNoteBibliographyTitle0">
    <w:name w:val="EndNote Bibliography Title 字元"/>
    <w:basedOn w:val="a0"/>
    <w:link w:val="EndNoteBibliographyTitle"/>
    <w:rsid w:val="000A4882"/>
    <w:rPr>
      <w:rFonts w:ascii="Cambria" w:hAnsi="Cambria"/>
      <w:noProof/>
    </w:rPr>
  </w:style>
  <w:style w:type="paragraph" w:customStyle="1" w:styleId="EndNoteBibliography">
    <w:name w:val="EndNote Bibliography"/>
    <w:basedOn w:val="a"/>
    <w:link w:val="EndNoteBibliography0"/>
    <w:rsid w:val="000A4882"/>
    <w:rPr>
      <w:rFonts w:ascii="Cambria" w:hAnsi="Cambria"/>
      <w:noProof/>
    </w:rPr>
  </w:style>
  <w:style w:type="character" w:customStyle="1" w:styleId="EndNoteBibliography0">
    <w:name w:val="EndNote Bibliography 字元"/>
    <w:basedOn w:val="a0"/>
    <w:link w:val="EndNoteBibliography"/>
    <w:rsid w:val="000A4882"/>
    <w:rPr>
      <w:rFonts w:ascii="Cambria" w:hAnsi="Cambria"/>
      <w:noProof/>
    </w:rPr>
  </w:style>
  <w:style w:type="character" w:styleId="ac">
    <w:name w:val="Hyperlink"/>
    <w:basedOn w:val="a0"/>
    <w:uiPriority w:val="99"/>
    <w:unhideWhenUsed/>
    <w:rsid w:val="000A48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499347">
      <w:bodyDiv w:val="1"/>
      <w:marLeft w:val="0"/>
      <w:marRight w:val="0"/>
      <w:marTop w:val="0"/>
      <w:marBottom w:val="0"/>
      <w:divBdr>
        <w:top w:val="none" w:sz="0" w:space="0" w:color="auto"/>
        <w:left w:val="none" w:sz="0" w:space="0" w:color="auto"/>
        <w:bottom w:val="none" w:sz="0" w:space="0" w:color="auto"/>
        <w:right w:val="none" w:sz="0" w:space="0" w:color="auto"/>
      </w:divBdr>
      <w:divsChild>
        <w:div w:id="220481567">
          <w:marLeft w:val="-115"/>
          <w:marRight w:val="0"/>
          <w:marTop w:val="0"/>
          <w:marBottom w:val="0"/>
          <w:divBdr>
            <w:top w:val="none" w:sz="0" w:space="0" w:color="auto"/>
            <w:left w:val="none" w:sz="0" w:space="0" w:color="auto"/>
            <w:bottom w:val="none" w:sz="0" w:space="0" w:color="auto"/>
            <w:right w:val="none" w:sz="0" w:space="0" w:color="auto"/>
          </w:divBdr>
        </w:div>
        <w:div w:id="693114069">
          <w:marLeft w:val="-28"/>
          <w:marRight w:val="0"/>
          <w:marTop w:val="0"/>
          <w:marBottom w:val="0"/>
          <w:divBdr>
            <w:top w:val="none" w:sz="0" w:space="0" w:color="auto"/>
            <w:left w:val="none" w:sz="0" w:space="0" w:color="auto"/>
            <w:bottom w:val="none" w:sz="0" w:space="0" w:color="auto"/>
            <w:right w:val="none" w:sz="0" w:space="0" w:color="auto"/>
          </w:divBdr>
        </w:div>
        <w:div w:id="837186800">
          <w:marLeft w:val="-115"/>
          <w:marRight w:val="0"/>
          <w:marTop w:val="0"/>
          <w:marBottom w:val="0"/>
          <w:divBdr>
            <w:top w:val="none" w:sz="0" w:space="0" w:color="auto"/>
            <w:left w:val="none" w:sz="0" w:space="0" w:color="auto"/>
            <w:bottom w:val="none" w:sz="0" w:space="0" w:color="auto"/>
            <w:right w:val="none" w:sz="0" w:space="0" w:color="auto"/>
          </w:divBdr>
        </w:div>
        <w:div w:id="932127678">
          <w:marLeft w:val="-115"/>
          <w:marRight w:val="0"/>
          <w:marTop w:val="0"/>
          <w:marBottom w:val="0"/>
          <w:divBdr>
            <w:top w:val="none" w:sz="0" w:space="0" w:color="auto"/>
            <w:left w:val="none" w:sz="0" w:space="0" w:color="auto"/>
            <w:bottom w:val="none" w:sz="0" w:space="0" w:color="auto"/>
            <w:right w:val="none" w:sz="0" w:space="0" w:color="auto"/>
          </w:divBdr>
        </w:div>
        <w:div w:id="1097211243">
          <w:marLeft w:val="-28"/>
          <w:marRight w:val="0"/>
          <w:marTop w:val="0"/>
          <w:marBottom w:val="0"/>
          <w:divBdr>
            <w:top w:val="none" w:sz="0" w:space="0" w:color="auto"/>
            <w:left w:val="none" w:sz="0" w:space="0" w:color="auto"/>
            <w:bottom w:val="none" w:sz="0" w:space="0" w:color="auto"/>
            <w:right w:val="none" w:sz="0" w:space="0" w:color="auto"/>
          </w:divBdr>
        </w:div>
        <w:div w:id="1276869385">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32A9AB-56AF-478E-BC68-4954F890E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32</Pages>
  <Words>10395</Words>
  <Characters>59257</Characters>
  <Application>Microsoft Office Word</Application>
  <DocSecurity>0</DocSecurity>
  <Lines>493</Lines>
  <Paragraphs>139</Paragraphs>
  <ScaleCrop>false</ScaleCrop>
  <Company>apple</Company>
  <LinksUpToDate>false</LinksUpToDate>
  <CharactersWithSpaces>69513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Tung-Fei Tsai-Lin</dc:creator>
  <cp:keywords/>
  <dc:description/>
  <cp:lastModifiedBy>owuser</cp:lastModifiedBy>
  <cp:revision>10</cp:revision>
  <cp:lastPrinted>2019-12-13T03:48:00Z</cp:lastPrinted>
  <dcterms:created xsi:type="dcterms:W3CDTF">2020-05-03T13:23:00Z</dcterms:created>
  <dcterms:modified xsi:type="dcterms:W3CDTF">2020-05-17T09:35:00Z</dcterms:modified>
</cp:coreProperties>
</file>