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72"/>
          <w:sz w:val="48"/>
        </w:rPr>
        <w:t>SYS Brand Asset Family</w:t>
      </w:r>
    </w:p>
    <w:p>
      <w:pPr>
        <w:jc w:val="center"/>
      </w:pPr>
      <w:r>
        <w:rPr>
          <w:b/>
          <w:color w:val="6D28D9"/>
          <w:sz w:val="32"/>
        </w:rPr>
        <w:t>SYS – Strengthen Your Skills</w:t>
      </w:r>
    </w:p>
    <w:p>
      <w:pPr>
        <w:jc w:val="center"/>
      </w:pPr>
      <w:r>
        <w:rPr>
          <w:i/>
          <w:sz w:val="26"/>
        </w:rPr>
        <w:t>Shape Your Successful Future.</w:t>
      </w:r>
    </w:p>
    <w:p>
      <w:r>
        <w:t>This document freezes the SYS visual identity and defines the seven standard logo assets to be used throughout the SYS AI-powered learning platform.</w:t>
      </w:r>
    </w:p>
    <w:p>
      <w:pPr>
        <w:pStyle w:val="Heading1"/>
      </w:pPr>
      <w:r>
        <w:t>1. Official Brand Identity</w:t>
      </w:r>
    </w:p>
    <w:p>
      <w:r>
        <w:rPr>
          <w:b/>
        </w:rPr>
        <w:t xml:space="preserve">Brand: </w:t>
      </w:r>
      <w:r>
        <w:t>SYS – Strengthen Your Skills</w:t>
      </w:r>
    </w:p>
    <w:p>
      <w:r>
        <w:rPr>
          <w:b/>
        </w:rPr>
        <w:t xml:space="preserve">Tagline: </w:t>
      </w:r>
      <w:r>
        <w:t>Shape Your Successful Future.</w:t>
      </w:r>
    </w:p>
    <w:p>
      <w:r>
        <w:rPr>
          <w:b/>
        </w:rPr>
        <w:t xml:space="preserve">Primary identity: </w:t>
      </w:r>
      <w:r>
        <w:t>Blue + Royal Purple</w:t>
      </w:r>
    </w:p>
    <w:p>
      <w:r>
        <w:rPr>
          <w:b/>
        </w:rPr>
        <w:t xml:space="preserve">Brand character: </w:t>
      </w:r>
      <w:r>
        <w:t>Educational, AI-enabled, modern, trustworthy and student-focused</w:t>
      </w:r>
    </w:p>
    <w:p>
      <w:pPr>
        <w:pStyle w:val="Heading1"/>
      </w:pPr>
      <w:r>
        <w:t>2. Official Color Direction</w:t>
      </w:r>
    </w:p>
    <w:tbl>
      <w:tblPr>
        <w:tblStyle w:val="TableGrid"/>
        <w:tblW w:type="auto" w:w="0"/>
        <w:tblLook w:firstColumn="1" w:firstRow="1" w:lastColumn="0" w:lastRow="0" w:noHBand="0" w:noVBand="1" w:val="04A0"/>
      </w:tblPr>
      <w:tblGrid>
        <w:gridCol w:w="3408"/>
        <w:gridCol w:w="3408"/>
        <w:gridCol w:w="3408"/>
      </w:tblGrid>
      <w:tr>
        <w:tc>
          <w:tcPr>
            <w:tcW w:type="dxa" w:w="3408"/>
          </w:tcPr>
          <w:p>
            <w:r>
              <w:t>Color</w:t>
            </w:r>
          </w:p>
        </w:tc>
        <w:tc>
          <w:tcPr>
            <w:tcW w:type="dxa" w:w="3408"/>
          </w:tcPr>
          <w:p>
            <w:r>
              <w:t>Hex</w:t>
            </w:r>
          </w:p>
        </w:tc>
        <w:tc>
          <w:tcPr>
            <w:tcW w:type="dxa" w:w="3408"/>
          </w:tcPr>
          <w:p>
            <w:r>
              <w:t>Primary use</w:t>
            </w:r>
          </w:p>
        </w:tc>
      </w:tr>
      <w:tr>
        <w:tc>
          <w:tcPr>
            <w:tcW w:type="dxa" w:w="3408"/>
          </w:tcPr>
          <w:p>
            <w:r>
              <w:t>Deep Academic Navy</w:t>
            </w:r>
          </w:p>
        </w:tc>
        <w:tc>
          <w:tcPr>
            <w:tcW w:type="dxa" w:w="3408"/>
          </w:tcPr>
          <w:p>
            <w:r>
              <w:t>#102A72</w:t>
            </w:r>
          </w:p>
        </w:tc>
        <w:tc>
          <w:tcPr>
            <w:tcW w:type="dxa" w:w="3408"/>
          </w:tcPr>
          <w:p>
            <w:r>
              <w:t>Core brand text, headings and dark identity</w:t>
            </w:r>
          </w:p>
        </w:tc>
      </w:tr>
      <w:tr>
        <w:tc>
          <w:tcPr>
            <w:tcW w:type="dxa" w:w="3408"/>
          </w:tcPr>
          <w:p>
            <w:r>
              <w:t>Primary Blue</w:t>
            </w:r>
          </w:p>
        </w:tc>
        <w:tc>
          <w:tcPr>
            <w:tcW w:type="dxa" w:w="3408"/>
          </w:tcPr>
          <w:p>
            <w:r>
              <w:t>#1769E0</w:t>
            </w:r>
          </w:p>
        </w:tc>
        <w:tc>
          <w:tcPr>
            <w:tcW w:type="dxa" w:w="3408"/>
          </w:tcPr>
          <w:p>
            <w:r>
              <w:t>Main SYS symbol/technology identity</w:t>
            </w:r>
          </w:p>
        </w:tc>
      </w:tr>
      <w:tr>
        <w:tc>
          <w:tcPr>
            <w:tcW w:type="dxa" w:w="3408"/>
          </w:tcPr>
          <w:p>
            <w:r>
              <w:t>Royal Purple</w:t>
            </w:r>
          </w:p>
        </w:tc>
        <w:tc>
          <w:tcPr>
            <w:tcW w:type="dxa" w:w="3408"/>
          </w:tcPr>
          <w:p>
            <w:r>
              <w:t>#6D28D9</w:t>
            </w:r>
          </w:p>
        </w:tc>
        <w:tc>
          <w:tcPr>
            <w:tcW w:type="dxa" w:w="3408"/>
          </w:tcPr>
          <w:p>
            <w:r>
              <w:t>Primary accent, Skills emphasis, UI highlights</w:t>
            </w:r>
          </w:p>
        </w:tc>
      </w:tr>
      <w:tr>
        <w:tc>
          <w:tcPr>
            <w:tcW w:type="dxa" w:w="3408"/>
          </w:tcPr>
          <w:p>
            <w:r>
              <w:t>Bright Purple</w:t>
            </w:r>
          </w:p>
        </w:tc>
        <w:tc>
          <w:tcPr>
            <w:tcW w:type="dxa" w:w="3408"/>
          </w:tcPr>
          <w:p>
            <w:r>
              <w:t>#8B5CF6</w:t>
            </w:r>
          </w:p>
        </w:tc>
        <w:tc>
          <w:tcPr>
            <w:tcW w:type="dxa" w:w="3408"/>
          </w:tcPr>
          <w:p>
            <w:r>
              <w:t>Supporting gradients/glows where appropriate</w:t>
            </w:r>
          </w:p>
        </w:tc>
      </w:tr>
      <w:tr>
        <w:tc>
          <w:tcPr>
            <w:tcW w:type="dxa" w:w="3408"/>
          </w:tcPr>
          <w:p>
            <w:r>
              <w:t>White</w:t>
            </w:r>
          </w:p>
        </w:tc>
        <w:tc>
          <w:tcPr>
            <w:tcW w:type="dxa" w:w="3408"/>
          </w:tcPr>
          <w:p>
            <w:r>
              <w:t>#FFFFFF</w:t>
            </w:r>
          </w:p>
        </w:tc>
        <w:tc>
          <w:tcPr>
            <w:tcW w:type="dxa" w:w="3408"/>
          </w:tcPr>
          <w:p>
            <w:r>
              <w:t>Clean backgrounds and reversed text</w:t>
            </w:r>
          </w:p>
        </w:tc>
      </w:tr>
    </w:tbl>
    <w:p>
      <w:pPr>
        <w:pStyle w:val="Heading1"/>
      </w:pPr>
      <w:r>
        <w:t>3. The Seven Standard SYS Assets</w:t>
      </w:r>
    </w:p>
    <w:p>
      <w:r>
        <w:rPr>
          <w:b/>
        </w:rPr>
        <w:t xml:space="preserve">Master Logo — </w:t>
      </w:r>
      <w:r>
        <w:t>01_SYS_Master_Logo.png</w:t>
      </w:r>
    </w:p>
    <w:p>
      <w:pPr>
        <w:pStyle w:val="ListBullet"/>
      </w:pPr>
      <w:r>
        <w:t>Official full-resolution logo. Use for brand presentations, covers and primary brand identity.</w:t>
      </w:r>
    </w:p>
    <w:p>
      <w:r>
        <w:rPr>
          <w:b/>
        </w:rPr>
        <w:t xml:space="preserve">SYS Symbol / Mark — </w:t>
      </w:r>
      <w:r>
        <w:t>02_SYS_Symbol_Mark.png</w:t>
      </w:r>
    </w:p>
    <w:p>
      <w:pPr>
        <w:pStyle w:val="ListBullet"/>
      </w:pPr>
      <w:r>
        <w:t>Standalone educational/AI emblem. Use where the full wordmark does not fit.</w:t>
      </w:r>
    </w:p>
    <w:p>
      <w:r>
        <w:rPr>
          <w:b/>
        </w:rPr>
        <w:t xml:space="preserve">Horizontal Logo — </w:t>
      </w:r>
      <w:r>
        <w:t>03_SYS_Horizontal_Logo.png</w:t>
      </w:r>
    </w:p>
    <w:p>
      <w:pPr>
        <w:pStyle w:val="ListBullet"/>
      </w:pPr>
      <w:r>
        <w:t>Preferred website/header lockup for desktop navigation and application chrome.</w:t>
      </w:r>
    </w:p>
    <w:p>
      <w:r>
        <w:rPr>
          <w:b/>
        </w:rPr>
        <w:t xml:space="preserve">Compact Logo — </w:t>
      </w:r>
      <w:r>
        <w:t>04_SYS_Compact_Logo.png</w:t>
      </w:r>
    </w:p>
    <w:p>
      <w:pPr>
        <w:pStyle w:val="ListBullet"/>
      </w:pPr>
      <w:r>
        <w:t>Use in constrained layouts, smaller cards and selected mobile contexts.</w:t>
      </w:r>
    </w:p>
    <w:p>
      <w:r>
        <w:rPr>
          <w:b/>
        </w:rPr>
        <w:t xml:space="preserve">Favicon / App Icon — </w:t>
      </w:r>
      <w:r>
        <w:t>05_SYS_Favicon_App_Icon.png</w:t>
      </w:r>
    </w:p>
    <w:p>
      <w:pPr>
        <w:pStyle w:val="ListBullet"/>
      </w:pPr>
      <w:r>
        <w:t>Browser favicon, PWA/mobile icon and application identity.</w:t>
      </w:r>
    </w:p>
    <w:p>
      <w:r>
        <w:rPr>
          <w:b/>
        </w:rPr>
        <w:t xml:space="preserve">Document Logo — </w:t>
      </w:r>
      <w:r>
        <w:t>06_SYS_Document_Logo.png</w:t>
      </w:r>
    </w:p>
    <w:p>
      <w:pPr>
        <w:pStyle w:val="ListBullet"/>
      </w:pPr>
      <w:r>
        <w:t>Header/cover branding for AI-generated lecture notes, handouts, reports and assessments.</w:t>
      </w:r>
    </w:p>
    <w:p>
      <w:r>
        <w:rPr>
          <w:b/>
        </w:rPr>
        <w:t xml:space="preserve">Watermark / Signature — </w:t>
      </w:r>
      <w:r>
        <w:t>07_SYS_Watermark_Signature.png</w:t>
      </w:r>
    </w:p>
    <w:p>
      <w:pPr>
        <w:pStyle w:val="ListBullet"/>
      </w:pPr>
      <w:r>
        <w:t>Low-opacity branding for generated documents and supporting educational material.</w:t>
      </w:r>
    </w:p>
    <w:p>
      <w:pPr>
        <w:pStyle w:val="Heading1"/>
      </w:pPr>
      <w:r>
        <w:t>4. Application-Wide Branding Rule</w:t>
      </w:r>
    </w:p>
    <w:p>
      <w:r>
        <w:t>The same Blue + Royal Purple identity should be used consistently across the SYS website, student dashboard, faculty dashboard, admin dashboard, AI Lecturer interface, course pages, assessment screens, generated PDFs, Word documents, reports, certificates and future mobile applications.</w:t>
      </w:r>
    </w:p>
    <w:p>
      <w:pPr>
        <w:pStyle w:val="Heading1"/>
      </w:pPr>
      <w:r>
        <w:t>5. Generated Educational Documents</w:t>
      </w:r>
    </w:p>
    <w:p>
      <w:r>
        <w:t>Every SYS-generated educational document should carry SYS branding. Recommended placement is the Document Logo in the header and the Watermark/Signature subtly in the body or footer. Documents may include the course, subject, unit, topic, generation date and document type while retaining the official SYS identity.</w:t>
      </w:r>
    </w:p>
    <w:p>
      <w:pPr>
        <w:pStyle w:val="Heading1"/>
      </w:pPr>
      <w:r>
        <w:t>6. Color Usage Rule</w:t>
      </w:r>
    </w:p>
    <w:p>
      <w:r>
        <w:t>Royal Purple is the primary accent color for SYS UI. Orange is no longer a primary SYS brand color. Semantic colors such as green for success, red for errors and amber for warnings may be used when required by interface meaning.</w:t>
      </w:r>
    </w:p>
    <w:p>
      <w:pPr>
        <w:pStyle w:val="Heading1"/>
      </w:pPr>
      <w:r>
        <w:t>7. Asset Package</w:t>
      </w:r>
    </w:p>
    <w:p>
      <w:r>
        <w:t>The accompanying asset folder contains the seven PNG files defined above plus a README describing the frozen brand direction.</w:t>
      </w:r>
    </w:p>
    <w:p>
      <w:pPr>
        <w:pStyle w:val="Heading1"/>
      </w:pPr>
      <w:r>
        <w:t>8. Master Logo Preview</w:t>
      </w:r>
    </w:p>
    <w:p>
      <w:pPr>
        <w:jc w:val="center"/>
      </w:pPr>
      <w:r>
        <w:drawing>
          <wp:inline xmlns:a="http://schemas.openxmlformats.org/drawingml/2006/main" xmlns:pic="http://schemas.openxmlformats.org/drawingml/2006/picture">
            <wp:extent cx="5943600" cy="3875914"/>
            <wp:docPr id="1" name="Picture 1"/>
            <wp:cNvGraphicFramePr>
              <a:graphicFrameLocks noChangeAspect="1"/>
            </wp:cNvGraphicFramePr>
            <a:graphic>
              <a:graphicData uri="http://schemas.openxmlformats.org/drawingml/2006/picture">
                <pic:pic>
                  <pic:nvPicPr>
                    <pic:cNvPr id="0" name="01_SYS_Master_Logo.png"/>
                    <pic:cNvPicPr/>
                  </pic:nvPicPr>
                  <pic:blipFill>
                    <a:blip r:embed="rId9"/>
                    <a:stretch>
                      <a:fillRect/>
                    </a:stretch>
                  </pic:blipFill>
                  <pic:spPr>
                    <a:xfrm>
                      <a:off x="0" y="0"/>
                      <a:ext cx="5943600" cy="3875914"/>
                    </a:xfrm>
                    <a:prstGeom prst="rect"/>
                  </pic:spPr>
                </pic:pic>
              </a:graphicData>
            </a:graphic>
          </wp:inline>
        </w:drawing>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