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533400"/>
            <wp:docPr id="1" name="Picture 1"/>
            <wp:cNvGraphicFramePr>
              <a:graphicFrameLocks noChangeAspect="1"/>
            </wp:cNvGraphicFramePr>
            <a:graphic>
              <a:graphicData uri="http://schemas.openxmlformats.org/drawingml/2006/picture">
                <pic:pic>
                  <pic:nvPicPr>
                    <pic:cNvPr id="0" name="04_SYS_Compact_Logo_FIXED.png"/>
                    <pic:cNvPicPr/>
                  </pic:nvPicPr>
                  <pic:blipFill>
                    <a:blip r:embed="rId11"/>
                    <a:stretch>
                      <a:fillRect/>
                    </a:stretch>
                  </pic:blipFill>
                  <pic:spPr>
                    <a:xfrm>
                      <a:off x="0" y="0"/>
                      <a:ext cx="2286000" cy="533400"/>
                    </a:xfrm>
                    <a:prstGeom prst="rect"/>
                  </pic:spPr>
                </pic:pic>
              </a:graphicData>
            </a:graphic>
          </wp:inline>
        </w:drawing>
      </w:r>
    </w:p>
    <w:p>
      <w:pPr>
        <w:jc w:val="center"/>
      </w:pPr>
      <w:r>
        <w:rPr>
          <w:b/>
          <w:color w:val="102A72"/>
          <w:sz w:val="48"/>
        </w:rPr>
        <w:t>SYS – TECHNOLOGY SPECIFICATION</w:t>
      </w:r>
    </w:p>
    <w:p>
      <w:pPr>
        <w:jc w:val="center"/>
      </w:pPr>
      <w:r>
        <w:rPr>
          <w:b/>
          <w:color w:val="6D28D9"/>
          <w:sz w:val="26"/>
        </w:rPr>
        <w:t>Development, Frontend, Backend, Database, AI/ML, Infrastructure, Deployment &amp; Cost Strategy</w:t>
      </w:r>
    </w:p>
    <w:p>
      <w:pPr>
        <w:jc w:val="center"/>
      </w:pPr>
      <w:r>
        <w:t>Version 1.0 | Free/Low-Cost Pilot → Funded Production → Institutional Scale</w:t>
      </w:r>
    </w:p>
    <w:tbl>
      <w:tblPr>
        <w:tblW w:type="auto" w:w="0"/>
        <w:tblLook w:firstColumn="1" w:firstRow="1" w:lastColumn="0" w:lastRow="0" w:noHBand="0" w:noVBand="1" w:val="04A0"/>
      </w:tblPr>
      <w:tblGrid>
        <w:gridCol w:w="10080"/>
      </w:tblGrid>
      <w:tr>
        <w:tc>
          <w:tcPr>
            <w:tcW w:type="dxa" w:w="10080"/>
            <w:shd w:fill="F5F3FF"/>
          </w:tcPr>
          <w:p>
            <w:r>
              <w:rPr>
                <w:b/>
                <w:color w:val="6D28D9"/>
              </w:rPr>
              <w:t>Technology Principle</w:t>
              <w:br/>
            </w:r>
            <w:r>
              <w:t>Start with free/open-source resources wherever practical; design the architecture so paid AI models and infrastructure can be introduced later without rewriting the application.</w:t>
            </w:r>
          </w:p>
        </w:tc>
      </w:tr>
    </w:tbl>
    <w:p>
      <w:r>
        <w:br w:type="page"/>
      </w:r>
    </w:p>
    <w:p>
      <w:pPr>
        <w:pStyle w:val="Heading1"/>
      </w:pPr>
      <w:r>
        <w:t>1. Technology Strategy</w:t>
      </w:r>
    </w:p>
    <w:p>
      <w:r>
        <w:t>SYS should be provider-neutral. The application should contain an AI Model Gateway/Provider Adapter so a local open model, free hosted model, or paid production model can be selected by configuration. This protects the project from vendor lock-in and supports the original free-first objective.</w:t>
      </w:r>
    </w:p>
    <w:tbl>
      <w:tblPr>
        <w:tblW w:type="auto" w:w="0"/>
        <w:tblLook w:firstColumn="1" w:firstRow="1" w:lastColumn="0" w:lastRow="0" w:noHBand="0" w:noVBand="1" w:val="04A0"/>
      </w:tblPr>
      <w:tblGrid>
        <w:gridCol w:w="10080"/>
      </w:tblGrid>
      <w:tr>
        <w:tc>
          <w:tcPr>
            <w:tcW w:type="dxa" w:w="10080"/>
            <w:shd w:fill="F5F3FF"/>
          </w:tcPr>
          <w:p>
            <w:r>
              <w:rPr>
                <w:b/>
                <w:color w:val="6D28D9"/>
              </w:rPr>
              <w:t>Recommended Architecture</w:t>
              <w:br/>
            </w:r>
            <w:r>
              <w:t>Application → AI Orchestrator/Agent Services → Model Gateway → Local/Open/Cloud Models. Academic resources → ingestion → chunking → embeddings → PostgreSQL + pgvector → RAG → AI Lecturer.</w:t>
            </w:r>
          </w:p>
        </w:tc>
      </w:tr>
    </w:tbl>
    <w:p>
      <w:r>
        <w:t>Supabase supports PostgreSQL with pgvector for vector similarity search and embeddings, making it suitable for the initial RAG architecture without introducing a separate vector database. citeturn1search1turn1search8</w:t>
      </w:r>
    </w:p>
    <w:p>
      <w:pPr>
        <w:pStyle w:val="Heading1"/>
      </w:pPr>
      <w:r>
        <w:t>2.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6D28D9"/>
          </w:tcPr>
          <w:p>
            <w:r>
              <w:rPr>
                <w:b/>
                <w:color w:val="FFFFFF"/>
                <w:sz w:val="16"/>
              </w:rPr>
              <w:t>Layer</w:t>
            </w:r>
          </w:p>
        </w:tc>
        <w:tc>
          <w:tcPr>
            <w:tcW w:type="dxa" w:w="3360"/>
            <w:shd w:fill="6D28D9"/>
          </w:tcPr>
          <w:p>
            <w:r>
              <w:rPr>
                <w:b/>
                <w:color w:val="FFFFFF"/>
                <w:sz w:val="16"/>
              </w:rPr>
              <w:t>Pilot</w:t>
            </w:r>
          </w:p>
        </w:tc>
        <w:tc>
          <w:tcPr>
            <w:tcW w:type="dxa" w:w="3360"/>
            <w:shd w:fill="6D28D9"/>
          </w:tcPr>
          <w:p>
            <w:r>
              <w:rPr>
                <w:b/>
                <w:color w:val="FFFFFF"/>
                <w:sz w:val="16"/>
              </w:rPr>
              <w:t>Scale</w:t>
            </w:r>
          </w:p>
        </w:tc>
      </w:tr>
      <w:tr>
        <w:tc>
          <w:tcPr>
            <w:tcW w:type="dxa" w:w="3360"/>
          </w:tcPr>
          <w:p>
            <w:r>
              <w:rPr>
                <w:sz w:val="16"/>
              </w:rPr>
              <w:t>Frontend</w:t>
            </w:r>
          </w:p>
        </w:tc>
        <w:tc>
          <w:tcPr>
            <w:tcW w:type="dxa" w:w="3360"/>
          </w:tcPr>
          <w:p>
            <w:r>
              <w:rPr>
                <w:sz w:val="16"/>
              </w:rPr>
              <w:t>Next.js + React + TypeScript</w:t>
            </w:r>
          </w:p>
        </w:tc>
        <w:tc>
          <w:tcPr>
            <w:tcW w:type="dxa" w:w="3360"/>
          </w:tcPr>
          <w:p>
            <w:r>
              <w:rPr>
                <w:sz w:val="16"/>
              </w:rPr>
              <w:t>Next.js + TypeScript + CDN/WAF</w:t>
            </w:r>
          </w:p>
        </w:tc>
      </w:tr>
      <w:tr>
        <w:tc>
          <w:tcPr>
            <w:tcW w:type="dxa" w:w="3360"/>
            <w:shd w:fill="FAF9FF"/>
          </w:tcPr>
          <w:p>
            <w:r>
              <w:rPr>
                <w:sz w:val="16"/>
              </w:rPr>
              <w:t>UI</w:t>
            </w:r>
          </w:p>
        </w:tc>
        <w:tc>
          <w:tcPr>
            <w:tcW w:type="dxa" w:w="3360"/>
            <w:shd w:fill="FAF9FF"/>
          </w:tcPr>
          <w:p>
            <w:r>
              <w:rPr>
                <w:sz w:val="16"/>
              </w:rPr>
              <w:t>Tailwind CSS + SYS design system</w:t>
            </w:r>
          </w:p>
        </w:tc>
        <w:tc>
          <w:tcPr>
            <w:tcW w:type="dxa" w:w="3360"/>
            <w:shd w:fill="FAF9FF"/>
          </w:tcPr>
          <w:p>
            <w:r>
              <w:rPr>
                <w:sz w:val="16"/>
              </w:rPr>
              <w:t>Same + accessibility testing</w:t>
            </w:r>
          </w:p>
        </w:tc>
      </w:tr>
      <w:tr>
        <w:tc>
          <w:tcPr>
            <w:tcW w:type="dxa" w:w="3360"/>
          </w:tcPr>
          <w:p>
            <w:r>
              <w:rPr>
                <w:sz w:val="16"/>
              </w:rPr>
              <w:t>Backend</w:t>
            </w:r>
          </w:p>
        </w:tc>
        <w:tc>
          <w:tcPr>
            <w:tcW w:type="dxa" w:w="3360"/>
          </w:tcPr>
          <w:p>
            <w:r>
              <w:rPr>
                <w:sz w:val="16"/>
              </w:rPr>
              <w:t>Python + FastAPI</w:t>
            </w:r>
          </w:p>
        </w:tc>
        <w:tc>
          <w:tcPr>
            <w:tcW w:type="dxa" w:w="3360"/>
          </w:tcPr>
          <w:p>
            <w:r>
              <w:rPr>
                <w:sz w:val="16"/>
              </w:rPr>
              <w:t>FastAPI services + workers</w:t>
            </w:r>
          </w:p>
        </w:tc>
      </w:tr>
      <w:tr>
        <w:tc>
          <w:tcPr>
            <w:tcW w:type="dxa" w:w="3360"/>
            <w:shd w:fill="FAF9FF"/>
          </w:tcPr>
          <w:p>
            <w:r>
              <w:rPr>
                <w:sz w:val="16"/>
              </w:rPr>
              <w:t>Database</w:t>
            </w:r>
          </w:p>
        </w:tc>
        <w:tc>
          <w:tcPr>
            <w:tcW w:type="dxa" w:w="3360"/>
            <w:shd w:fill="FAF9FF"/>
          </w:tcPr>
          <w:p>
            <w:r>
              <w:rPr>
                <w:sz w:val="16"/>
              </w:rPr>
              <w:t>Supabase PostgreSQL</w:t>
            </w:r>
          </w:p>
        </w:tc>
        <w:tc>
          <w:tcPr>
            <w:tcW w:type="dxa" w:w="3360"/>
            <w:shd w:fill="FAF9FF"/>
          </w:tcPr>
          <w:p>
            <w:r>
              <w:rPr>
                <w:sz w:val="16"/>
              </w:rPr>
              <w:t>Supabase Pro/Team/Enterprise or managed PostgreSQL</w:t>
            </w:r>
          </w:p>
        </w:tc>
      </w:tr>
      <w:tr>
        <w:tc>
          <w:tcPr>
            <w:tcW w:type="dxa" w:w="3360"/>
          </w:tcPr>
          <w:p>
            <w:r>
              <w:rPr>
                <w:sz w:val="16"/>
              </w:rPr>
              <w:t>Vector search</w:t>
            </w:r>
          </w:p>
        </w:tc>
        <w:tc>
          <w:tcPr>
            <w:tcW w:type="dxa" w:w="3360"/>
          </w:tcPr>
          <w:p>
            <w:r>
              <w:rPr>
                <w:sz w:val="16"/>
              </w:rPr>
              <w:t>pgvector</w:t>
            </w:r>
          </w:p>
        </w:tc>
        <w:tc>
          <w:tcPr>
            <w:tcW w:type="dxa" w:w="3360"/>
          </w:tcPr>
          <w:p>
            <w:r>
              <w:rPr>
                <w:sz w:val="16"/>
              </w:rPr>
              <w:t>pgvector; separate vector DB only if justified</w:t>
            </w:r>
          </w:p>
        </w:tc>
      </w:tr>
      <w:tr>
        <w:tc>
          <w:tcPr>
            <w:tcW w:type="dxa" w:w="3360"/>
            <w:shd w:fill="FAF9FF"/>
          </w:tcPr>
          <w:p>
            <w:r>
              <w:rPr>
                <w:sz w:val="16"/>
              </w:rPr>
              <w:t>Storage</w:t>
            </w:r>
          </w:p>
        </w:tc>
        <w:tc>
          <w:tcPr>
            <w:tcW w:type="dxa" w:w="3360"/>
            <w:shd w:fill="FAF9FF"/>
          </w:tcPr>
          <w:p>
            <w:r>
              <w:rPr>
                <w:sz w:val="16"/>
              </w:rPr>
              <w:t>Supabase Storage</w:t>
            </w:r>
          </w:p>
        </w:tc>
        <w:tc>
          <w:tcPr>
            <w:tcW w:type="dxa" w:w="3360"/>
            <w:shd w:fill="FAF9FF"/>
          </w:tcPr>
          <w:p>
            <w:r>
              <w:rPr>
                <w:sz w:val="16"/>
              </w:rPr>
              <w:t>Supabase Storage / Cloudflare R2</w:t>
            </w:r>
          </w:p>
        </w:tc>
      </w:tr>
      <w:tr>
        <w:tc>
          <w:tcPr>
            <w:tcW w:type="dxa" w:w="3360"/>
          </w:tcPr>
          <w:p>
            <w:r>
              <w:rPr>
                <w:sz w:val="16"/>
              </w:rPr>
              <w:t>Cache</w:t>
            </w:r>
          </w:p>
        </w:tc>
        <w:tc>
          <w:tcPr>
            <w:tcW w:type="dxa" w:w="3360"/>
          </w:tcPr>
          <w:p>
            <w:r>
              <w:rPr>
                <w:sz w:val="16"/>
              </w:rPr>
              <w:t>Optional</w:t>
            </w:r>
          </w:p>
        </w:tc>
        <w:tc>
          <w:tcPr>
            <w:tcW w:type="dxa" w:w="3360"/>
          </w:tcPr>
          <w:p>
            <w:r>
              <w:rPr>
                <w:sz w:val="16"/>
              </w:rPr>
              <w:t>Redis</w:t>
            </w:r>
          </w:p>
        </w:tc>
      </w:tr>
      <w:tr>
        <w:tc>
          <w:tcPr>
            <w:tcW w:type="dxa" w:w="3360"/>
            <w:shd w:fill="FAF9FF"/>
          </w:tcPr>
          <w:p>
            <w:r>
              <w:rPr>
                <w:sz w:val="16"/>
              </w:rPr>
              <w:t>AI runtime</w:t>
            </w:r>
          </w:p>
        </w:tc>
        <w:tc>
          <w:tcPr>
            <w:tcW w:type="dxa" w:w="3360"/>
            <w:shd w:fill="FAF9FF"/>
          </w:tcPr>
          <w:p>
            <w:r>
              <w:rPr>
                <w:sz w:val="16"/>
              </w:rPr>
              <w:t>Ollama + open models</w:t>
            </w:r>
          </w:p>
        </w:tc>
        <w:tc>
          <w:tcPr>
            <w:tcW w:type="dxa" w:w="3360"/>
            <w:shd w:fill="FAF9FF"/>
          </w:tcPr>
          <w:p>
            <w:r>
              <w:rPr>
                <w:sz w:val="16"/>
              </w:rPr>
              <w:t>Model Gateway + paid/self-hosted models</w:t>
            </w:r>
          </w:p>
        </w:tc>
      </w:tr>
      <w:tr>
        <w:tc>
          <w:tcPr>
            <w:tcW w:type="dxa" w:w="3360"/>
          </w:tcPr>
          <w:p>
            <w:r>
              <w:rPr>
                <w:sz w:val="16"/>
              </w:rPr>
              <w:t>Deployment</w:t>
            </w:r>
          </w:p>
        </w:tc>
        <w:tc>
          <w:tcPr>
            <w:tcW w:type="dxa" w:w="3360"/>
          </w:tcPr>
          <w:p>
            <w:r>
              <w:rPr>
                <w:sz w:val="16"/>
              </w:rPr>
              <w:t>Vercel + low-cost container host</w:t>
            </w:r>
          </w:p>
        </w:tc>
        <w:tc>
          <w:tcPr>
            <w:tcW w:type="dxa" w:w="3360"/>
          </w:tcPr>
          <w:p>
            <w:r>
              <w:rPr>
                <w:sz w:val="16"/>
              </w:rPr>
              <w:t>Managed containers/cloud</w:t>
            </w:r>
          </w:p>
        </w:tc>
      </w:tr>
      <w:tr>
        <w:tc>
          <w:tcPr>
            <w:tcW w:type="dxa" w:w="3360"/>
            <w:shd w:fill="FAF9FF"/>
          </w:tcPr>
          <w:p>
            <w:r>
              <w:rPr>
                <w:sz w:val="16"/>
              </w:rPr>
              <w:t>Testing</w:t>
            </w:r>
          </w:p>
        </w:tc>
        <w:tc>
          <w:tcPr>
            <w:tcW w:type="dxa" w:w="3360"/>
            <w:shd w:fill="FAF9FF"/>
          </w:tcPr>
          <w:p>
            <w:r>
              <w:rPr>
                <w:sz w:val="16"/>
              </w:rPr>
              <w:t>pytest + Playwright</w:t>
            </w:r>
          </w:p>
        </w:tc>
        <w:tc>
          <w:tcPr>
            <w:tcW w:type="dxa" w:w="3360"/>
            <w:shd w:fill="FAF9FF"/>
          </w:tcPr>
          <w:p>
            <w:r>
              <w:rPr>
                <w:sz w:val="16"/>
              </w:rPr>
              <w:t>Full CI/CD + performance/security testing</w:t>
            </w:r>
          </w:p>
        </w:tc>
      </w:tr>
      <w:tr>
        <w:tc>
          <w:tcPr>
            <w:tcW w:type="dxa" w:w="3360"/>
          </w:tcPr>
          <w:p>
            <w:r>
              <w:rPr>
                <w:sz w:val="16"/>
              </w:rPr>
              <w:t>Monitoring</w:t>
            </w:r>
          </w:p>
        </w:tc>
        <w:tc>
          <w:tcPr>
            <w:tcW w:type="dxa" w:w="3360"/>
          </w:tcPr>
          <w:p>
            <w:r>
              <w:rPr>
                <w:sz w:val="16"/>
              </w:rPr>
              <w:t>Logs/basic monitoring</w:t>
            </w:r>
          </w:p>
        </w:tc>
        <w:tc>
          <w:tcPr>
            <w:tcW w:type="dxa" w:w="3360"/>
          </w:tcPr>
          <w:p>
            <w:r>
              <w:rPr>
                <w:sz w:val="16"/>
              </w:rPr>
              <w:t>Sentry + metrics + centralized logs</w:t>
            </w:r>
          </w:p>
        </w:tc>
      </w:tr>
    </w:tbl>
    <w:p>
      <w:pPr>
        <w:pStyle w:val="Heading1"/>
      </w:pPr>
      <w:r>
        <w:t>3. Development Technologies</w:t>
      </w:r>
    </w:p>
    <w:p>
      <w:pPr>
        <w:pStyle w:val="ListBullet"/>
      </w:pPr>
      <w:r>
        <w:t>Python 3.12+ for backend/AI services, subject to dependency compatibility.</w:t>
      </w:r>
    </w:p>
    <w:p>
      <w:pPr>
        <w:pStyle w:val="ListBullet"/>
      </w:pPr>
      <w:r>
        <w:t>Node.js LTS and TypeScript for frontend.</w:t>
      </w:r>
    </w:p>
    <w:p>
      <w:pPr>
        <w:pStyle w:val="ListBullet"/>
      </w:pPr>
      <w:r>
        <w:t>Git + GitHub/GitLab.</w:t>
      </w:r>
    </w:p>
    <w:p>
      <w:pPr>
        <w:pStyle w:val="ListBullet"/>
      </w:pPr>
      <w:r>
        <w:t>Docker for reproducible services.</w:t>
      </w:r>
    </w:p>
    <w:p>
      <w:pPr>
        <w:pStyle w:val="ListBullet"/>
      </w:pPr>
      <w:r>
        <w:t>pytest for backend tests.</w:t>
      </w:r>
    </w:p>
    <w:p>
      <w:pPr>
        <w:pStyle w:val="ListBullet"/>
      </w:pPr>
      <w:r>
        <w:t>Playwright for web end-to-end testing.</w:t>
      </w:r>
    </w:p>
    <w:p>
      <w:pPr>
        <w:pStyle w:val="ListBullet"/>
      </w:pPr>
      <w:r>
        <w:t>ESLint/Prettier and Python lint/format tools.</w:t>
      </w:r>
    </w:p>
    <w:p>
      <w:pPr>
        <w:pStyle w:val="ListBullet"/>
      </w:pPr>
      <w:r>
        <w:t>Postman/Insomnia for API testing.</w:t>
      </w:r>
    </w:p>
    <w:p>
      <w:pPr>
        <w:pStyle w:val="ListBullet"/>
      </w:pPr>
      <w:r>
        <w:t>GitHub Actions or equivalent CI/CD.</w:t>
      </w:r>
    </w:p>
    <w:p>
      <w:pPr>
        <w:pStyle w:val="ListBullet"/>
      </w:pPr>
      <w:r>
        <w:t>Separate development, pilot and production environments.</w:t>
      </w:r>
    </w:p>
    <w:p>
      <w:pPr>
        <w:pStyle w:val="Heading1"/>
      </w:pPr>
      <w:r>
        <w:t>4. Frontend</w:t>
      </w:r>
    </w:p>
    <w:p>
      <w:r>
        <w:t>Use the existing Next.js/React/TypeScript direction. Next.js is a React framework for full-stack web applications and supports the routing/application structure appropriate for SYS. citeturn1search0</w:t>
      </w:r>
    </w:p>
    <w:p>
      <w:pPr>
        <w:pStyle w:val="ListBullet"/>
      </w:pPr>
      <w:r>
        <w:t>Responsive student, faculty and admin dashboards.</w:t>
      </w:r>
    </w:p>
    <w:p>
      <w:pPr>
        <w:pStyle w:val="ListBullet"/>
      </w:pPr>
      <w:r>
        <w:t>Blue–Royal Purple SYS design tokens.</w:t>
      </w:r>
    </w:p>
    <w:p>
      <w:pPr>
        <w:pStyle w:val="ListBullet"/>
      </w:pPr>
      <w:r>
        <w:t>Accessible components.</w:t>
      </w:r>
    </w:p>
    <w:p>
      <w:pPr>
        <w:pStyle w:val="ListBullet"/>
      </w:pPr>
      <w:r>
        <w:t>Course → Subject → Unit → Topic navigation.</w:t>
      </w:r>
    </w:p>
    <w:p>
      <w:pPr>
        <w:pStyle w:val="ListBullet"/>
      </w:pPr>
      <w:r>
        <w:t>AI Lecturer interface with lesson, recap, Q&amp;A and progress panels.</w:t>
      </w:r>
    </w:p>
    <w:p>
      <w:pPr>
        <w:pStyle w:val="ListBullet"/>
      </w:pPr>
      <w:r>
        <w:t>Assessment and generated-material download interfaces.</w:t>
      </w:r>
    </w:p>
    <w:p>
      <w:pPr>
        <w:pStyle w:val="ListBullet"/>
      </w:pPr>
      <w:r>
        <w:t>Charts for progress/performance.</w:t>
      </w:r>
    </w:p>
    <w:p>
      <w:pPr>
        <w:pStyle w:val="ListBullet"/>
      </w:pPr>
      <w:r>
        <w:t>API client layer separated from UI components.</w:t>
      </w:r>
    </w:p>
    <w:p>
      <w:pPr>
        <w:pStyle w:val="ListBullet"/>
      </w:pPr>
      <w:r>
        <w:t>Progressive PWA/offline caching for poor connectivity.</w:t>
      </w:r>
    </w:p>
    <w:p>
      <w:pPr>
        <w:pStyle w:val="Heading1"/>
      </w:pPr>
      <w:r>
        <w:t>5. Backend</w:t>
      </w:r>
    </w:p>
    <w:p>
      <w:pPr>
        <w:pStyle w:val="ListBullet"/>
      </w:pPr>
      <w:r>
        <w:t>Python + FastAPI.</w:t>
      </w:r>
    </w:p>
    <w:p>
      <w:pPr>
        <w:pStyle w:val="ListBullet"/>
      </w:pPr>
      <w:r>
        <w:t>Pydantic request/response validation.</w:t>
      </w:r>
    </w:p>
    <w:p>
      <w:pPr>
        <w:pStyle w:val="ListBullet"/>
      </w:pPr>
      <w:r>
        <w:t>JWT/OAuth-compatible authentication.</w:t>
      </w:r>
    </w:p>
    <w:p>
      <w:pPr>
        <w:pStyle w:val="ListBullet"/>
      </w:pPr>
      <w:r>
        <w:t>Role/scope authorization middleware.</w:t>
      </w:r>
    </w:p>
    <w:p>
      <w:pPr>
        <w:pStyle w:val="ListBullet"/>
      </w:pPr>
      <w:r>
        <w:t>Service layer separate from routes.</w:t>
      </w:r>
    </w:p>
    <w:p>
      <w:pPr>
        <w:pStyle w:val="ListBullet"/>
      </w:pPr>
      <w:r>
        <w:t>OpenAPI documentation.</w:t>
      </w:r>
    </w:p>
    <w:p>
      <w:pPr>
        <w:pStyle w:val="ListBullet"/>
      </w:pPr>
      <w:r>
        <w:t>Async jobs for document ingestion and material generation.</w:t>
      </w:r>
    </w:p>
    <w:p>
      <w:pPr>
        <w:pStyle w:val="ListBullet"/>
      </w:pPr>
      <w:r>
        <w:t>Structured logging and centralized errors.</w:t>
      </w:r>
    </w:p>
    <w:p>
      <w:pPr>
        <w:pStyle w:val="ListBullet"/>
      </w:pPr>
      <w:r>
        <w:t>API versioning, e.g. /api/v1.</w:t>
      </w:r>
    </w:p>
    <w:tbl>
      <w:tblPr>
        <w:tblStyle w:val="TableGrid"/>
        <w:tblW w:type="auto" w:w="0"/>
        <w:jc w:val="center"/>
        <w:tblLook w:firstColumn="1" w:firstRow="1" w:lastColumn="0" w:lastRow="0" w:noHBand="0" w:noVBand="1" w:val="04A0"/>
      </w:tblPr>
      <w:tblGrid>
        <w:gridCol w:w="5040"/>
        <w:gridCol w:w="5040"/>
      </w:tblGrid>
      <w:tr>
        <w:tc>
          <w:tcPr>
            <w:tcW w:type="dxa" w:w="5040"/>
            <w:shd w:fill="6D28D9"/>
          </w:tcPr>
          <w:p>
            <w:r>
              <w:rPr>
                <w:b/>
                <w:color w:val="FFFFFF"/>
                <w:sz w:val="16"/>
              </w:rPr>
              <w:t>Service</w:t>
            </w:r>
          </w:p>
        </w:tc>
        <w:tc>
          <w:tcPr>
            <w:tcW w:type="dxa" w:w="5040"/>
            <w:shd w:fill="6D28D9"/>
          </w:tcPr>
          <w:p>
            <w:r>
              <w:rPr>
                <w:b/>
                <w:color w:val="FFFFFF"/>
                <w:sz w:val="16"/>
              </w:rPr>
              <w:t>Initial responsibility</w:t>
            </w:r>
          </w:p>
        </w:tc>
      </w:tr>
      <w:tr>
        <w:tc>
          <w:tcPr>
            <w:tcW w:type="dxa" w:w="5040"/>
          </w:tcPr>
          <w:p>
            <w:r>
              <w:rPr>
                <w:sz w:val="16"/>
              </w:rPr>
              <w:t>Identity</w:t>
            </w:r>
          </w:p>
        </w:tc>
        <w:tc>
          <w:tcPr>
            <w:tcW w:type="dxa" w:w="5040"/>
          </w:tcPr>
          <w:p>
            <w:r>
              <w:rPr>
                <w:sz w:val="16"/>
              </w:rPr>
              <w:t>Authentication, roles, permissions</w:t>
            </w:r>
          </w:p>
        </w:tc>
      </w:tr>
      <w:tr>
        <w:tc>
          <w:tcPr>
            <w:tcW w:type="dxa" w:w="5040"/>
            <w:shd w:fill="FAF9FF"/>
          </w:tcPr>
          <w:p>
            <w:r>
              <w:rPr>
                <w:sz w:val="16"/>
              </w:rPr>
              <w:t>Student</w:t>
            </w:r>
          </w:p>
        </w:tc>
        <w:tc>
          <w:tcPr>
            <w:tcW w:type="dxa" w:w="5040"/>
            <w:shd w:fill="FAF9FF"/>
          </w:tcPr>
          <w:p>
            <w:r>
              <w:rPr>
                <w:sz w:val="16"/>
              </w:rPr>
              <w:t>Student master/profile/enrollment</w:t>
            </w:r>
          </w:p>
        </w:tc>
      </w:tr>
      <w:tr>
        <w:tc>
          <w:tcPr>
            <w:tcW w:type="dxa" w:w="5040"/>
          </w:tcPr>
          <w:p>
            <w:r>
              <w:rPr>
                <w:sz w:val="16"/>
              </w:rPr>
              <w:t>Faculty</w:t>
            </w:r>
          </w:p>
        </w:tc>
        <w:tc>
          <w:tcPr>
            <w:tcW w:type="dxa" w:w="5040"/>
          </w:tcPr>
          <w:p>
            <w:r>
              <w:rPr>
                <w:sz w:val="16"/>
              </w:rPr>
              <w:t>Faculty approval and assignments</w:t>
            </w:r>
          </w:p>
        </w:tc>
      </w:tr>
      <w:tr>
        <w:tc>
          <w:tcPr>
            <w:tcW w:type="dxa" w:w="5040"/>
            <w:shd w:fill="FAF9FF"/>
          </w:tcPr>
          <w:p>
            <w:r>
              <w:rPr>
                <w:sz w:val="16"/>
              </w:rPr>
              <w:t>Course</w:t>
            </w:r>
          </w:p>
        </w:tc>
        <w:tc>
          <w:tcPr>
            <w:tcW w:type="dxa" w:w="5040"/>
            <w:shd w:fill="FAF9FF"/>
          </w:tcPr>
          <w:p>
            <w:r>
              <w:rPr>
                <w:sz w:val="16"/>
              </w:rPr>
              <w:t>Courses, subjects, units, topics</w:t>
            </w:r>
          </w:p>
        </w:tc>
      </w:tr>
      <w:tr>
        <w:tc>
          <w:tcPr>
            <w:tcW w:type="dxa" w:w="5040"/>
          </w:tcPr>
          <w:p>
            <w:r>
              <w:rPr>
                <w:sz w:val="16"/>
              </w:rPr>
              <w:t>Resources</w:t>
            </w:r>
          </w:p>
        </w:tc>
        <w:tc>
          <w:tcPr>
            <w:tcW w:type="dxa" w:w="5040"/>
          </w:tcPr>
          <w:p>
            <w:r>
              <w:rPr>
                <w:sz w:val="16"/>
              </w:rPr>
              <w:t>Upload, validation, ingestion</w:t>
            </w:r>
          </w:p>
        </w:tc>
      </w:tr>
      <w:tr>
        <w:tc>
          <w:tcPr>
            <w:tcW w:type="dxa" w:w="5040"/>
            <w:shd w:fill="FAF9FF"/>
          </w:tcPr>
          <w:p>
            <w:r>
              <w:rPr>
                <w:sz w:val="16"/>
              </w:rPr>
              <w:t>AI Lecturer</w:t>
            </w:r>
          </w:p>
        </w:tc>
        <w:tc>
          <w:tcPr>
            <w:tcW w:type="dxa" w:w="5040"/>
            <w:shd w:fill="FAF9FF"/>
          </w:tcPr>
          <w:p>
            <w:r>
              <w:rPr>
                <w:sz w:val="16"/>
              </w:rPr>
              <w:t>Teaching, RAG and Q&amp;A</w:t>
            </w:r>
          </w:p>
        </w:tc>
      </w:tr>
      <w:tr>
        <w:tc>
          <w:tcPr>
            <w:tcW w:type="dxa" w:w="5040"/>
          </w:tcPr>
          <w:p>
            <w:r>
              <w:rPr>
                <w:sz w:val="16"/>
              </w:rPr>
              <w:t>Learning</w:t>
            </w:r>
          </w:p>
        </w:tc>
        <w:tc>
          <w:tcPr>
            <w:tcW w:type="dxa" w:w="5040"/>
          </w:tcPr>
          <w:p>
            <w:r>
              <w:rPr>
                <w:sz w:val="16"/>
              </w:rPr>
              <w:t>Sessions and progress</w:t>
            </w:r>
          </w:p>
        </w:tc>
      </w:tr>
      <w:tr>
        <w:tc>
          <w:tcPr>
            <w:tcW w:type="dxa" w:w="5040"/>
            <w:shd w:fill="FAF9FF"/>
          </w:tcPr>
          <w:p>
            <w:r>
              <w:rPr>
                <w:sz w:val="16"/>
              </w:rPr>
              <w:t>Assessment</w:t>
            </w:r>
          </w:p>
        </w:tc>
        <w:tc>
          <w:tcPr>
            <w:tcW w:type="dxa" w:w="5040"/>
            <w:shd w:fill="FAF9FF"/>
          </w:tcPr>
          <w:p>
            <w:r>
              <w:rPr>
                <w:sz w:val="16"/>
              </w:rPr>
              <w:t>Questions, tests, attempts, scoring</w:t>
            </w:r>
          </w:p>
        </w:tc>
      </w:tr>
      <w:tr>
        <w:tc>
          <w:tcPr>
            <w:tcW w:type="dxa" w:w="5040"/>
          </w:tcPr>
          <w:p>
            <w:r>
              <w:rPr>
                <w:sz w:val="16"/>
              </w:rPr>
              <w:t>Generated Materials</w:t>
            </w:r>
          </w:p>
        </w:tc>
        <w:tc>
          <w:tcPr>
            <w:tcW w:type="dxa" w:w="5040"/>
          </w:tcPr>
          <w:p>
            <w:r>
              <w:rPr>
                <w:sz w:val="16"/>
              </w:rPr>
              <w:t>Notes/handouts/summaries/explanations + access</w:t>
            </w:r>
          </w:p>
        </w:tc>
      </w:tr>
      <w:tr>
        <w:tc>
          <w:tcPr>
            <w:tcW w:type="dxa" w:w="5040"/>
            <w:shd w:fill="FAF9FF"/>
          </w:tcPr>
          <w:p>
            <w:r>
              <w:rPr>
                <w:sz w:val="16"/>
              </w:rPr>
              <w:t>Audit</w:t>
            </w:r>
          </w:p>
        </w:tc>
        <w:tc>
          <w:tcPr>
            <w:tcW w:type="dxa" w:w="5040"/>
            <w:shd w:fill="FAF9FF"/>
          </w:tcPr>
          <w:p>
            <w:r>
              <w:rPr>
                <w:sz w:val="16"/>
              </w:rPr>
              <w:t>Important activity and governance logs</w:t>
            </w:r>
          </w:p>
        </w:tc>
      </w:tr>
    </w:tbl>
    <w:p>
      <w:pPr>
        <w:pStyle w:val="Heading1"/>
      </w:pPr>
      <w:r>
        <w:t>6. Database &amp; Storage</w:t>
      </w:r>
    </w:p>
    <w:p>
      <w:pPr>
        <w:pStyle w:val="ListBullet"/>
      </w:pPr>
      <w:r>
        <w:t>Supabase PostgreSQL remains the source of truth for the finalized normalized SYS data model.</w:t>
      </w:r>
    </w:p>
    <w:p>
      <w:pPr>
        <w:pStyle w:val="ListBullet"/>
      </w:pPr>
      <w:r>
        <w:t>Enforce foreign keys, constraints and indexes at database level.</w:t>
      </w:r>
    </w:p>
    <w:p>
      <w:pPr>
        <w:pStyle w:val="ListBullet"/>
      </w:pPr>
      <w:r>
        <w:t>Use migrations in source control.</w:t>
      </w:r>
    </w:p>
    <w:p>
      <w:pPr>
        <w:pStyle w:val="ListBullet"/>
      </w:pPr>
      <w:r>
        <w:t>Use Supabase Row Level Security where applicable.</w:t>
      </w:r>
    </w:p>
    <w:p>
      <w:pPr>
        <w:pStyle w:val="ListBullet"/>
      </w:pPr>
      <w:r>
        <w:t>Store binary files in object storage; store metadata in PostgreSQL.</w:t>
      </w:r>
    </w:p>
    <w:p>
      <w:pPr>
        <w:pStyle w:val="ListBullet"/>
      </w:pPr>
      <w:r>
        <w:t>Use pgvector for resource embeddings and RAG.</w:t>
      </w:r>
    </w:p>
    <w:p>
      <w:pPr>
        <w:pStyle w:val="Heading1"/>
      </w:pPr>
      <w:r>
        <w:t>7. RAG / Knowledge Pipeline</w:t>
      </w:r>
    </w:p>
    <w:p>
      <w:pPr>
        <w:pStyle w:val="ListNumber"/>
      </w:pPr>
      <w:r>
        <w:t>Faculty uploads approved PDF/Word/image resources.</w:t>
      </w:r>
    </w:p>
    <w:p>
      <w:pPr>
        <w:pStyle w:val="ListNumber"/>
      </w:pPr>
      <w:r>
        <w:t>Validate file type, size and content; scan before use.</w:t>
      </w:r>
    </w:p>
    <w:p>
      <w:pPr>
        <w:pStyle w:val="ListNumber"/>
      </w:pPr>
      <w:r>
        <w:t>Extract text/OCR.</w:t>
      </w:r>
    </w:p>
    <w:p>
      <w:pPr>
        <w:pStyle w:val="ListNumber"/>
      </w:pPr>
      <w:r>
        <w:t>Split into structured chunks.</w:t>
      </w:r>
    </w:p>
    <w:p>
      <w:pPr>
        <w:pStyle w:val="ListNumber"/>
      </w:pPr>
      <w:r>
        <w:t>Generate embeddings.</w:t>
      </w:r>
    </w:p>
    <w:p>
      <w:pPr>
        <w:pStyle w:val="ListNumber"/>
      </w:pPr>
      <w:r>
        <w:t>Store vectors plus course/subject/unit/topic/resource metadata.</w:t>
      </w:r>
    </w:p>
    <w:p>
      <w:pPr>
        <w:pStyle w:val="ListNumber"/>
      </w:pPr>
      <w:r>
        <w:t>Retrieve relevant approved chunks for a student's question/lecture.</w:t>
      </w:r>
    </w:p>
    <w:p>
      <w:pPr>
        <w:pStyle w:val="ListNumber"/>
      </w:pPr>
      <w:r>
        <w:t>Send grounded context to the AI Lecturer.</w:t>
      </w:r>
    </w:p>
    <w:p>
      <w:pPr>
        <w:pStyle w:val="ListNumber"/>
      </w:pPr>
      <w:r>
        <w:t>Record resource/chunk references for traceability.</w:t>
      </w:r>
    </w:p>
    <w:p>
      <w:r>
        <w:t>Supabase documents pgvector as a Postgres extension for embeddings and vector similarity, and supports semantic, keyword and hybrid search. citeturn1search1turn1search8</w:t>
      </w:r>
    </w:p>
    <w:p>
      <w:pPr>
        <w:pStyle w:val="Heading1"/>
      </w:pPr>
      <w:r>
        <w:t>8. AI Model Strategy</w:t>
      </w:r>
    </w:p>
    <w:p>
      <w:r>
        <w:t>No single model should be responsible for every SYS task. Use specialized model categories and a model gateway.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6D28D9"/>
          </w:tcPr>
          <w:p>
            <w:r>
              <w:rPr>
                <w:b/>
                <w:color w:val="FFFFFF"/>
                <w:sz w:val="16"/>
              </w:rPr>
              <w:t>Function</w:t>
            </w:r>
          </w:p>
        </w:tc>
        <w:tc>
          <w:tcPr>
            <w:tcW w:type="dxa" w:w="3360"/>
            <w:shd w:fill="6D28D9"/>
          </w:tcPr>
          <w:p>
            <w:r>
              <w:rPr>
                <w:b/>
                <w:color w:val="FFFFFF"/>
                <w:sz w:val="16"/>
              </w:rPr>
              <w:t>Free-first / pilot</w:t>
            </w:r>
          </w:p>
        </w:tc>
        <w:tc>
          <w:tcPr>
            <w:tcW w:type="dxa" w:w="3360"/>
            <w:shd w:fill="6D28D9"/>
          </w:tcPr>
          <w:p>
            <w:r>
              <w:rPr>
                <w:b/>
                <w:color w:val="FFFFFF"/>
                <w:sz w:val="16"/>
              </w:rPr>
              <w:t>Funded production</w:t>
            </w:r>
          </w:p>
        </w:tc>
      </w:tr>
      <w:tr>
        <w:tc>
          <w:tcPr>
            <w:tcW w:type="dxa" w:w="3360"/>
          </w:tcPr>
          <w:p>
            <w:r>
              <w:rPr>
                <w:sz w:val="16"/>
              </w:rPr>
              <w:t>AI Lecturer</w:t>
            </w:r>
          </w:p>
        </w:tc>
        <w:tc>
          <w:tcPr>
            <w:tcW w:type="dxa" w:w="3360"/>
          </w:tcPr>
          <w:p>
            <w:r>
              <w:rPr>
                <w:sz w:val="16"/>
              </w:rPr>
              <w:t>Local open LLM through Ollama</w:t>
            </w:r>
          </w:p>
        </w:tc>
        <w:tc>
          <w:tcPr>
            <w:tcW w:type="dxa" w:w="3360"/>
          </w:tcPr>
          <w:p>
            <w:r>
              <w:rPr>
                <w:sz w:val="16"/>
              </w:rPr>
              <w:t>High-quality paid LLM + local fallback</w:t>
            </w:r>
          </w:p>
        </w:tc>
      </w:tr>
      <w:tr>
        <w:tc>
          <w:tcPr>
            <w:tcW w:type="dxa" w:w="3360"/>
            <w:shd w:fill="FAF9FF"/>
          </w:tcPr>
          <w:p>
            <w:r>
              <w:rPr>
                <w:sz w:val="16"/>
              </w:rPr>
              <w:t>Embeddings</w:t>
            </w:r>
          </w:p>
        </w:tc>
        <w:tc>
          <w:tcPr>
            <w:tcW w:type="dxa" w:w="3360"/>
            <w:shd w:fill="FAF9FF"/>
          </w:tcPr>
          <w:p>
            <w:r>
              <w:rPr>
                <w:sz w:val="16"/>
              </w:rPr>
              <w:t>Open multilingual embedding model locally</w:t>
            </w:r>
          </w:p>
        </w:tc>
        <w:tc>
          <w:tcPr>
            <w:tcW w:type="dxa" w:w="3360"/>
            <w:shd w:fill="FAF9FF"/>
          </w:tcPr>
          <w:p>
            <w:r>
              <w:rPr>
                <w:sz w:val="16"/>
              </w:rPr>
              <w:t>Managed/high-quality embedding model</w:t>
            </w:r>
          </w:p>
        </w:tc>
      </w:tr>
      <w:tr>
        <w:tc>
          <w:tcPr>
            <w:tcW w:type="dxa" w:w="3360"/>
          </w:tcPr>
          <w:p>
            <w:r>
              <w:rPr>
                <w:sz w:val="16"/>
              </w:rPr>
              <w:t>Document/OCR</w:t>
            </w:r>
          </w:p>
        </w:tc>
        <w:tc>
          <w:tcPr>
            <w:tcW w:type="dxa" w:w="3360"/>
          </w:tcPr>
          <w:p>
            <w:r>
              <w:rPr>
                <w:sz w:val="16"/>
              </w:rPr>
              <w:t>Open-source extraction + OCR</w:t>
            </w:r>
          </w:p>
        </w:tc>
        <w:tc>
          <w:tcPr>
            <w:tcW w:type="dxa" w:w="3360"/>
          </w:tcPr>
          <w:p>
            <w:r>
              <w:rPr>
                <w:sz w:val="16"/>
              </w:rPr>
              <w:t>Multimodal model for difficult documents</w:t>
            </w:r>
          </w:p>
        </w:tc>
      </w:tr>
      <w:tr>
        <w:tc>
          <w:tcPr>
            <w:tcW w:type="dxa" w:w="3360"/>
            <w:shd w:fill="FAF9FF"/>
          </w:tcPr>
          <w:p>
            <w:r>
              <w:rPr>
                <w:sz w:val="16"/>
              </w:rPr>
              <w:t>Question generation</w:t>
            </w:r>
          </w:p>
        </w:tc>
        <w:tc>
          <w:tcPr>
            <w:tcW w:type="dxa" w:w="3360"/>
            <w:shd w:fill="FAF9FF"/>
          </w:tcPr>
          <w:p>
            <w:r>
              <w:rPr>
                <w:sz w:val="16"/>
              </w:rPr>
              <w:t>Local LLM + structured validation</w:t>
            </w:r>
          </w:p>
        </w:tc>
        <w:tc>
          <w:tcPr>
            <w:tcW w:type="dxa" w:w="3360"/>
            <w:shd w:fill="FAF9FF"/>
          </w:tcPr>
          <w:p>
            <w:r>
              <w:rPr>
                <w:sz w:val="16"/>
              </w:rPr>
              <w:t>Stronger LLM + validation</w:t>
            </w:r>
          </w:p>
        </w:tc>
      </w:tr>
      <w:tr>
        <w:tc>
          <w:tcPr>
            <w:tcW w:type="dxa" w:w="3360"/>
          </w:tcPr>
          <w:p>
            <w:r>
              <w:rPr>
                <w:sz w:val="16"/>
              </w:rPr>
              <w:t>Assessment explanations</w:t>
            </w:r>
          </w:p>
        </w:tc>
        <w:tc>
          <w:tcPr>
            <w:tcW w:type="dxa" w:w="3360"/>
          </w:tcPr>
          <w:p>
            <w:r>
              <w:rPr>
                <w:sz w:val="16"/>
              </w:rPr>
              <w:t>Local LLM + RAG</w:t>
            </w:r>
          </w:p>
        </w:tc>
        <w:tc>
          <w:tcPr>
            <w:tcW w:type="dxa" w:w="3360"/>
          </w:tcPr>
          <w:p>
            <w:r>
              <w:rPr>
                <w:sz w:val="16"/>
              </w:rPr>
              <w:t>Premium reasoning model + grounding</w:t>
            </w:r>
          </w:p>
        </w:tc>
      </w:tr>
      <w:tr>
        <w:tc>
          <w:tcPr>
            <w:tcW w:type="dxa" w:w="3360"/>
            <w:shd w:fill="FAF9FF"/>
          </w:tcPr>
          <w:p>
            <w:r>
              <w:rPr>
                <w:sz w:val="16"/>
              </w:rPr>
              <w:t>Speech-to-text</w:t>
            </w:r>
          </w:p>
        </w:tc>
        <w:tc>
          <w:tcPr>
            <w:tcW w:type="dxa" w:w="3360"/>
            <w:shd w:fill="FAF9FF"/>
          </w:tcPr>
          <w:p>
            <w:r>
              <w:rPr>
                <w:sz w:val="16"/>
              </w:rPr>
              <w:t>Whisper local</w:t>
            </w:r>
          </w:p>
        </w:tc>
        <w:tc>
          <w:tcPr>
            <w:tcW w:type="dxa" w:w="3360"/>
            <w:shd w:fill="FAF9FF"/>
          </w:tcPr>
          <w:p>
            <w:r>
              <w:rPr>
                <w:sz w:val="16"/>
              </w:rPr>
              <w:t>Whisper + managed speech if needed</w:t>
            </w:r>
          </w:p>
        </w:tc>
      </w:tr>
      <w:tr>
        <w:tc>
          <w:tcPr>
            <w:tcW w:type="dxa" w:w="3360"/>
          </w:tcPr>
          <w:p>
            <w:r>
              <w:rPr>
                <w:sz w:val="16"/>
              </w:rPr>
              <w:t>Text-to-speech</w:t>
            </w:r>
          </w:p>
        </w:tc>
        <w:tc>
          <w:tcPr>
            <w:tcW w:type="dxa" w:w="3360"/>
          </w:tcPr>
          <w:p>
            <w:r>
              <w:rPr>
                <w:sz w:val="16"/>
              </w:rPr>
              <w:t>Piper/local</w:t>
            </w:r>
          </w:p>
        </w:tc>
        <w:tc>
          <w:tcPr>
            <w:tcW w:type="dxa" w:w="3360"/>
          </w:tcPr>
          <w:p>
            <w:r>
              <w:rPr>
                <w:sz w:val="16"/>
              </w:rPr>
              <w:t>Premium neural TTS if needed</w:t>
            </w:r>
          </w:p>
        </w:tc>
      </w:tr>
      <w:tr>
        <w:tc>
          <w:tcPr>
            <w:tcW w:type="dxa" w:w="3360"/>
            <w:shd w:fill="FAF9FF"/>
          </w:tcPr>
          <w:p>
            <w:r>
              <w:rPr>
                <w:sz w:val="16"/>
              </w:rPr>
              <w:t>Telugu/English</w:t>
            </w:r>
          </w:p>
        </w:tc>
        <w:tc>
          <w:tcPr>
            <w:tcW w:type="dxa" w:w="3360"/>
            <w:shd w:fill="FAF9FF"/>
          </w:tcPr>
          <w:p>
            <w:r>
              <w:rPr>
                <w:sz w:val="16"/>
              </w:rPr>
              <w:t>Multilingual open model</w:t>
            </w:r>
          </w:p>
        </w:tc>
        <w:tc>
          <w:tcPr>
            <w:tcW w:type="dxa" w:w="3360"/>
            <w:shd w:fill="FAF9FF"/>
          </w:tcPr>
          <w:p>
            <w:r>
              <w:rPr>
                <w:sz w:val="16"/>
              </w:rPr>
              <w:t>Premium multilingual model where justified</w:t>
            </w:r>
          </w:p>
        </w:tc>
      </w:tr>
      <w:tr>
        <w:tc>
          <w:tcPr>
            <w:tcW w:type="dxa" w:w="3360"/>
          </w:tcPr>
          <w:p>
            <w:r>
              <w:rPr>
                <w:sz w:val="16"/>
              </w:rPr>
              <w:t>Avatar</w:t>
            </w:r>
          </w:p>
        </w:tc>
        <w:tc>
          <w:tcPr>
            <w:tcW w:type="dxa" w:w="3360"/>
          </w:tcPr>
          <w:p>
            <w:r>
              <w:rPr>
                <w:sz w:val="16"/>
              </w:rPr>
              <w:t>Defer</w:t>
            </w:r>
          </w:p>
        </w:tc>
        <w:tc>
          <w:tcPr>
            <w:tcW w:type="dxa" w:w="3360"/>
          </w:tcPr>
          <w:p>
            <w:r>
              <w:rPr>
                <w:sz w:val="16"/>
              </w:rPr>
              <w:t>Specialized avatar/rendering service later</w:t>
            </w:r>
          </w:p>
        </w:tc>
      </w:tr>
    </w:tbl>
    <w:p>
      <w:pPr>
        <w:pStyle w:val="Heading1"/>
      </w:pPr>
      <w:r>
        <w:t>9. Recommended AI Technologies</w:t>
      </w:r>
    </w:p>
    <w:p>
      <w:pPr>
        <w:pStyle w:val="Heading2"/>
      </w:pPr>
      <w:r>
        <w:t>9.1 Ollama + Open Models</w:t>
      </w:r>
    </w:p>
    <w:p>
      <w:r>
        <w:t>Ollama is recommended for the free-first local AI layer. It runs open models locally and provides an API for application integration. Current Ollama model listings include multiple small and multimodal open-model families; the exact model should be benchmarked for SYS rather than permanently hard-coded. citeturn1search2turn1search9</w:t>
      </w:r>
    </w:p>
    <w:p>
      <w:pPr>
        <w:pStyle w:val="Heading2"/>
      </w:pPr>
      <w:r>
        <w:t>9.2 Gemini API</w:t>
      </w:r>
    </w:p>
    <w:p>
      <w:r>
        <w:t>Gemini currently provides a free developer tier and paid production tiers. Google states that free-tier content may be used to improve its products, while paid usage has different terms. Therefore, sensitive institutional/student data should not be routed through a free tier until the applicable terms and institutional privacy requirements are reviewed. citeturn0search10</w:t>
      </w:r>
    </w:p>
    <w:p>
      <w:pPr>
        <w:pStyle w:val="Heading2"/>
      </w:pPr>
      <w:r>
        <w:t>9.3 Hugging Face / Groq</w:t>
      </w:r>
    </w:p>
    <w:p>
      <w:r>
        <w:t>Hugging Face Inference Providers can provide a common interface to many models, with limited free credits and pay-as-you-go usage. Groq can be considered when very low-latency hosted inference is useful and the selected model is supported. citeturn0search1turn0search6turn0search8</w:t>
      </w:r>
    </w:p>
    <w:p>
      <w:pPr>
        <w:pStyle w:val="Heading2"/>
      </w:pPr>
      <w:r>
        <w:t>9.4 Speech</w:t>
      </w:r>
    </w:p>
    <w:p>
      <w:r>
        <w:t>OpenAI Whisper is a strong open-source/local candidate for multilingual speech recognition, translation and language identification. citeturn1search6</w:t>
      </w:r>
    </w:p>
    <w:p>
      <w:r>
        <w:t>Piper is a lightweight local neural TTS option designed for low-latency/offline use; selected voice licenses must be checked before institutional distribution. citeturn1search3turn1search14</w:t>
      </w:r>
    </w:p>
    <w:p>
      <w:pPr>
        <w:pStyle w:val="Heading1"/>
      </w:pPr>
      <w:r>
        <w:t>10. AI Lecturer Architecture</w:t>
      </w:r>
    </w:p>
    <w:tbl>
      <w:tblPr>
        <w:tblW w:type="auto" w:w="0"/>
        <w:tblLook w:firstColumn="1" w:firstRow="1" w:lastColumn="0" w:lastRow="0" w:noHBand="0" w:noVBand="1" w:val="04A0"/>
      </w:tblPr>
      <w:tblGrid>
        <w:gridCol w:w="10080"/>
      </w:tblGrid>
      <w:tr>
        <w:tc>
          <w:tcPr>
            <w:tcW w:type="dxa" w:w="10080"/>
            <w:shd w:fill="F5F3FF"/>
          </w:tcPr>
          <w:p>
            <w:r>
              <w:rPr>
                <w:b/>
                <w:color w:val="6D28D9"/>
              </w:rPr>
              <w:t>Flow</w:t>
              <w:br/>
            </w:r>
            <w:r>
              <w:t>Student UI → Lecturer API → Session Manager → RAG Retriever → Prompt/Policy Builder → Model Gateway → LLM → Output Validator → Student UI + Learning Events</w:t>
            </w:r>
          </w:p>
        </w:tc>
      </w:tr>
    </w:tbl>
    <w:p>
      <w:pPr>
        <w:pStyle w:val="ListBullet"/>
      </w:pPr>
      <w:r>
        <w:t>Always provide course/subject/unit/topic context.</w:t>
      </w:r>
    </w:p>
    <w:p>
      <w:pPr>
        <w:pStyle w:val="ListBullet"/>
      </w:pPr>
      <w:r>
        <w:t>Ground teaching in approved faculty resources where available.</w:t>
      </w:r>
    </w:p>
    <w:p>
      <w:pPr>
        <w:pStyle w:val="ListBullet"/>
      </w:pPr>
      <w:r>
        <w:t>Use learning history for recap where authorized.</w:t>
      </w:r>
    </w:p>
    <w:p>
      <w:pPr>
        <w:pStyle w:val="ListBullet"/>
      </w:pPr>
      <w:r>
        <w:t>Use structured outputs for machine-readable actions.</w:t>
      </w:r>
    </w:p>
    <w:p>
      <w:pPr>
        <w:pStyle w:val="ListBullet"/>
      </w:pPr>
      <w:r>
        <w:t>Generate notes from the same grounded lesson context.</w:t>
      </w:r>
    </w:p>
    <w:p>
      <w:pPr>
        <w:pStyle w:val="ListBullet"/>
      </w:pPr>
      <w:r>
        <w:t>Keep assessment generation as a validated workflow separate from free-form chat.</w:t>
      </w:r>
    </w:p>
    <w:p>
      <w:pPr>
        <w:pStyle w:val="Heading1"/>
      </w:pPr>
      <w:r>
        <w:t>11. Other AI Agents — Technology</w:t>
      </w:r>
    </w:p>
    <w:tbl>
      <w:tblPr>
        <w:tblStyle w:val="TableGrid"/>
        <w:tblW w:type="auto" w:w="0"/>
        <w:jc w:val="center"/>
        <w:tblLook w:firstColumn="1" w:firstRow="1" w:lastColumn="0" w:lastRow="0" w:noHBand="0" w:noVBand="1" w:val="04A0"/>
      </w:tblPr>
      <w:tblGrid>
        <w:gridCol w:w="5040"/>
        <w:gridCol w:w="5040"/>
      </w:tblGrid>
      <w:tr>
        <w:tc>
          <w:tcPr>
            <w:tcW w:type="dxa" w:w="5040"/>
            <w:shd w:fill="6D28D9"/>
          </w:tcPr>
          <w:p>
            <w:r>
              <w:rPr>
                <w:b/>
                <w:color w:val="FFFFFF"/>
                <w:sz w:val="16"/>
              </w:rPr>
              <w:t>Agent</w:t>
            </w:r>
          </w:p>
        </w:tc>
        <w:tc>
          <w:tcPr>
            <w:tcW w:type="dxa" w:w="5040"/>
            <w:shd w:fill="6D28D9"/>
          </w:tcPr>
          <w:p>
            <w:r>
              <w:rPr>
                <w:b/>
                <w:color w:val="FFFFFF"/>
                <w:sz w:val="16"/>
              </w:rPr>
              <w:t>Technology</w:t>
            </w:r>
          </w:p>
        </w:tc>
      </w:tr>
      <w:tr>
        <w:tc>
          <w:tcPr>
            <w:tcW w:type="dxa" w:w="5040"/>
          </w:tcPr>
          <w:p>
            <w:r>
              <w:rPr>
                <w:sz w:val="16"/>
              </w:rPr>
              <w:t>AI Lecturer</w:t>
            </w:r>
          </w:p>
        </w:tc>
        <w:tc>
          <w:tcPr>
            <w:tcW w:type="dxa" w:w="5040"/>
          </w:tcPr>
          <w:p>
            <w:r>
              <w:rPr>
                <w:sz w:val="16"/>
              </w:rPr>
              <w:t>FastAPI + RAG + Model Gateway + LLM</w:t>
            </w:r>
          </w:p>
        </w:tc>
      </w:tr>
      <w:tr>
        <w:tc>
          <w:tcPr>
            <w:tcW w:type="dxa" w:w="5040"/>
            <w:shd w:fill="FAF9FF"/>
          </w:tcPr>
          <w:p>
            <w:r>
              <w:rPr>
                <w:sz w:val="16"/>
              </w:rPr>
              <w:t>Learning Tracker</w:t>
            </w:r>
          </w:p>
        </w:tc>
        <w:tc>
          <w:tcPr>
            <w:tcW w:type="dxa" w:w="5040"/>
            <w:shd w:fill="FAF9FF"/>
          </w:tcPr>
          <w:p>
            <w:r>
              <w:rPr>
                <w:sz w:val="16"/>
              </w:rPr>
              <w:t>Event service + PostgreSQL</w:t>
            </w:r>
          </w:p>
        </w:tc>
      </w:tr>
      <w:tr>
        <w:tc>
          <w:tcPr>
            <w:tcW w:type="dxa" w:w="5040"/>
          </w:tcPr>
          <w:p>
            <w:r>
              <w:rPr>
                <w:sz w:val="16"/>
              </w:rPr>
              <w:t>Assessment</w:t>
            </w:r>
          </w:p>
        </w:tc>
        <w:tc>
          <w:tcPr>
            <w:tcW w:type="dxa" w:w="5040"/>
          </w:tcPr>
          <w:p>
            <w:r>
              <w:rPr>
                <w:sz w:val="16"/>
              </w:rPr>
              <w:t>LLM + question bank + deterministic validation</w:t>
            </w:r>
          </w:p>
        </w:tc>
      </w:tr>
      <w:tr>
        <w:tc>
          <w:tcPr>
            <w:tcW w:type="dxa" w:w="5040"/>
            <w:shd w:fill="FAF9FF"/>
          </w:tcPr>
          <w:p>
            <w:r>
              <w:rPr>
                <w:sz w:val="16"/>
              </w:rPr>
              <w:t>Performance Analysis</w:t>
            </w:r>
          </w:p>
        </w:tc>
        <w:tc>
          <w:tcPr>
            <w:tcW w:type="dxa" w:w="5040"/>
            <w:shd w:fill="FAF9FF"/>
          </w:tcPr>
          <w:p>
            <w:r>
              <w:rPr>
                <w:sz w:val="16"/>
              </w:rPr>
              <w:t>Python analytics + rules + LLM explanations</w:t>
            </w:r>
          </w:p>
        </w:tc>
      </w:tr>
      <w:tr>
        <w:tc>
          <w:tcPr>
            <w:tcW w:type="dxa" w:w="5040"/>
          </w:tcPr>
          <w:p>
            <w:r>
              <w:rPr>
                <w:sz w:val="16"/>
              </w:rPr>
              <w:t>Remedial</w:t>
            </w:r>
          </w:p>
        </w:tc>
        <w:tc>
          <w:tcPr>
            <w:tcW w:type="dxa" w:w="5040"/>
          </w:tcPr>
          <w:p>
            <w:r>
              <w:rPr>
                <w:sz w:val="16"/>
              </w:rPr>
              <w:t>Recommendation engine + LLM + reassessment</w:t>
            </w:r>
          </w:p>
        </w:tc>
      </w:tr>
      <w:tr>
        <w:tc>
          <w:tcPr>
            <w:tcW w:type="dxa" w:w="5040"/>
            <w:shd w:fill="FAF9FF"/>
          </w:tcPr>
          <w:p>
            <w:r>
              <w:rPr>
                <w:sz w:val="16"/>
              </w:rPr>
              <w:t>Communication</w:t>
            </w:r>
          </w:p>
        </w:tc>
        <w:tc>
          <w:tcPr>
            <w:tcW w:type="dxa" w:w="5040"/>
            <w:shd w:fill="FAF9FF"/>
          </w:tcPr>
          <w:p>
            <w:r>
              <w:rPr>
                <w:sz w:val="16"/>
              </w:rPr>
              <w:t>LLM + Whisper + TTS</w:t>
            </w:r>
          </w:p>
        </w:tc>
      </w:tr>
      <w:tr>
        <w:tc>
          <w:tcPr>
            <w:tcW w:type="dxa" w:w="5040"/>
          </w:tcPr>
          <w:p>
            <w:r>
              <w:rPr>
                <w:sz w:val="16"/>
              </w:rPr>
              <w:t>Motivation/Support</w:t>
            </w:r>
          </w:p>
        </w:tc>
        <w:tc>
          <w:tcPr>
            <w:tcW w:type="dxa" w:w="5040"/>
          </w:tcPr>
          <w:p>
            <w:r>
              <w:rPr>
                <w:sz w:val="16"/>
              </w:rPr>
              <w:t>LLM + authorized student context + human escalation</w:t>
            </w:r>
          </w:p>
        </w:tc>
      </w:tr>
      <w:tr>
        <w:tc>
          <w:tcPr>
            <w:tcW w:type="dxa" w:w="5040"/>
            <w:shd w:fill="FAF9FF"/>
          </w:tcPr>
          <w:p>
            <w:r>
              <w:rPr>
                <w:sz w:val="16"/>
              </w:rPr>
              <w:t>Orchestrator</w:t>
            </w:r>
          </w:p>
        </w:tc>
        <w:tc>
          <w:tcPr>
            <w:tcW w:type="dxa" w:w="5040"/>
            <w:shd w:fill="FAF9FF"/>
          </w:tcPr>
          <w:p>
            <w:r>
              <w:rPr>
                <w:sz w:val="16"/>
              </w:rPr>
              <w:t>Workflow/state machine + agent contracts</w:t>
            </w:r>
          </w:p>
        </w:tc>
      </w:tr>
    </w:tbl>
    <w:p>
      <w:pPr>
        <w:pStyle w:val="Heading1"/>
      </w:pPr>
      <w:r>
        <w:t>12. Security &amp; Privacy Technology</w:t>
      </w:r>
    </w:p>
    <w:p>
      <w:pPr>
        <w:pStyle w:val="ListBullet"/>
      </w:pPr>
      <w:r>
        <w:t>HTTPS/TLS.</w:t>
      </w:r>
    </w:p>
    <w:p>
      <w:pPr>
        <w:pStyle w:val="ListBullet"/>
      </w:pPr>
      <w:r>
        <w:t>JWT/OAuth-compatible authentication.</w:t>
      </w:r>
    </w:p>
    <w:p>
      <w:pPr>
        <w:pStyle w:val="ListBullet"/>
      </w:pPr>
      <w:r>
        <w:t>Role and scope authorization.</w:t>
      </w:r>
    </w:p>
    <w:p>
      <w:pPr>
        <w:pStyle w:val="ListBullet"/>
      </w:pPr>
      <w:r>
        <w:t>Row Level Security where applicable.</w:t>
      </w:r>
    </w:p>
    <w:p>
      <w:pPr>
        <w:pStyle w:val="ListBullet"/>
      </w:pPr>
      <w:r>
        <w:t>Secrets outside source code.</w:t>
      </w:r>
    </w:p>
    <w:p>
      <w:pPr>
        <w:pStyle w:val="ListBullet"/>
      </w:pPr>
      <w:r>
        <w:t>Upload validation and malware scanning.</w:t>
      </w:r>
    </w:p>
    <w:p>
      <w:pPr>
        <w:pStyle w:val="ListBullet"/>
      </w:pPr>
      <w:r>
        <w:t>Rate limiting for authentication/AI endpoints.</w:t>
      </w:r>
    </w:p>
    <w:p>
      <w:pPr>
        <w:pStyle w:val="ListBullet"/>
      </w:pPr>
      <w:r>
        <w:t>Audit logs.</w:t>
      </w:r>
    </w:p>
    <w:p>
      <w:pPr>
        <w:pStyle w:val="ListBullet"/>
      </w:pPr>
      <w:r>
        <w:t>Backups and recovery before production.</w:t>
      </w:r>
    </w:p>
    <w:p>
      <w:pPr>
        <w:pStyle w:val="ListBullet"/>
      </w:pPr>
      <w:r>
        <w:t>Data minimization for sensitive student information.</w:t>
      </w:r>
    </w:p>
    <w:p>
      <w:pPr>
        <w:pStyle w:val="ListBullet"/>
      </w:pPr>
      <w:r>
        <w:t>Provider-specific routing rules for sensitive data.</w:t>
      </w:r>
    </w:p>
    <w:p>
      <w:pPr>
        <w:pStyle w:val="Heading1"/>
      </w:pPr>
      <w:r>
        <w:t>13. Deployment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6D28D9"/>
          </w:tcPr>
          <w:p>
            <w:r>
              <w:rPr>
                <w:b/>
                <w:color w:val="FFFFFF"/>
                <w:sz w:val="16"/>
              </w:rPr>
              <w:t>Component</w:t>
            </w:r>
          </w:p>
        </w:tc>
        <w:tc>
          <w:tcPr>
            <w:tcW w:type="dxa" w:w="3360"/>
            <w:shd w:fill="6D28D9"/>
          </w:tcPr>
          <w:p>
            <w:r>
              <w:rPr>
                <w:b/>
                <w:color w:val="FFFFFF"/>
                <w:sz w:val="16"/>
              </w:rPr>
              <w:t>Pilot</w:t>
            </w:r>
          </w:p>
        </w:tc>
        <w:tc>
          <w:tcPr>
            <w:tcW w:type="dxa" w:w="3360"/>
            <w:shd w:fill="6D28D9"/>
          </w:tcPr>
          <w:p>
            <w:r>
              <w:rPr>
                <w:b/>
                <w:color w:val="FFFFFF"/>
                <w:sz w:val="16"/>
              </w:rPr>
              <w:t>Funded production</w:t>
            </w:r>
          </w:p>
        </w:tc>
      </w:tr>
      <w:tr>
        <w:tc>
          <w:tcPr>
            <w:tcW w:type="dxa" w:w="3360"/>
          </w:tcPr>
          <w:p>
            <w:r>
              <w:rPr>
                <w:sz w:val="16"/>
              </w:rPr>
              <w:t>Frontend</w:t>
            </w:r>
          </w:p>
        </w:tc>
        <w:tc>
          <w:tcPr>
            <w:tcW w:type="dxa" w:w="3360"/>
          </w:tcPr>
          <w:p>
            <w:r>
              <w:rPr>
                <w:sz w:val="16"/>
              </w:rPr>
              <w:t>Vercel Hobby/equivalent</w:t>
            </w:r>
          </w:p>
        </w:tc>
        <w:tc>
          <w:tcPr>
            <w:tcW w:type="dxa" w:w="3360"/>
          </w:tcPr>
          <w:p>
            <w:r>
              <w:rPr>
                <w:sz w:val="16"/>
              </w:rPr>
              <w:t>Vercel Pro/Enterprise/equivalent</w:t>
            </w:r>
          </w:p>
        </w:tc>
      </w:tr>
      <w:tr>
        <w:tc>
          <w:tcPr>
            <w:tcW w:type="dxa" w:w="3360"/>
            <w:shd w:fill="FAF9FF"/>
          </w:tcPr>
          <w:p>
            <w:r>
              <w:rPr>
                <w:sz w:val="16"/>
              </w:rPr>
              <w:t>Backend</w:t>
            </w:r>
          </w:p>
        </w:tc>
        <w:tc>
          <w:tcPr>
            <w:tcW w:type="dxa" w:w="3360"/>
            <w:shd w:fill="FAF9FF"/>
          </w:tcPr>
          <w:p>
            <w:r>
              <w:rPr>
                <w:sz w:val="16"/>
              </w:rPr>
              <w:t>Low-cost container host</w:t>
            </w:r>
          </w:p>
        </w:tc>
        <w:tc>
          <w:tcPr>
            <w:tcW w:type="dxa" w:w="3360"/>
            <w:shd w:fill="FAF9FF"/>
          </w:tcPr>
          <w:p>
            <w:r>
              <w:rPr>
                <w:sz w:val="16"/>
              </w:rPr>
              <w:t>Managed containers/cloud VM</w:t>
            </w:r>
          </w:p>
        </w:tc>
      </w:tr>
      <w:tr>
        <w:tc>
          <w:tcPr>
            <w:tcW w:type="dxa" w:w="3360"/>
          </w:tcPr>
          <w:p>
            <w:r>
              <w:rPr>
                <w:sz w:val="16"/>
              </w:rPr>
              <w:t>Database</w:t>
            </w:r>
          </w:p>
        </w:tc>
        <w:tc>
          <w:tcPr>
            <w:tcW w:type="dxa" w:w="3360"/>
          </w:tcPr>
          <w:p>
            <w:r>
              <w:rPr>
                <w:sz w:val="16"/>
              </w:rPr>
              <w:t>Supabase Free if limits suffice</w:t>
            </w:r>
          </w:p>
        </w:tc>
        <w:tc>
          <w:tcPr>
            <w:tcW w:type="dxa" w:w="3360"/>
          </w:tcPr>
          <w:p>
            <w:r>
              <w:rPr>
                <w:sz w:val="16"/>
              </w:rPr>
              <w:t>Supabase Pro/Team/Enterprise or managed PostgreSQL</w:t>
            </w:r>
          </w:p>
        </w:tc>
      </w:tr>
      <w:tr>
        <w:tc>
          <w:tcPr>
            <w:tcW w:type="dxa" w:w="3360"/>
            <w:shd w:fill="FAF9FF"/>
          </w:tcPr>
          <w:p>
            <w:r>
              <w:rPr>
                <w:sz w:val="16"/>
              </w:rPr>
              <w:t>Storage</w:t>
            </w:r>
          </w:p>
        </w:tc>
        <w:tc>
          <w:tcPr>
            <w:tcW w:type="dxa" w:w="3360"/>
            <w:shd w:fill="FAF9FF"/>
          </w:tcPr>
          <w:p>
            <w:r>
              <w:rPr>
                <w:sz w:val="16"/>
              </w:rPr>
              <w:t>Supabase Storage</w:t>
            </w:r>
          </w:p>
        </w:tc>
        <w:tc>
          <w:tcPr>
            <w:tcW w:type="dxa" w:w="3360"/>
            <w:shd w:fill="FAF9FF"/>
          </w:tcPr>
          <w:p>
            <w:r>
              <w:rPr>
                <w:sz w:val="16"/>
              </w:rPr>
              <w:t>Supabase Storage / Cloudflare R2</w:t>
            </w:r>
          </w:p>
        </w:tc>
      </w:tr>
      <w:tr>
        <w:tc>
          <w:tcPr>
            <w:tcW w:type="dxa" w:w="3360"/>
          </w:tcPr>
          <w:p>
            <w:r>
              <w:rPr>
                <w:sz w:val="16"/>
              </w:rPr>
              <w:t>AI</w:t>
            </w:r>
          </w:p>
        </w:tc>
        <w:tc>
          <w:tcPr>
            <w:tcW w:type="dxa" w:w="3360"/>
          </w:tcPr>
          <w:p>
            <w:r>
              <w:rPr>
                <w:sz w:val="16"/>
              </w:rPr>
              <w:t>Local Ollama + fallback</w:t>
            </w:r>
          </w:p>
        </w:tc>
        <w:tc>
          <w:tcPr>
            <w:tcW w:type="dxa" w:w="3360"/>
          </w:tcPr>
          <w:p>
            <w:r>
              <w:rPr>
                <w:sz w:val="16"/>
              </w:rPr>
              <w:t>Paid API + local/self-hosted fallback</w:t>
            </w:r>
          </w:p>
        </w:tc>
      </w:tr>
      <w:tr>
        <w:tc>
          <w:tcPr>
            <w:tcW w:type="dxa" w:w="3360"/>
            <w:shd w:fill="FAF9FF"/>
          </w:tcPr>
          <w:p>
            <w:r>
              <w:rPr>
                <w:sz w:val="16"/>
              </w:rPr>
              <w:t>Redis</w:t>
            </w:r>
          </w:p>
        </w:tc>
        <w:tc>
          <w:tcPr>
            <w:tcW w:type="dxa" w:w="3360"/>
            <w:shd w:fill="FAF9FF"/>
          </w:tcPr>
          <w:p>
            <w:r>
              <w:rPr>
                <w:sz w:val="16"/>
              </w:rPr>
              <w:t>Defer</w:t>
            </w:r>
          </w:p>
        </w:tc>
        <w:tc>
          <w:tcPr>
            <w:tcW w:type="dxa" w:w="3360"/>
            <w:shd w:fill="FAF9FF"/>
          </w:tcPr>
          <w:p>
            <w:r>
              <w:rPr>
                <w:sz w:val="16"/>
              </w:rPr>
              <w:t>Managed Redis when needed</w:t>
            </w:r>
          </w:p>
        </w:tc>
      </w:tr>
      <w:tr>
        <w:tc>
          <w:tcPr>
            <w:tcW w:type="dxa" w:w="3360"/>
          </w:tcPr>
          <w:p>
            <w:r>
              <w:rPr>
                <w:sz w:val="16"/>
              </w:rPr>
              <w:t>Workers</w:t>
            </w:r>
          </w:p>
        </w:tc>
        <w:tc>
          <w:tcPr>
            <w:tcW w:type="dxa" w:w="3360"/>
          </w:tcPr>
          <w:p>
            <w:r>
              <w:rPr>
                <w:sz w:val="16"/>
              </w:rPr>
              <w:t>Single worker</w:t>
            </w:r>
          </w:p>
        </w:tc>
        <w:tc>
          <w:tcPr>
            <w:tcW w:type="dxa" w:w="3360"/>
          </w:tcPr>
          <w:p>
            <w:r>
              <w:rPr>
                <w:sz w:val="16"/>
              </w:rPr>
              <w:t>Separate scalable workers</w:t>
            </w:r>
          </w:p>
        </w:tc>
      </w:tr>
      <w:tr>
        <w:tc>
          <w:tcPr>
            <w:tcW w:type="dxa" w:w="3360"/>
            <w:shd w:fill="FAF9FF"/>
          </w:tcPr>
          <w:p>
            <w:r>
              <w:rPr>
                <w:sz w:val="16"/>
              </w:rPr>
              <w:t>Monitoring</w:t>
            </w:r>
          </w:p>
        </w:tc>
        <w:tc>
          <w:tcPr>
            <w:tcW w:type="dxa" w:w="3360"/>
            <w:shd w:fill="FAF9FF"/>
          </w:tcPr>
          <w:p>
            <w:r>
              <w:rPr>
                <w:sz w:val="16"/>
              </w:rPr>
              <w:t>Basic logs</w:t>
            </w:r>
          </w:p>
        </w:tc>
        <w:tc>
          <w:tcPr>
            <w:tcW w:type="dxa" w:w="3360"/>
            <w:shd w:fill="FAF9FF"/>
          </w:tcPr>
          <w:p>
            <w:r>
              <w:rPr>
                <w:sz w:val="16"/>
              </w:rPr>
              <w:t>Sentry + metrics + centralized logs</w:t>
            </w:r>
          </w:p>
        </w:tc>
      </w:tr>
      <w:tr>
        <w:tc>
          <w:tcPr>
            <w:tcW w:type="dxa" w:w="3360"/>
          </w:tcPr>
          <w:p>
            <w:r>
              <w:rPr>
                <w:sz w:val="16"/>
              </w:rPr>
              <w:t>CI/CD</w:t>
            </w:r>
          </w:p>
        </w:tc>
        <w:tc>
          <w:tcPr>
            <w:tcW w:type="dxa" w:w="3360"/>
          </w:tcPr>
          <w:p>
            <w:r>
              <w:rPr>
                <w:sz w:val="16"/>
              </w:rPr>
              <w:t>GitHub Actions</w:t>
            </w:r>
          </w:p>
        </w:tc>
        <w:tc>
          <w:tcPr>
            <w:tcW w:type="dxa" w:w="3360"/>
          </w:tcPr>
          <w:p>
            <w:r>
              <w:rPr>
                <w:sz w:val="16"/>
              </w:rPr>
              <w:t>Protected production pipelines</w:t>
            </w:r>
          </w:p>
        </w:tc>
      </w:tr>
    </w:tbl>
    <w:p>
      <w:r>
        <w:t>Current baseline pricing: Vercel lists Hobby at $0/month and Pro at $20/month; Supabase lists Free at $0 and Pro from $25/month. Actual costs depend on usage and quotas. citeturn0search11turn0search3</w:t>
      </w:r>
    </w:p>
    <w:p>
      <w:pPr>
        <w:pStyle w:val="Heading1"/>
      </w:pPr>
      <w:r>
        <w:t>14. Cost Model</w:t>
      </w:r>
    </w:p>
    <w:p>
      <w:pPr>
        <w:pStyle w:val="Heading2"/>
      </w:pPr>
      <w:r>
        <w:t>14.1 Free/Low-Cost Pilot Target</w:t>
      </w:r>
    </w:p>
    <w:tbl>
      <w:tblPr>
        <w:tblStyle w:val="TableGrid"/>
        <w:tblW w:type="auto" w:w="0"/>
        <w:jc w:val="center"/>
        <w:tblLook w:firstColumn="1" w:firstRow="1" w:lastColumn="0" w:lastRow="0" w:noHBand="0" w:noVBand="1" w:val="04A0"/>
      </w:tblPr>
      <w:tblGrid>
        <w:gridCol w:w="5040"/>
        <w:gridCol w:w="5040"/>
      </w:tblGrid>
      <w:tr>
        <w:tc>
          <w:tcPr>
            <w:tcW w:type="dxa" w:w="5040"/>
            <w:shd w:fill="6D28D9"/>
          </w:tcPr>
          <w:p>
            <w:r>
              <w:rPr>
                <w:b/>
                <w:color w:val="FFFFFF"/>
                <w:sz w:val="16"/>
              </w:rPr>
              <w:t>Item</w:t>
            </w:r>
          </w:p>
        </w:tc>
        <w:tc>
          <w:tcPr>
            <w:tcW w:type="dxa" w:w="5040"/>
            <w:shd w:fill="6D28D9"/>
          </w:tcPr>
          <w:p>
            <w:r>
              <w:rPr>
                <w:b/>
                <w:color w:val="FFFFFF"/>
                <w:sz w:val="16"/>
              </w:rPr>
              <w:t>Target</w:t>
            </w:r>
          </w:p>
        </w:tc>
      </w:tr>
      <w:tr>
        <w:tc>
          <w:tcPr>
            <w:tcW w:type="dxa" w:w="5040"/>
          </w:tcPr>
          <w:p>
            <w:r>
              <w:rPr>
                <w:sz w:val="16"/>
              </w:rPr>
              <w:t>Frontend</w:t>
            </w:r>
          </w:p>
        </w:tc>
        <w:tc>
          <w:tcPr>
            <w:tcW w:type="dxa" w:w="5040"/>
          </w:tcPr>
          <w:p>
            <w:r>
              <w:rPr>
                <w:sz w:val="16"/>
              </w:rPr>
              <w:t>$0 where free tier is appropriate</w:t>
            </w:r>
          </w:p>
        </w:tc>
      </w:tr>
      <w:tr>
        <w:tc>
          <w:tcPr>
            <w:tcW w:type="dxa" w:w="5040"/>
            <w:shd w:fill="FAF9FF"/>
          </w:tcPr>
          <w:p>
            <w:r>
              <w:rPr>
                <w:sz w:val="16"/>
              </w:rPr>
              <w:t>Database/Auth/Storage</w:t>
            </w:r>
          </w:p>
        </w:tc>
        <w:tc>
          <w:tcPr>
            <w:tcW w:type="dxa" w:w="5040"/>
            <w:shd w:fill="FAF9FF"/>
          </w:tcPr>
          <w:p>
            <w:r>
              <w:rPr>
                <w:sz w:val="16"/>
              </w:rPr>
              <w:t>$0 initially using Supabase Free within limits</w:t>
            </w:r>
          </w:p>
        </w:tc>
      </w:tr>
      <w:tr>
        <w:tc>
          <w:tcPr>
            <w:tcW w:type="dxa" w:w="5040"/>
          </w:tcPr>
          <w:p>
            <w:r>
              <w:rPr>
                <w:sz w:val="16"/>
              </w:rPr>
              <w:t>Local AI software</w:t>
            </w:r>
          </w:p>
        </w:tc>
        <w:tc>
          <w:tcPr>
            <w:tcW w:type="dxa" w:w="5040"/>
          </w:tcPr>
          <w:p>
            <w:r>
              <w:rPr>
                <w:sz w:val="16"/>
              </w:rPr>
              <w:t>$0 using Ollama/open models</w:t>
            </w:r>
          </w:p>
        </w:tc>
      </w:tr>
      <w:tr>
        <w:tc>
          <w:tcPr>
            <w:tcW w:type="dxa" w:w="5040"/>
            <w:shd w:fill="FAF9FF"/>
          </w:tcPr>
          <w:p>
            <w:r>
              <w:rPr>
                <w:sz w:val="16"/>
              </w:rPr>
              <w:t>Vector database</w:t>
            </w:r>
          </w:p>
        </w:tc>
        <w:tc>
          <w:tcPr>
            <w:tcW w:type="dxa" w:w="5040"/>
            <w:shd w:fill="FAF9FF"/>
          </w:tcPr>
          <w:p>
            <w:r>
              <w:rPr>
                <w:sz w:val="16"/>
              </w:rPr>
              <w:t>$0 additional via pgvector</w:t>
            </w:r>
          </w:p>
        </w:tc>
      </w:tr>
      <w:tr>
        <w:tc>
          <w:tcPr>
            <w:tcW w:type="dxa" w:w="5040"/>
          </w:tcPr>
          <w:p>
            <w:r>
              <w:rPr>
                <w:sz w:val="16"/>
              </w:rPr>
              <w:t>AI APIs</w:t>
            </w:r>
          </w:p>
        </w:tc>
        <w:tc>
          <w:tcPr>
            <w:tcW w:type="dxa" w:w="5040"/>
          </w:tcPr>
          <w:p>
            <w:r>
              <w:rPr>
                <w:sz w:val="16"/>
              </w:rPr>
              <w:t>$0 initially where safe and within free limits</w:t>
            </w:r>
          </w:p>
        </w:tc>
      </w:tr>
      <w:tr>
        <w:tc>
          <w:tcPr>
            <w:tcW w:type="dxa" w:w="5040"/>
            <w:shd w:fill="FAF9FF"/>
          </w:tcPr>
          <w:p>
            <w:r>
              <w:rPr>
                <w:sz w:val="16"/>
              </w:rPr>
              <w:t>Monitoring</w:t>
            </w:r>
          </w:p>
        </w:tc>
        <w:tc>
          <w:tcPr>
            <w:tcW w:type="dxa" w:w="5040"/>
            <w:shd w:fill="FAF9FF"/>
          </w:tcPr>
          <w:p>
            <w:r>
              <w:rPr>
                <w:sz w:val="16"/>
              </w:rPr>
              <w:t>$0/basic</w:t>
            </w:r>
          </w:p>
        </w:tc>
      </w:tr>
      <w:tr>
        <w:tc>
          <w:tcPr>
            <w:tcW w:type="dxa" w:w="5040"/>
          </w:tcPr>
          <w:p>
            <w:r>
              <w:rPr>
                <w:sz w:val="16"/>
              </w:rPr>
              <w:t>Domain</w:t>
            </w:r>
          </w:p>
        </w:tc>
        <w:tc>
          <w:tcPr>
            <w:tcW w:type="dxa" w:w="5040"/>
          </w:tcPr>
          <w:p>
            <w:r>
              <w:rPr>
                <w:sz w:val="16"/>
              </w:rPr>
              <w:t>Optional</w:t>
            </w:r>
          </w:p>
        </w:tc>
      </w:tr>
      <w:tr>
        <w:tc>
          <w:tcPr>
            <w:tcW w:type="dxa" w:w="5040"/>
            <w:shd w:fill="FAF9FF"/>
          </w:tcPr>
          <w:p>
            <w:r>
              <w:rPr>
                <w:sz w:val="16"/>
              </w:rPr>
              <w:t>Overall target</w:t>
            </w:r>
          </w:p>
        </w:tc>
        <w:tc>
          <w:tcPr>
            <w:tcW w:type="dxa" w:w="5040"/>
            <w:shd w:fill="FAF9FF"/>
          </w:tcPr>
          <w:p>
            <w:r>
              <w:rPr>
                <w:sz w:val="16"/>
              </w:rPr>
              <w:t>Approximately $0–$20/month, excluding optional domain/electricity</w:t>
            </w:r>
          </w:p>
        </w:tc>
      </w:tr>
    </w:tbl>
    <w:p>
      <w:r>
        <w:t>Supabase currently lists 500 MB database, 1 GB file storage and 5 GB egress in its Free plan; free projects may pause after inactivity. citeturn0search3</w:t>
      </w:r>
    </w:p>
    <w:p>
      <w:pPr>
        <w:pStyle w:val="Heading2"/>
      </w:pPr>
      <w:r>
        <w:t>14.2 Small Funded Production — Planning Budget</w:t>
      </w:r>
    </w:p>
    <w:tbl>
      <w:tblPr>
        <w:tblStyle w:val="TableGrid"/>
        <w:tblW w:type="auto" w:w="0"/>
        <w:jc w:val="center"/>
        <w:tblLook w:firstColumn="1" w:firstRow="1" w:lastColumn="0" w:lastRow="0" w:noHBand="0" w:noVBand="1" w:val="04A0"/>
      </w:tblPr>
      <w:tblGrid>
        <w:gridCol w:w="5040"/>
        <w:gridCol w:w="5040"/>
      </w:tblGrid>
      <w:tr>
        <w:tc>
          <w:tcPr>
            <w:tcW w:type="dxa" w:w="5040"/>
            <w:shd w:fill="6D28D9"/>
          </w:tcPr>
          <w:p>
            <w:r>
              <w:rPr>
                <w:b/>
                <w:color w:val="FFFFFF"/>
                <w:sz w:val="16"/>
              </w:rPr>
              <w:t>Component</w:t>
            </w:r>
          </w:p>
        </w:tc>
        <w:tc>
          <w:tcPr>
            <w:tcW w:type="dxa" w:w="5040"/>
            <w:shd w:fill="6D28D9"/>
          </w:tcPr>
          <w:p>
            <w:r>
              <w:rPr>
                <w:b/>
                <w:color w:val="FFFFFF"/>
                <w:sz w:val="16"/>
              </w:rPr>
              <w:t>Indicative monthly range</w:t>
            </w:r>
          </w:p>
        </w:tc>
      </w:tr>
      <w:tr>
        <w:tc>
          <w:tcPr>
            <w:tcW w:type="dxa" w:w="5040"/>
          </w:tcPr>
          <w:p>
            <w:r>
              <w:rPr>
                <w:sz w:val="16"/>
              </w:rPr>
              <w:t>Frontend</w:t>
            </w:r>
          </w:p>
        </w:tc>
        <w:tc>
          <w:tcPr>
            <w:tcW w:type="dxa" w:w="5040"/>
          </w:tcPr>
          <w:p>
            <w:r>
              <w:rPr>
                <w:sz w:val="16"/>
              </w:rPr>
              <w:t>$20–$50</w:t>
            </w:r>
          </w:p>
        </w:tc>
      </w:tr>
      <w:tr>
        <w:tc>
          <w:tcPr>
            <w:tcW w:type="dxa" w:w="5040"/>
            <w:shd w:fill="FAF9FF"/>
          </w:tcPr>
          <w:p>
            <w:r>
              <w:rPr>
                <w:sz w:val="16"/>
              </w:rPr>
              <w:t>Database</w:t>
            </w:r>
          </w:p>
        </w:tc>
        <w:tc>
          <w:tcPr>
            <w:tcW w:type="dxa" w:w="5040"/>
            <w:shd w:fill="FAF9FF"/>
          </w:tcPr>
          <w:p>
            <w:r>
              <w:rPr>
                <w:sz w:val="16"/>
              </w:rPr>
              <w:t>$25–$100+</w:t>
            </w:r>
          </w:p>
        </w:tc>
      </w:tr>
      <w:tr>
        <w:tc>
          <w:tcPr>
            <w:tcW w:type="dxa" w:w="5040"/>
          </w:tcPr>
          <w:p>
            <w:r>
              <w:rPr>
                <w:sz w:val="16"/>
              </w:rPr>
              <w:t>Backend</w:t>
            </w:r>
          </w:p>
        </w:tc>
        <w:tc>
          <w:tcPr>
            <w:tcW w:type="dxa" w:w="5040"/>
          </w:tcPr>
          <w:p>
            <w:r>
              <w:rPr>
                <w:sz w:val="16"/>
              </w:rPr>
              <w:t>$20–$100+</w:t>
            </w:r>
          </w:p>
        </w:tc>
      </w:tr>
      <w:tr>
        <w:tc>
          <w:tcPr>
            <w:tcW w:type="dxa" w:w="5040"/>
            <w:shd w:fill="FAF9FF"/>
          </w:tcPr>
          <w:p>
            <w:r>
              <w:rPr>
                <w:sz w:val="16"/>
              </w:rPr>
              <w:t>Storage/CDN</w:t>
            </w:r>
          </w:p>
        </w:tc>
        <w:tc>
          <w:tcPr>
            <w:tcW w:type="dxa" w:w="5040"/>
            <w:shd w:fill="FAF9FF"/>
          </w:tcPr>
          <w:p>
            <w:r>
              <w:rPr>
                <w:sz w:val="16"/>
              </w:rPr>
              <w:t>$5–$50+</w:t>
            </w:r>
          </w:p>
        </w:tc>
      </w:tr>
      <w:tr>
        <w:tc>
          <w:tcPr>
            <w:tcW w:type="dxa" w:w="5040"/>
          </w:tcPr>
          <w:p>
            <w:r>
              <w:rPr>
                <w:sz w:val="16"/>
              </w:rPr>
              <w:t>Redis</w:t>
            </w:r>
          </w:p>
        </w:tc>
        <w:tc>
          <w:tcPr>
            <w:tcW w:type="dxa" w:w="5040"/>
          </w:tcPr>
          <w:p>
            <w:r>
              <w:rPr>
                <w:sz w:val="16"/>
              </w:rPr>
              <w:t>$0–$30+</w:t>
            </w:r>
          </w:p>
        </w:tc>
      </w:tr>
      <w:tr>
        <w:tc>
          <w:tcPr>
            <w:tcW w:type="dxa" w:w="5040"/>
            <w:shd w:fill="FAF9FF"/>
          </w:tcPr>
          <w:p>
            <w:r>
              <w:rPr>
                <w:sz w:val="16"/>
              </w:rPr>
              <w:t>AI inference</w:t>
            </w:r>
          </w:p>
        </w:tc>
        <w:tc>
          <w:tcPr>
            <w:tcW w:type="dxa" w:w="5040"/>
            <w:shd w:fill="FAF9FF"/>
          </w:tcPr>
          <w:p>
            <w:r>
              <w:rPr>
                <w:sz w:val="16"/>
              </w:rPr>
              <w:t>$50–$500+</w:t>
            </w:r>
          </w:p>
        </w:tc>
      </w:tr>
      <w:tr>
        <w:tc>
          <w:tcPr>
            <w:tcW w:type="dxa" w:w="5040"/>
          </w:tcPr>
          <w:p>
            <w:r>
              <w:rPr>
                <w:sz w:val="16"/>
              </w:rPr>
              <w:t>Monitoring/security</w:t>
            </w:r>
          </w:p>
        </w:tc>
        <w:tc>
          <w:tcPr>
            <w:tcW w:type="dxa" w:w="5040"/>
          </w:tcPr>
          <w:p>
            <w:r>
              <w:rPr>
                <w:sz w:val="16"/>
              </w:rPr>
              <w:t>$0–$100+</w:t>
            </w:r>
          </w:p>
        </w:tc>
      </w:tr>
      <w:tr>
        <w:tc>
          <w:tcPr>
            <w:tcW w:type="dxa" w:w="5040"/>
            <w:shd w:fill="FAF9FF"/>
          </w:tcPr>
          <w:p>
            <w:r>
              <w:rPr>
                <w:sz w:val="16"/>
              </w:rPr>
              <w:t>Domain/email/misc.</w:t>
            </w:r>
          </w:p>
        </w:tc>
        <w:tc>
          <w:tcPr>
            <w:tcW w:type="dxa" w:w="5040"/>
            <w:shd w:fill="FAF9FF"/>
          </w:tcPr>
          <w:p>
            <w:r>
              <w:rPr>
                <w:sz w:val="16"/>
              </w:rPr>
              <w:t>$5–$50+</w:t>
            </w:r>
          </w:p>
        </w:tc>
      </w:tr>
      <w:tr>
        <w:tc>
          <w:tcPr>
            <w:tcW w:type="dxa" w:w="5040"/>
          </w:tcPr>
          <w:p>
            <w:r>
              <w:rPr>
                <w:sz w:val="16"/>
              </w:rPr>
              <w:t>Planning total</w:t>
            </w:r>
          </w:p>
        </w:tc>
        <w:tc>
          <w:tcPr>
            <w:tcW w:type="dxa" w:w="5040"/>
          </w:tcPr>
          <w:p>
            <w:r>
              <w:rPr>
                <w:sz w:val="16"/>
              </w:rPr>
              <w:t>~$125–$1,000+/month</w:t>
            </w:r>
          </w:p>
        </w:tc>
      </w:tr>
    </w:tbl>
    <w:p>
      <w:r>
        <w:t>These are budgetary planning ranges, not vendor quotations. AI inference volume is the largest uncertainty.</w:t>
      </w:r>
    </w:p>
    <w:p>
      <w:pPr>
        <w:pStyle w:val="Heading2"/>
      </w:pPr>
      <w:r>
        <w:t>14.3 Institutional / Multi-College Scale</w:t>
      </w:r>
    </w:p>
    <w:p>
      <w:pPr>
        <w:pStyle w:val="ListBullet"/>
      </w:pPr>
      <w:r>
        <w:t>Multiple backend and worker instances.</w:t>
      </w:r>
    </w:p>
    <w:p>
      <w:pPr>
        <w:pStyle w:val="ListBullet"/>
      </w:pPr>
      <w:r>
        <w:t>Higher database tier and stronger backup/recovery.</w:t>
      </w:r>
    </w:p>
    <w:p>
      <w:pPr>
        <w:pStyle w:val="ListBullet"/>
      </w:pPr>
      <w:r>
        <w:t>Paid AI provider contracts and/or self-hosted inference.</w:t>
      </w:r>
    </w:p>
    <w:p>
      <w:pPr>
        <w:pStyle w:val="ListBullet"/>
      </w:pPr>
      <w:r>
        <w:t>Object storage with lifecycle policies.</w:t>
      </w:r>
    </w:p>
    <w:p>
      <w:pPr>
        <w:pStyle w:val="ListBullet"/>
      </w:pPr>
      <w:r>
        <w:t>Centralized logging, metrics and tracing.</w:t>
      </w:r>
    </w:p>
    <w:p>
      <w:pPr>
        <w:pStyle w:val="ListBullet"/>
      </w:pPr>
      <w:r>
        <w:t>WAF, secrets management and vulnerability scanning.</w:t>
      </w:r>
    </w:p>
    <w:p>
      <w:pPr>
        <w:pStyle w:val="ListBullet"/>
      </w:pPr>
      <w:r>
        <w:t>Operational support and institutional SLA.</w:t>
      </w:r>
    </w:p>
    <w:p>
      <w:pPr>
        <w:pStyle w:val="ListBullet"/>
      </w:pPr>
      <w:r>
        <w:t>Formal privacy, retention and governance processes.</w:t>
      </w:r>
    </w:p>
    <w:p>
      <w:pPr>
        <w:pStyle w:val="Heading1"/>
      </w:pPr>
      <w:r>
        <w:t>15. AI Cost Optimization</w:t>
      </w:r>
    </w:p>
    <w:p>
      <w:pPr>
        <w:pStyle w:val="ListNumber"/>
      </w:pPr>
      <w:r>
        <w:t>Use RAG to reduce unnecessary context.</w:t>
      </w:r>
    </w:p>
    <w:p>
      <w:pPr>
        <w:pStyle w:val="ListNumber"/>
      </w:pPr>
      <w:r>
        <w:t>Cache embeddings and stable generated content.</w:t>
      </w:r>
    </w:p>
    <w:p>
      <w:pPr>
        <w:pStyle w:val="ListNumber"/>
      </w:pPr>
      <w:r>
        <w:t>Use small/local models for routine tasks.</w:t>
      </w:r>
    </w:p>
    <w:p>
      <w:pPr>
        <w:pStyle w:val="ListNumber"/>
      </w:pPr>
      <w:r>
        <w:t>Route difficult tasks to stronger models only when necessary.</w:t>
      </w:r>
    </w:p>
    <w:p>
      <w:pPr>
        <w:pStyle w:val="ListNumber"/>
      </w:pPr>
      <w:r>
        <w:t>Batch pre-generation of notes/materials where supported.</w:t>
      </w:r>
    </w:p>
    <w:p>
      <w:pPr>
        <w:pStyle w:val="ListNumber"/>
      </w:pPr>
      <w:r>
        <w:t>Pre-generate reusable question banks and summaries.</w:t>
      </w:r>
    </w:p>
    <w:p>
      <w:pPr>
        <w:pStyle w:val="ListNumber"/>
      </w:pPr>
      <w:r>
        <w:t>Set student/course usage quotas.</w:t>
      </w:r>
    </w:p>
    <w:p>
      <w:pPr>
        <w:pStyle w:val="ListNumber"/>
      </w:pPr>
      <w:r>
        <w:t>Track tokens/compute by agent and model.</w:t>
      </w:r>
    </w:p>
    <w:p>
      <w:pPr>
        <w:pStyle w:val="ListNumber"/>
      </w:pPr>
      <w:r>
        <w:t>Benchmark cost versus educational quality.</w:t>
      </w:r>
    </w:p>
    <w:p>
      <w:r>
        <w:t>Google currently documents batch processing as a 50% cost reduction for applicable Gemini workloads, illustrating why asynchronous bulk generation can be valuable. citeturn0search10</w:t>
      </w:r>
    </w:p>
    <w:p>
      <w:pPr>
        <w:pStyle w:val="Heading1"/>
      </w:pPr>
      <w:r>
        <w:t>16. Storage Strategy</w:t>
      </w:r>
    </w:p>
    <w:p>
      <w:r>
        <w:t>Keep relational metadata in PostgreSQL and binary resources/generated files in object storage. If media volume becomes large, Cloudflare R2 is a candidate: its current standard storage price is $0.015/GB-month and it states that egress bandwidth has no charge. citeturn0search0</w:t>
      </w:r>
    </w:p>
    <w:p>
      <w:pPr>
        <w:pStyle w:val="Heading1"/>
      </w:pPr>
      <w:r>
        <w:t>17. Hardware Strategy</w:t>
      </w:r>
    </w:p>
    <w:tbl>
      <w:tblPr>
        <w:tblStyle w:val="TableGrid"/>
        <w:tblW w:type="auto" w:w="0"/>
        <w:jc w:val="center"/>
        <w:tblLook w:firstColumn="1" w:firstRow="1" w:lastColumn="0" w:lastRow="0" w:noHBand="0" w:noVBand="1" w:val="04A0"/>
      </w:tblPr>
      <w:tblGrid>
        <w:gridCol w:w="5040"/>
        <w:gridCol w:w="5040"/>
      </w:tblGrid>
      <w:tr>
        <w:tc>
          <w:tcPr>
            <w:tcW w:type="dxa" w:w="5040"/>
            <w:shd w:fill="6D28D9"/>
          </w:tcPr>
          <w:p>
            <w:r>
              <w:rPr>
                <w:b/>
                <w:color w:val="FFFFFF"/>
                <w:sz w:val="16"/>
              </w:rPr>
              <w:t>Stage</w:t>
            </w:r>
          </w:p>
        </w:tc>
        <w:tc>
          <w:tcPr>
            <w:tcW w:type="dxa" w:w="5040"/>
            <w:shd w:fill="6D28D9"/>
          </w:tcPr>
          <w:p>
            <w:r>
              <w:rPr>
                <w:b/>
                <w:color w:val="FFFFFF"/>
                <w:sz w:val="16"/>
              </w:rPr>
              <w:t>Recommendation</w:t>
            </w:r>
          </w:p>
        </w:tc>
      </w:tr>
      <w:tr>
        <w:tc>
          <w:tcPr>
            <w:tcW w:type="dxa" w:w="5040"/>
          </w:tcPr>
          <w:p>
            <w:r>
              <w:rPr>
                <w:sz w:val="16"/>
              </w:rPr>
              <w:t>Development</w:t>
            </w:r>
          </w:p>
        </w:tc>
        <w:tc>
          <w:tcPr>
            <w:tcW w:type="dxa" w:w="5040"/>
          </w:tcPr>
          <w:p>
            <w:r>
              <w:rPr>
                <w:sz w:val="16"/>
              </w:rPr>
              <w:t>Existing laptop/PC + small local models</w:t>
            </w:r>
          </w:p>
        </w:tc>
      </w:tr>
      <w:tr>
        <w:tc>
          <w:tcPr>
            <w:tcW w:type="dxa" w:w="5040"/>
            <w:shd w:fill="FAF9FF"/>
          </w:tcPr>
          <w:p>
            <w:r>
              <w:rPr>
                <w:sz w:val="16"/>
              </w:rPr>
              <w:t>Pilot</w:t>
            </w:r>
          </w:p>
        </w:tc>
        <w:tc>
          <w:tcPr>
            <w:tcW w:type="dxa" w:w="5040"/>
            <w:shd w:fill="FAF9FF"/>
          </w:tcPr>
          <w:p>
            <w:r>
              <w:rPr>
                <w:sz w:val="16"/>
              </w:rPr>
              <w:t>Local model where latency is acceptable; hosted fallback otherwise</w:t>
            </w:r>
          </w:p>
        </w:tc>
      </w:tr>
      <w:tr>
        <w:tc>
          <w:tcPr>
            <w:tcW w:type="dxa" w:w="5040"/>
          </w:tcPr>
          <w:p>
            <w:r>
              <w:rPr>
                <w:sz w:val="16"/>
              </w:rPr>
              <w:t>Small production</w:t>
            </w:r>
          </w:p>
        </w:tc>
        <w:tc>
          <w:tcPr>
            <w:tcW w:type="dxa" w:w="5040"/>
          </w:tcPr>
          <w:p>
            <w:r>
              <w:rPr>
                <w:sz w:val="16"/>
              </w:rPr>
              <w:t>CPU backend + GPU only if measured need</w:t>
            </w:r>
          </w:p>
        </w:tc>
      </w:tr>
      <w:tr>
        <w:tc>
          <w:tcPr>
            <w:tcW w:type="dxa" w:w="5040"/>
            <w:shd w:fill="FAF9FF"/>
          </w:tcPr>
          <w:p>
            <w:r>
              <w:rPr>
                <w:sz w:val="16"/>
              </w:rPr>
              <w:t>Institutional scale</w:t>
            </w:r>
          </w:p>
        </w:tc>
        <w:tc>
          <w:tcPr>
            <w:tcW w:type="dxa" w:w="5040"/>
            <w:shd w:fill="FAF9FF"/>
          </w:tcPr>
          <w:p>
            <w:r>
              <w:rPr>
                <w:sz w:val="16"/>
              </w:rPr>
              <w:t>Cloud/dedicated GPU based on concurrency benchmarks</w:t>
            </w:r>
          </w:p>
        </w:tc>
      </w:tr>
      <w:tr>
        <w:tc>
          <w:tcPr>
            <w:tcW w:type="dxa" w:w="5040"/>
          </w:tcPr>
          <w:p>
            <w:r>
              <w:rPr>
                <w:sz w:val="16"/>
              </w:rPr>
              <w:t>Large scale</w:t>
            </w:r>
          </w:p>
        </w:tc>
        <w:tc>
          <w:tcPr>
            <w:tcW w:type="dxa" w:w="5040"/>
          </w:tcPr>
          <w:p>
            <w:r>
              <w:rPr>
                <w:sz w:val="16"/>
              </w:rPr>
              <w:t>Dedicated model serving, batching, quantization, autoscaling</w:t>
            </w:r>
          </w:p>
        </w:tc>
      </w:tr>
    </w:tbl>
    <w:p>
      <w:r>
        <w:t>Do not purchase an expensive GPU or adopt Kubernetes before measuring concurrent users, tokens/session, latency and model quality.</w:t>
      </w:r>
    </w:p>
    <w:p>
      <w:pPr>
        <w:pStyle w:val="Heading1"/>
      </w:pPr>
      <w:r>
        <w:t>18. Model Evaluation</w:t>
      </w:r>
    </w:p>
    <w:tbl>
      <w:tblPr>
        <w:tblStyle w:val="TableGrid"/>
        <w:tblW w:type="auto" w:w="0"/>
        <w:jc w:val="center"/>
        <w:tblLook w:firstColumn="1" w:firstRow="1" w:lastColumn="0" w:lastRow="0" w:noHBand="0" w:noVBand="1" w:val="04A0"/>
      </w:tblPr>
      <w:tblGrid>
        <w:gridCol w:w="5040"/>
        <w:gridCol w:w="5040"/>
      </w:tblGrid>
      <w:tr>
        <w:tc>
          <w:tcPr>
            <w:tcW w:type="dxa" w:w="5040"/>
            <w:shd w:fill="6D28D9"/>
          </w:tcPr>
          <w:p>
            <w:r>
              <w:rPr>
                <w:b/>
                <w:color w:val="FFFFFF"/>
                <w:sz w:val="16"/>
              </w:rPr>
              <w:t>Metric</w:t>
            </w:r>
          </w:p>
        </w:tc>
        <w:tc>
          <w:tcPr>
            <w:tcW w:type="dxa" w:w="5040"/>
            <w:shd w:fill="6D28D9"/>
          </w:tcPr>
          <w:p>
            <w:r>
              <w:rPr>
                <w:b/>
                <w:color w:val="FFFFFF"/>
                <w:sz w:val="16"/>
              </w:rPr>
              <w:t>Evaluation</w:t>
            </w:r>
          </w:p>
        </w:tc>
      </w:tr>
      <w:tr>
        <w:tc>
          <w:tcPr>
            <w:tcW w:type="dxa" w:w="5040"/>
          </w:tcPr>
          <w:p>
            <w:r>
              <w:rPr>
                <w:sz w:val="16"/>
              </w:rPr>
              <w:t>Academic accuracy</w:t>
            </w:r>
          </w:p>
        </w:tc>
        <w:tc>
          <w:tcPr>
            <w:tcW w:type="dxa" w:w="5040"/>
          </w:tcPr>
          <w:p>
            <w:r>
              <w:rPr>
                <w:sz w:val="16"/>
              </w:rPr>
              <w:t>Subject-expert review</w:t>
            </w:r>
          </w:p>
        </w:tc>
      </w:tr>
      <w:tr>
        <w:tc>
          <w:tcPr>
            <w:tcW w:type="dxa" w:w="5040"/>
            <w:shd w:fill="FAF9FF"/>
          </w:tcPr>
          <w:p>
            <w:r>
              <w:rPr>
                <w:sz w:val="16"/>
              </w:rPr>
              <w:t>Grounding</w:t>
            </w:r>
          </w:p>
        </w:tc>
        <w:tc>
          <w:tcPr>
            <w:tcW w:type="dxa" w:w="5040"/>
            <w:shd w:fill="FAF9FF"/>
          </w:tcPr>
          <w:p>
            <w:r>
              <w:rPr>
                <w:sz w:val="16"/>
              </w:rPr>
              <w:t>Hallucination/resource-adherence tests</w:t>
            </w:r>
          </w:p>
        </w:tc>
      </w:tr>
      <w:tr>
        <w:tc>
          <w:tcPr>
            <w:tcW w:type="dxa" w:w="5040"/>
          </w:tcPr>
          <w:p>
            <w:r>
              <w:rPr>
                <w:sz w:val="16"/>
              </w:rPr>
              <w:t>English quality</w:t>
            </w:r>
          </w:p>
        </w:tc>
        <w:tc>
          <w:tcPr>
            <w:tcW w:type="dxa" w:w="5040"/>
          </w:tcPr>
          <w:p>
            <w:r>
              <w:rPr>
                <w:sz w:val="16"/>
              </w:rPr>
              <w:t>Faculty/student review</w:t>
            </w:r>
          </w:p>
        </w:tc>
      </w:tr>
      <w:tr>
        <w:tc>
          <w:tcPr>
            <w:tcW w:type="dxa" w:w="5040"/>
            <w:shd w:fill="FAF9FF"/>
          </w:tcPr>
          <w:p>
            <w:r>
              <w:rPr>
                <w:sz w:val="16"/>
              </w:rPr>
              <w:t>Telugu quality</w:t>
            </w:r>
          </w:p>
        </w:tc>
        <w:tc>
          <w:tcPr>
            <w:tcW w:type="dxa" w:w="5040"/>
            <w:shd w:fill="FAF9FF"/>
          </w:tcPr>
          <w:p>
            <w:r>
              <w:rPr>
                <w:sz w:val="16"/>
              </w:rPr>
              <w:t>Native-speaker review</w:t>
            </w:r>
          </w:p>
        </w:tc>
      </w:tr>
      <w:tr>
        <w:tc>
          <w:tcPr>
            <w:tcW w:type="dxa" w:w="5040"/>
          </w:tcPr>
          <w:p>
            <w:r>
              <w:rPr>
                <w:sz w:val="16"/>
              </w:rPr>
              <w:t>Reasoning</w:t>
            </w:r>
          </w:p>
        </w:tc>
        <w:tc>
          <w:tcPr>
            <w:tcW w:type="dxa" w:w="5040"/>
          </w:tcPr>
          <w:p>
            <w:r>
              <w:rPr>
                <w:sz w:val="16"/>
              </w:rPr>
              <w:t>Competitive-exam benchmark</w:t>
            </w:r>
          </w:p>
        </w:tc>
      </w:tr>
      <w:tr>
        <w:tc>
          <w:tcPr>
            <w:tcW w:type="dxa" w:w="5040"/>
            <w:shd w:fill="FAF9FF"/>
          </w:tcPr>
          <w:p>
            <w:r>
              <w:rPr>
                <w:sz w:val="16"/>
              </w:rPr>
              <w:t>Latency</w:t>
            </w:r>
          </w:p>
        </w:tc>
        <w:tc>
          <w:tcPr>
            <w:tcW w:type="dxa" w:w="5040"/>
            <w:shd w:fill="FAF9FF"/>
          </w:tcPr>
          <w:p>
            <w:r>
              <w:rPr>
                <w:sz w:val="16"/>
              </w:rPr>
              <w:t>p50/p95 response time</w:t>
            </w:r>
          </w:p>
        </w:tc>
      </w:tr>
      <w:tr>
        <w:tc>
          <w:tcPr>
            <w:tcW w:type="dxa" w:w="5040"/>
          </w:tcPr>
          <w:p>
            <w:r>
              <w:rPr>
                <w:sz w:val="16"/>
              </w:rPr>
              <w:t>Cost</w:t>
            </w:r>
          </w:p>
        </w:tc>
        <w:tc>
          <w:tcPr>
            <w:tcW w:type="dxa" w:w="5040"/>
          </w:tcPr>
          <w:p>
            <w:r>
              <w:rPr>
                <w:sz w:val="16"/>
              </w:rPr>
              <w:t>Cost per student/month</w:t>
            </w:r>
          </w:p>
        </w:tc>
      </w:tr>
      <w:tr>
        <w:tc>
          <w:tcPr>
            <w:tcW w:type="dxa" w:w="5040"/>
            <w:shd w:fill="FAF9FF"/>
          </w:tcPr>
          <w:p>
            <w:r>
              <w:rPr>
                <w:sz w:val="16"/>
              </w:rPr>
              <w:t>Privacy</w:t>
            </w:r>
          </w:p>
        </w:tc>
        <w:tc>
          <w:tcPr>
            <w:tcW w:type="dxa" w:w="5040"/>
            <w:shd w:fill="FAF9FF"/>
          </w:tcPr>
          <w:p>
            <w:r>
              <w:rPr>
                <w:sz w:val="16"/>
              </w:rPr>
              <w:t>Provider terms + institutional policy</w:t>
            </w:r>
          </w:p>
        </w:tc>
      </w:tr>
      <w:tr>
        <w:tc>
          <w:tcPr>
            <w:tcW w:type="dxa" w:w="5040"/>
          </w:tcPr>
          <w:p>
            <w:r>
              <w:rPr>
                <w:sz w:val="16"/>
              </w:rPr>
              <w:t>Reliability</w:t>
            </w:r>
          </w:p>
        </w:tc>
        <w:tc>
          <w:tcPr>
            <w:tcW w:type="dxa" w:w="5040"/>
          </w:tcPr>
          <w:p>
            <w:r>
              <w:rPr>
                <w:sz w:val="16"/>
              </w:rPr>
              <w:t>Failure/retry rate</w:t>
            </w:r>
          </w:p>
        </w:tc>
      </w:tr>
      <w:tr>
        <w:tc>
          <w:tcPr>
            <w:tcW w:type="dxa" w:w="5040"/>
            <w:shd w:fill="FAF9FF"/>
          </w:tcPr>
          <w:p>
            <w:r>
              <w:rPr>
                <w:sz w:val="16"/>
              </w:rPr>
              <w:t>Usefulness</w:t>
            </w:r>
          </w:p>
        </w:tc>
        <w:tc>
          <w:tcPr>
            <w:tcW w:type="dxa" w:w="5040"/>
            <w:shd w:fill="FAF9FF"/>
          </w:tcPr>
          <w:p>
            <w:r>
              <w:rPr>
                <w:sz w:val="16"/>
              </w:rPr>
              <w:t>Pilot feedback and learning indicators</w:t>
            </w:r>
          </w:p>
        </w:tc>
      </w:tr>
    </w:tbl>
    <w:p>
      <w:pPr>
        <w:pStyle w:val="Heading1"/>
      </w:pPr>
      <w:r>
        <w:t>19. Model Gateway — Mandatory Design Decision</w:t>
      </w:r>
    </w:p>
    <w:tbl>
      <w:tblPr>
        <w:tblW w:type="auto" w:w="0"/>
        <w:tblLook w:firstColumn="1" w:firstRow="1" w:lastColumn="0" w:lastRow="0" w:noHBand="0" w:noVBand="1" w:val="04A0"/>
      </w:tblPr>
      <w:tblGrid>
        <w:gridCol w:w="10080"/>
      </w:tblGrid>
      <w:tr>
        <w:tc>
          <w:tcPr>
            <w:tcW w:type="dxa" w:w="10080"/>
            <w:shd w:fill="F5F3FF"/>
          </w:tcPr>
          <w:p>
            <w:r>
              <w:rPr>
                <w:b/>
                <w:color w:val="6D28D9"/>
              </w:rPr>
              <w:t>Do not hard-code one AI provider</w:t>
              <w:br/>
            </w:r>
            <w:r>
              <w:t>Store provider/model configuration separately from business logic. Replacing a model should require configuration plus evaluation—not a rewrite of the AI Lecturer.</w:t>
            </w:r>
          </w:p>
        </w:tc>
      </w:tr>
    </w:tbl>
    <w:p>
      <w:pPr>
        <w:pStyle w:val="ListBullet"/>
      </w:pPr>
      <w:r>
        <w:t>Model registry: provider, model, capability, context limit, cost class, status.</w:t>
      </w:r>
    </w:p>
    <w:p>
      <w:pPr>
        <w:pStyle w:val="ListBullet"/>
      </w:pPr>
      <w:r>
        <w:t>Prompt/version registry.</w:t>
      </w:r>
    </w:p>
    <w:p>
      <w:pPr>
        <w:pStyle w:val="ListBullet"/>
      </w:pPr>
      <w:r>
        <w:t>Evaluation benchmark records.</w:t>
      </w:r>
    </w:p>
    <w:p>
      <w:pPr>
        <w:pStyle w:val="ListBullet"/>
      </w:pPr>
      <w:r>
        <w:t>Fallback model.</w:t>
      </w:r>
    </w:p>
    <w:p>
      <w:pPr>
        <w:pStyle w:val="ListBullet"/>
      </w:pPr>
      <w:r>
        <w:t>Per-agent model policy.</w:t>
      </w:r>
    </w:p>
    <w:p>
      <w:pPr>
        <w:pStyle w:val="ListBullet"/>
      </w:pPr>
      <w:r>
        <w:t>Sensitive-data routing policy.</w:t>
      </w:r>
    </w:p>
    <w:p>
      <w:pPr>
        <w:pStyle w:val="ListBullet"/>
      </w:pPr>
      <w:r>
        <w:t>AI usage/cost telemetry.</w:t>
      </w:r>
    </w:p>
    <w:p>
      <w:pPr>
        <w:pStyle w:val="Heading1"/>
      </w:pPr>
      <w:r>
        <w:t>20. Phase-1 Technology Decisions</w:t>
      </w:r>
    </w:p>
    <w:tbl>
      <w:tblPr>
        <w:tblStyle w:val="TableGrid"/>
        <w:tblW w:type="auto" w:w="0"/>
        <w:jc w:val="center"/>
        <w:tblLook w:firstColumn="1" w:firstRow="1" w:lastColumn="0" w:lastRow="0" w:noHBand="0" w:noVBand="1" w:val="04A0"/>
      </w:tblPr>
      <w:tblGrid>
        <w:gridCol w:w="5040"/>
        <w:gridCol w:w="5040"/>
      </w:tblGrid>
      <w:tr>
        <w:tc>
          <w:tcPr>
            <w:tcW w:type="dxa" w:w="5040"/>
            <w:shd w:fill="6D28D9"/>
          </w:tcPr>
          <w:p>
            <w:r>
              <w:rPr>
                <w:b/>
                <w:color w:val="FFFFFF"/>
                <w:sz w:val="16"/>
              </w:rPr>
              <w:t>Decision</w:t>
            </w:r>
          </w:p>
        </w:tc>
        <w:tc>
          <w:tcPr>
            <w:tcW w:type="dxa" w:w="5040"/>
            <w:shd w:fill="6D28D9"/>
          </w:tcPr>
          <w:p>
            <w:r>
              <w:rPr>
                <w:b/>
                <w:color w:val="FFFFFF"/>
                <w:sz w:val="16"/>
              </w:rPr>
              <w:t>Recommendation</w:t>
            </w:r>
          </w:p>
        </w:tc>
      </w:tr>
      <w:tr>
        <w:tc>
          <w:tcPr>
            <w:tcW w:type="dxa" w:w="5040"/>
          </w:tcPr>
          <w:p>
            <w:r>
              <w:rPr>
                <w:sz w:val="16"/>
              </w:rPr>
              <w:t>Frontend</w:t>
            </w:r>
          </w:p>
        </w:tc>
        <w:tc>
          <w:tcPr>
            <w:tcW w:type="dxa" w:w="5040"/>
          </w:tcPr>
          <w:p>
            <w:r>
              <w:rPr>
                <w:sz w:val="16"/>
              </w:rPr>
              <w:t>Next.js + React + TypeScript</w:t>
            </w:r>
          </w:p>
        </w:tc>
      </w:tr>
      <w:tr>
        <w:tc>
          <w:tcPr>
            <w:tcW w:type="dxa" w:w="5040"/>
            <w:shd w:fill="FAF9FF"/>
          </w:tcPr>
          <w:p>
            <w:r>
              <w:rPr>
                <w:sz w:val="16"/>
              </w:rPr>
              <w:t>Backend</w:t>
            </w:r>
          </w:p>
        </w:tc>
        <w:tc>
          <w:tcPr>
            <w:tcW w:type="dxa" w:w="5040"/>
            <w:shd w:fill="FAF9FF"/>
          </w:tcPr>
          <w:p>
            <w:r>
              <w:rPr>
                <w:sz w:val="16"/>
              </w:rPr>
              <w:t>Python + FastAPI</w:t>
            </w:r>
          </w:p>
        </w:tc>
      </w:tr>
      <w:tr>
        <w:tc>
          <w:tcPr>
            <w:tcW w:type="dxa" w:w="5040"/>
          </w:tcPr>
          <w:p>
            <w:r>
              <w:rPr>
                <w:sz w:val="16"/>
              </w:rPr>
              <w:t>Database</w:t>
            </w:r>
          </w:p>
        </w:tc>
        <w:tc>
          <w:tcPr>
            <w:tcW w:type="dxa" w:w="5040"/>
          </w:tcPr>
          <w:p>
            <w:r>
              <w:rPr>
                <w:sz w:val="16"/>
              </w:rPr>
              <w:t>Existing Supabase PostgreSQL model</w:t>
            </w:r>
          </w:p>
        </w:tc>
      </w:tr>
      <w:tr>
        <w:tc>
          <w:tcPr>
            <w:tcW w:type="dxa" w:w="5040"/>
            <w:shd w:fill="FAF9FF"/>
          </w:tcPr>
          <w:p>
            <w:r>
              <w:rPr>
                <w:sz w:val="16"/>
              </w:rPr>
              <w:t>Vector search</w:t>
            </w:r>
          </w:p>
        </w:tc>
        <w:tc>
          <w:tcPr>
            <w:tcW w:type="dxa" w:w="5040"/>
            <w:shd w:fill="FAF9FF"/>
          </w:tcPr>
          <w:p>
            <w:r>
              <w:rPr>
                <w:sz w:val="16"/>
              </w:rPr>
              <w:t>Supabase pgvector</w:t>
            </w:r>
          </w:p>
        </w:tc>
      </w:tr>
      <w:tr>
        <w:tc>
          <w:tcPr>
            <w:tcW w:type="dxa" w:w="5040"/>
          </w:tcPr>
          <w:p>
            <w:r>
              <w:rPr>
                <w:sz w:val="16"/>
              </w:rPr>
              <w:t>Storage</w:t>
            </w:r>
          </w:p>
        </w:tc>
        <w:tc>
          <w:tcPr>
            <w:tcW w:type="dxa" w:w="5040"/>
          </w:tcPr>
          <w:p>
            <w:r>
              <w:rPr>
                <w:sz w:val="16"/>
              </w:rPr>
              <w:t>Supabase Storage initially</w:t>
            </w:r>
          </w:p>
        </w:tc>
      </w:tr>
      <w:tr>
        <w:tc>
          <w:tcPr>
            <w:tcW w:type="dxa" w:w="5040"/>
            <w:shd w:fill="FAF9FF"/>
          </w:tcPr>
          <w:p>
            <w:r>
              <w:rPr>
                <w:sz w:val="16"/>
              </w:rPr>
              <w:t>AI runtime</w:t>
            </w:r>
          </w:p>
        </w:tc>
        <w:tc>
          <w:tcPr>
            <w:tcW w:type="dxa" w:w="5040"/>
            <w:shd w:fill="FAF9FF"/>
          </w:tcPr>
          <w:p>
            <w:r>
              <w:rPr>
                <w:sz w:val="16"/>
              </w:rPr>
              <w:t>Ollama + open models</w:t>
            </w:r>
          </w:p>
        </w:tc>
      </w:tr>
      <w:tr>
        <w:tc>
          <w:tcPr>
            <w:tcW w:type="dxa" w:w="5040"/>
          </w:tcPr>
          <w:p>
            <w:r>
              <w:rPr>
                <w:sz w:val="16"/>
              </w:rPr>
              <w:t>AI gateway</w:t>
            </w:r>
          </w:p>
        </w:tc>
        <w:tc>
          <w:tcPr>
            <w:tcW w:type="dxa" w:w="5040"/>
          </w:tcPr>
          <w:p>
            <w:r>
              <w:rPr>
                <w:sz w:val="16"/>
              </w:rPr>
              <w:t>Implement from the beginning</w:t>
            </w:r>
          </w:p>
        </w:tc>
      </w:tr>
      <w:tr>
        <w:tc>
          <w:tcPr>
            <w:tcW w:type="dxa" w:w="5040"/>
            <w:shd w:fill="FAF9FF"/>
          </w:tcPr>
          <w:p>
            <w:r>
              <w:rPr>
                <w:sz w:val="16"/>
              </w:rPr>
              <w:t>RAG</w:t>
            </w:r>
          </w:p>
        </w:tc>
        <w:tc>
          <w:tcPr>
            <w:tcW w:type="dxa" w:w="5040"/>
            <w:shd w:fill="FAF9FF"/>
          </w:tcPr>
          <w:p>
            <w:r>
              <w:rPr>
                <w:sz w:val="16"/>
              </w:rPr>
              <w:t>Core requirement for syllabus/resource-grounded teaching</w:t>
            </w:r>
          </w:p>
        </w:tc>
      </w:tr>
      <w:tr>
        <w:tc>
          <w:tcPr>
            <w:tcW w:type="dxa" w:w="5040"/>
          </w:tcPr>
          <w:p>
            <w:r>
              <w:rPr>
                <w:sz w:val="16"/>
              </w:rPr>
              <w:t>Speech</w:t>
            </w:r>
          </w:p>
        </w:tc>
        <w:tc>
          <w:tcPr>
            <w:tcW w:type="dxa" w:w="5040"/>
          </w:tcPr>
          <w:p>
            <w:r>
              <w:rPr>
                <w:sz w:val="16"/>
              </w:rPr>
              <w:t>Later phase</w:t>
            </w:r>
          </w:p>
        </w:tc>
      </w:tr>
      <w:tr>
        <w:tc>
          <w:tcPr>
            <w:tcW w:type="dxa" w:w="5040"/>
            <w:shd w:fill="FAF9FF"/>
          </w:tcPr>
          <w:p>
            <w:r>
              <w:rPr>
                <w:sz w:val="16"/>
              </w:rPr>
              <w:t>Avatar</w:t>
            </w:r>
          </w:p>
        </w:tc>
        <w:tc>
          <w:tcPr>
            <w:tcW w:type="dxa" w:w="5040"/>
            <w:shd w:fill="FAF9FF"/>
          </w:tcPr>
          <w:p>
            <w:r>
              <w:rPr>
                <w:sz w:val="16"/>
              </w:rPr>
              <w:t>Not a Phase-1 dependency</w:t>
            </w:r>
          </w:p>
        </w:tc>
      </w:tr>
      <w:tr>
        <w:tc>
          <w:tcPr>
            <w:tcW w:type="dxa" w:w="5040"/>
          </w:tcPr>
          <w:p>
            <w:r>
              <w:rPr>
                <w:sz w:val="16"/>
              </w:rPr>
              <w:t>Redis</w:t>
            </w:r>
          </w:p>
        </w:tc>
        <w:tc>
          <w:tcPr>
            <w:tcW w:type="dxa" w:w="5040"/>
          </w:tcPr>
          <w:p>
            <w:r>
              <w:rPr>
                <w:sz w:val="16"/>
              </w:rPr>
              <w:t>Later, when measured need exists</w:t>
            </w:r>
          </w:p>
        </w:tc>
      </w:tr>
      <w:tr>
        <w:tc>
          <w:tcPr>
            <w:tcW w:type="dxa" w:w="5040"/>
            <w:shd w:fill="FAF9FF"/>
          </w:tcPr>
          <w:p>
            <w:r>
              <w:rPr>
                <w:sz w:val="16"/>
              </w:rPr>
              <w:t>Kubernetes</w:t>
            </w:r>
          </w:p>
        </w:tc>
        <w:tc>
          <w:tcPr>
            <w:tcW w:type="dxa" w:w="5040"/>
            <w:shd w:fill="FAF9FF"/>
          </w:tcPr>
          <w:p>
            <w:r>
              <w:rPr>
                <w:sz w:val="16"/>
              </w:rPr>
              <w:t>Do not use in pilot</w:t>
            </w:r>
          </w:p>
        </w:tc>
      </w:tr>
      <w:tr>
        <w:tc>
          <w:tcPr>
            <w:tcW w:type="dxa" w:w="5040"/>
          </w:tcPr>
          <w:p>
            <w:r>
              <w:rPr>
                <w:sz w:val="16"/>
              </w:rPr>
              <w:t>GPU purchase</w:t>
            </w:r>
          </w:p>
        </w:tc>
        <w:tc>
          <w:tcPr>
            <w:tcW w:type="dxa" w:w="5040"/>
          </w:tcPr>
          <w:p>
            <w:r>
              <w:rPr>
                <w:sz w:val="16"/>
              </w:rPr>
              <w:t>Defer until benchmark</w:t>
            </w:r>
          </w:p>
        </w:tc>
      </w:tr>
      <w:tr>
        <w:tc>
          <w:tcPr>
            <w:tcW w:type="dxa" w:w="5040"/>
            <w:shd w:fill="FAF9FF"/>
          </w:tcPr>
          <w:p>
            <w:r>
              <w:rPr>
                <w:sz w:val="16"/>
              </w:rPr>
              <w:t>Premium LLM</w:t>
            </w:r>
          </w:p>
        </w:tc>
        <w:tc>
          <w:tcPr>
            <w:tcW w:type="dxa" w:w="5040"/>
            <w:shd w:fill="FAF9FF"/>
          </w:tcPr>
          <w:p>
            <w:r>
              <w:rPr>
                <w:sz w:val="16"/>
              </w:rPr>
              <w:t>Introduce after pilot evidence/funding</w:t>
            </w:r>
          </w:p>
        </w:tc>
      </w:tr>
    </w:tbl>
    <w:p>
      <w:pPr>
        <w:pStyle w:val="Heading1"/>
      </w:pPr>
      <w:r>
        <w:t>21. Risks &amp; Mitigations</w:t>
      </w:r>
    </w:p>
    <w:tbl>
      <w:tblPr>
        <w:tblStyle w:val="TableGrid"/>
        <w:tblW w:type="auto" w:w="0"/>
        <w:jc w:val="center"/>
        <w:tblLook w:firstColumn="1" w:firstRow="1" w:lastColumn="0" w:lastRow="0" w:noHBand="0" w:noVBand="1" w:val="04A0"/>
      </w:tblPr>
      <w:tblGrid>
        <w:gridCol w:w="5040"/>
        <w:gridCol w:w="5040"/>
      </w:tblGrid>
      <w:tr>
        <w:tc>
          <w:tcPr>
            <w:tcW w:type="dxa" w:w="5040"/>
            <w:shd w:fill="6D28D9"/>
          </w:tcPr>
          <w:p>
            <w:r>
              <w:rPr>
                <w:b/>
                <w:color w:val="FFFFFF"/>
                <w:sz w:val="16"/>
              </w:rPr>
              <w:t>Risk</w:t>
            </w:r>
          </w:p>
        </w:tc>
        <w:tc>
          <w:tcPr>
            <w:tcW w:type="dxa" w:w="5040"/>
            <w:shd w:fill="6D28D9"/>
          </w:tcPr>
          <w:p>
            <w:r>
              <w:rPr>
                <w:b/>
                <w:color w:val="FFFFFF"/>
                <w:sz w:val="16"/>
              </w:rPr>
              <w:t>Mitigation</w:t>
            </w:r>
          </w:p>
        </w:tc>
      </w:tr>
      <w:tr>
        <w:tc>
          <w:tcPr>
            <w:tcW w:type="dxa" w:w="5040"/>
          </w:tcPr>
          <w:p>
            <w:r>
              <w:rPr>
                <w:sz w:val="16"/>
              </w:rPr>
              <w:t>Free API limits</w:t>
            </w:r>
          </w:p>
        </w:tc>
        <w:tc>
          <w:tcPr>
            <w:tcW w:type="dxa" w:w="5040"/>
          </w:tcPr>
          <w:p>
            <w:r>
              <w:rPr>
                <w:sz w:val="16"/>
              </w:rPr>
              <w:t>Local fallback + provider abstraction</w:t>
            </w:r>
          </w:p>
        </w:tc>
      </w:tr>
      <w:tr>
        <w:tc>
          <w:tcPr>
            <w:tcW w:type="dxa" w:w="5040"/>
            <w:shd w:fill="FAF9FF"/>
          </w:tcPr>
          <w:p>
            <w:r>
              <w:rPr>
                <w:sz w:val="16"/>
              </w:rPr>
              <w:t>Hallucination</w:t>
            </w:r>
          </w:p>
        </w:tc>
        <w:tc>
          <w:tcPr>
            <w:tcW w:type="dxa" w:w="5040"/>
            <w:shd w:fill="FAF9FF"/>
          </w:tcPr>
          <w:p>
            <w:r>
              <w:rPr>
                <w:sz w:val="16"/>
              </w:rPr>
              <w:t>RAG + validation + expert review</w:t>
            </w:r>
          </w:p>
        </w:tc>
      </w:tr>
      <w:tr>
        <w:tc>
          <w:tcPr>
            <w:tcW w:type="dxa" w:w="5040"/>
          </w:tcPr>
          <w:p>
            <w:r>
              <w:rPr>
                <w:sz w:val="16"/>
              </w:rPr>
              <w:t>Weak Telugu output</w:t>
            </w:r>
          </w:p>
        </w:tc>
        <w:tc>
          <w:tcPr>
            <w:tcW w:type="dxa" w:w="5040"/>
          </w:tcPr>
          <w:p>
            <w:r>
              <w:rPr>
                <w:sz w:val="16"/>
              </w:rPr>
              <w:t>Benchmark multilingual models</w:t>
            </w:r>
          </w:p>
        </w:tc>
      </w:tr>
      <w:tr>
        <w:tc>
          <w:tcPr>
            <w:tcW w:type="dxa" w:w="5040"/>
            <w:shd w:fill="FAF9FF"/>
          </w:tcPr>
          <w:p>
            <w:r>
              <w:rPr>
                <w:sz w:val="16"/>
              </w:rPr>
              <w:t>AI cost growth</w:t>
            </w:r>
          </w:p>
        </w:tc>
        <w:tc>
          <w:tcPr>
            <w:tcW w:type="dxa" w:w="5040"/>
            <w:shd w:fill="FAF9FF"/>
          </w:tcPr>
          <w:p>
            <w:r>
              <w:rPr>
                <w:sz w:val="16"/>
              </w:rPr>
              <w:t>Routing + caching + quotas + batch</w:t>
            </w:r>
          </w:p>
        </w:tc>
      </w:tr>
      <w:tr>
        <w:tc>
          <w:tcPr>
            <w:tcW w:type="dxa" w:w="5040"/>
          </w:tcPr>
          <w:p>
            <w:r>
              <w:rPr>
                <w:sz w:val="16"/>
              </w:rPr>
              <w:t>Storage/database limits</w:t>
            </w:r>
          </w:p>
        </w:tc>
        <w:tc>
          <w:tcPr>
            <w:tcW w:type="dxa" w:w="5040"/>
          </w:tcPr>
          <w:p>
            <w:r>
              <w:rPr>
                <w:sz w:val="16"/>
              </w:rPr>
              <w:t>Monitor and upgrade/migrate when justified</w:t>
            </w:r>
          </w:p>
        </w:tc>
      </w:tr>
      <w:tr>
        <w:tc>
          <w:tcPr>
            <w:tcW w:type="dxa" w:w="5040"/>
            <w:shd w:fill="FAF9FF"/>
          </w:tcPr>
          <w:p>
            <w:r>
              <w:rPr>
                <w:sz w:val="16"/>
              </w:rPr>
              <w:t>Slow local model</w:t>
            </w:r>
          </w:p>
        </w:tc>
        <w:tc>
          <w:tcPr>
            <w:tcW w:type="dxa" w:w="5040"/>
            <w:shd w:fill="FAF9FF"/>
          </w:tcPr>
          <w:p>
            <w:r>
              <w:rPr>
                <w:sz w:val="16"/>
              </w:rPr>
              <w:t>Quantization/smaller model/hosted fallback</w:t>
            </w:r>
          </w:p>
        </w:tc>
      </w:tr>
      <w:tr>
        <w:tc>
          <w:tcPr>
            <w:tcW w:type="dxa" w:w="5040"/>
          </w:tcPr>
          <w:p>
            <w:r>
              <w:rPr>
                <w:sz w:val="16"/>
              </w:rPr>
              <w:t>Vendor lock-in</w:t>
            </w:r>
          </w:p>
        </w:tc>
        <w:tc>
          <w:tcPr>
            <w:tcW w:type="dxa" w:w="5040"/>
          </w:tcPr>
          <w:p>
            <w:r>
              <w:rPr>
                <w:sz w:val="16"/>
              </w:rPr>
              <w:t>Model Gateway</w:t>
            </w:r>
          </w:p>
        </w:tc>
      </w:tr>
      <w:tr>
        <w:tc>
          <w:tcPr>
            <w:tcW w:type="dxa" w:w="5040"/>
            <w:shd w:fill="FAF9FF"/>
          </w:tcPr>
          <w:p>
            <w:r>
              <w:rPr>
                <w:sz w:val="16"/>
              </w:rPr>
              <w:t>Sensitive-data exposure</w:t>
            </w:r>
          </w:p>
        </w:tc>
        <w:tc>
          <w:tcPr>
            <w:tcW w:type="dxa" w:w="5040"/>
            <w:shd w:fill="FAF9FF"/>
          </w:tcPr>
          <w:p>
            <w:r>
              <w:rPr>
                <w:sz w:val="16"/>
              </w:rPr>
              <w:t>Minimization + approved routing</w:t>
            </w:r>
          </w:p>
        </w:tc>
      </w:tr>
      <w:tr>
        <w:tc>
          <w:tcPr>
            <w:tcW w:type="dxa" w:w="5040"/>
          </w:tcPr>
          <w:p>
            <w:r>
              <w:rPr>
                <w:sz w:val="16"/>
              </w:rPr>
              <w:t>Infrastructure complexity</w:t>
            </w:r>
          </w:p>
        </w:tc>
        <w:tc>
          <w:tcPr>
            <w:tcW w:type="dxa" w:w="5040"/>
          </w:tcPr>
          <w:p>
            <w:r>
              <w:rPr>
                <w:sz w:val="16"/>
              </w:rPr>
              <w:t>Keep pilot modular but simple</w:t>
            </w:r>
          </w:p>
        </w:tc>
      </w:tr>
      <w:tr>
        <w:tc>
          <w:tcPr>
            <w:tcW w:type="dxa" w:w="5040"/>
            <w:shd w:fill="FAF9FF"/>
          </w:tcPr>
          <w:p>
            <w:r>
              <w:rPr>
                <w:sz w:val="16"/>
              </w:rPr>
              <w:t>Avatar complexity</w:t>
            </w:r>
          </w:p>
        </w:tc>
        <w:tc>
          <w:tcPr>
            <w:tcW w:type="dxa" w:w="5040"/>
            <w:shd w:fill="FAF9FF"/>
          </w:tcPr>
          <w:p>
            <w:r>
              <w:rPr>
                <w:sz w:val="16"/>
              </w:rPr>
              <w:t>Future presentation layer only</w:t>
            </w:r>
          </w:p>
        </w:tc>
      </w:tr>
    </w:tbl>
    <w:p>
      <w:pPr>
        <w:pStyle w:val="Heading1"/>
      </w:pPr>
      <w:r>
        <w:t>22. Roadmap</w:t>
      </w:r>
    </w:p>
    <w:tbl>
      <w:tblPr>
        <w:tblStyle w:val="TableGrid"/>
        <w:tblW w:type="auto" w:w="0"/>
        <w:jc w:val="center"/>
        <w:tblLook w:firstColumn="1" w:firstRow="1" w:lastColumn="0" w:lastRow="0" w:noHBand="0" w:noVBand="1" w:val="04A0"/>
      </w:tblPr>
      <w:tblGrid>
        <w:gridCol w:w="5040"/>
        <w:gridCol w:w="5040"/>
      </w:tblGrid>
      <w:tr>
        <w:tc>
          <w:tcPr>
            <w:tcW w:type="dxa" w:w="5040"/>
            <w:shd w:fill="6D28D9"/>
          </w:tcPr>
          <w:p>
            <w:r>
              <w:rPr>
                <w:b/>
                <w:color w:val="FFFFFF"/>
                <w:sz w:val="16"/>
              </w:rPr>
              <w:t>Phase</w:t>
            </w:r>
          </w:p>
        </w:tc>
        <w:tc>
          <w:tcPr>
            <w:tcW w:type="dxa" w:w="5040"/>
            <w:shd w:fill="6D28D9"/>
          </w:tcPr>
          <w:p>
            <w:r>
              <w:rPr>
                <w:b/>
                <w:color w:val="FFFFFF"/>
                <w:sz w:val="16"/>
              </w:rPr>
              <w:t>Technology milestone</w:t>
            </w:r>
          </w:p>
        </w:tc>
      </w:tr>
      <w:tr>
        <w:tc>
          <w:tcPr>
            <w:tcW w:type="dxa" w:w="5040"/>
          </w:tcPr>
          <w:p>
            <w:r>
              <w:rPr>
                <w:sz w:val="16"/>
              </w:rPr>
              <w:t>0</w:t>
            </w:r>
          </w:p>
        </w:tc>
        <w:tc>
          <w:tcPr>
            <w:tcW w:type="dxa" w:w="5040"/>
          </w:tcPr>
          <w:p>
            <w:r>
              <w:rPr>
                <w:sz w:val="16"/>
              </w:rPr>
              <w:t>Stabilize frontend/backend/database + CI/CD</w:t>
            </w:r>
          </w:p>
        </w:tc>
      </w:tr>
      <w:tr>
        <w:tc>
          <w:tcPr>
            <w:tcW w:type="dxa" w:w="5040"/>
            <w:shd w:fill="FAF9FF"/>
          </w:tcPr>
          <w:p>
            <w:r>
              <w:rPr>
                <w:sz w:val="16"/>
              </w:rPr>
              <w:t>1</w:t>
            </w:r>
          </w:p>
        </w:tc>
        <w:tc>
          <w:tcPr>
            <w:tcW w:type="dxa" w:w="5040"/>
            <w:shd w:fill="FAF9FF"/>
          </w:tcPr>
          <w:p>
            <w:r>
              <w:rPr>
                <w:sz w:val="16"/>
              </w:rPr>
              <w:t>AI Lecturer + RAG + generated materials + topic assessment</w:t>
            </w:r>
          </w:p>
        </w:tc>
      </w:tr>
      <w:tr>
        <w:tc>
          <w:tcPr>
            <w:tcW w:type="dxa" w:w="5040"/>
          </w:tcPr>
          <w:p>
            <w:r>
              <w:rPr>
                <w:sz w:val="16"/>
              </w:rPr>
              <w:t>2</w:t>
            </w:r>
          </w:p>
        </w:tc>
        <w:tc>
          <w:tcPr>
            <w:tcW w:type="dxa" w:w="5040"/>
          </w:tcPr>
          <w:p>
            <w:r>
              <w:rPr>
                <w:sz w:val="16"/>
              </w:rPr>
              <w:t>Learning analytics + performance/remedial</w:t>
            </w:r>
          </w:p>
        </w:tc>
      </w:tr>
      <w:tr>
        <w:tc>
          <w:tcPr>
            <w:tcW w:type="dxa" w:w="5040"/>
            <w:shd w:fill="FAF9FF"/>
          </w:tcPr>
          <w:p>
            <w:r>
              <w:rPr>
                <w:sz w:val="16"/>
              </w:rPr>
              <w:t>3</w:t>
            </w:r>
          </w:p>
        </w:tc>
        <w:tc>
          <w:tcPr>
            <w:tcW w:type="dxa" w:w="5040"/>
            <w:shd w:fill="FAF9FF"/>
          </w:tcPr>
          <w:p>
            <w:r>
              <w:rPr>
                <w:sz w:val="16"/>
              </w:rPr>
              <w:t>Voice/STT/TTS + communication skills</w:t>
            </w:r>
          </w:p>
        </w:tc>
      </w:tr>
      <w:tr>
        <w:tc>
          <w:tcPr>
            <w:tcW w:type="dxa" w:w="5040"/>
          </w:tcPr>
          <w:p>
            <w:r>
              <w:rPr>
                <w:sz w:val="16"/>
              </w:rPr>
              <w:t>4</w:t>
            </w:r>
          </w:p>
        </w:tc>
        <w:tc>
          <w:tcPr>
            <w:tcW w:type="dxa" w:w="5040"/>
          </w:tcPr>
          <w:p>
            <w:r>
              <w:rPr>
                <w:sz w:val="16"/>
              </w:rPr>
              <w:t>Multi-agent orchestration + analytics</w:t>
            </w:r>
          </w:p>
        </w:tc>
      </w:tr>
      <w:tr>
        <w:tc>
          <w:tcPr>
            <w:tcW w:type="dxa" w:w="5040"/>
            <w:shd w:fill="FAF9FF"/>
          </w:tcPr>
          <w:p>
            <w:r>
              <w:rPr>
                <w:sz w:val="16"/>
              </w:rPr>
              <w:t>5</w:t>
            </w:r>
          </w:p>
        </w:tc>
        <w:tc>
          <w:tcPr>
            <w:tcW w:type="dxa" w:w="5040"/>
            <w:shd w:fill="FAF9FF"/>
          </w:tcPr>
          <w:p>
            <w:r>
              <w:rPr>
                <w:sz w:val="16"/>
              </w:rPr>
              <w:t>Paid model routing + self-hosted inference</w:t>
            </w:r>
          </w:p>
        </w:tc>
      </w:tr>
      <w:tr>
        <w:tc>
          <w:tcPr>
            <w:tcW w:type="dxa" w:w="5040"/>
          </w:tcPr>
          <w:p>
            <w:r>
              <w:rPr>
                <w:sz w:val="16"/>
              </w:rPr>
              <w:t>6</w:t>
            </w:r>
          </w:p>
        </w:tc>
        <w:tc>
          <w:tcPr>
            <w:tcW w:type="dxa" w:w="5040"/>
          </w:tcPr>
          <w:p>
            <w:r>
              <w:rPr>
                <w:sz w:val="16"/>
              </w:rPr>
              <w:t>Institutional scaling + security/observability hardening</w:t>
            </w:r>
          </w:p>
        </w:tc>
      </w:tr>
    </w:tbl>
    <w:p>
      <w:pPr>
        <w:pStyle w:val="Heading1"/>
      </w:pPr>
      <w:r>
        <w:t>23. Final Architecture</w:t>
      </w:r>
    </w:p>
    <w:p>
      <w:pPr>
        <w:jc w:val="center"/>
      </w:pPr>
      <w:r>
        <w:rPr>
          <w:b/>
          <w:color w:val="6D28D9"/>
        </w:rPr>
        <w:t>Next.js / React</w:t>
        <w:br/>
        <w:t>↓</w:t>
        <w:br/>
        <w:t>FastAPI API Layer</w:t>
        <w:br/>
        <w:t>↓</w:t>
        <w:br/>
        <w:t>Domain Services + AI Orchestrator</w:t>
        <w:br/>
        <w:t>↓</w:t>
        <w:br/>
        <w:t>AI Model Gateway</w:t>
        <w:br/>
        <w:t>↙                         ↘</w:t>
        <w:br/>
        <w:t>Local/Open Models      Paid/Hosted Models</w:t>
        <w:br/>
        <w:t>↓</w:t>
        <w:br/>
        <w:t>RAG → Supabase PostgreSQL + pgvector</w:t>
        <w:br/>
        <w:t>↓</w:t>
        <w:br/>
        <w:t>Object Storage</w:t>
        <w:br/>
        <w:t>↓</w:t>
        <w:br/>
        <w:t>Learning + Assessment + Materials + Analytics</w:t>
      </w:r>
    </w:p>
    <w:p>
      <w:pPr>
        <w:pStyle w:val="Heading1"/>
      </w:pPr>
      <w:r>
        <w:t>24. Final Recommendation</w:t>
      </w:r>
    </w:p>
    <w:p>
      <w:r>
        <w:t>For SYS, the sound strategy is to build a strong educational platform around a provider-neutral AI layer rather than beginning with the most expensive model. The recommended foundation is Next.js + FastAPI + Supabase/PostgreSQL + pgvector + Ollama/open models, with RAG over faculty-approved resources and a configurable model gateway.</w:t>
      </w:r>
    </w:p>
    <w:p>
      <w:r>
        <w:t>Start free, validate with real students and faculty, measure educational value and AI usage, then introduce paid models, GPUs, stronger infrastructure and institutional services only where evidence and funding justify them.</w:t>
      </w:r>
    </w:p>
    <w:tbl>
      <w:tblPr>
        <w:tblW w:type="auto" w:w="0"/>
        <w:tblLook w:firstColumn="1" w:firstRow="1" w:lastColumn="0" w:lastRow="0" w:noHBand="0" w:noVBand="1" w:val="04A0"/>
      </w:tblPr>
      <w:tblGrid>
        <w:gridCol w:w="10080"/>
      </w:tblGrid>
      <w:tr>
        <w:tc>
          <w:tcPr>
            <w:tcW w:type="dxa" w:w="10080"/>
            <w:shd w:fill="F5F3FF"/>
          </w:tcPr>
          <w:p>
            <w:r>
              <w:rPr>
                <w:b/>
                <w:color w:val="6D28D9"/>
              </w:rPr>
              <w:t>SYS Technology Principle</w:t>
              <w:br/>
            </w:r>
            <w:r>
              <w:t>Build once around open interfaces; improve models and infrastructure as funding, usage and evidence grow.</w:t>
            </w:r>
          </w:p>
        </w:tc>
      </w:tr>
    </w:tbl>
    <w:p>
      <w:pPr>
        <w:pStyle w:val="Heading1"/>
      </w:pPr>
      <w:r>
        <w:t>25. Key Current Reference Sources</w:t>
      </w:r>
    </w:p>
    <w:p>
      <w:pPr>
        <w:pStyle w:val="ListBullet"/>
      </w:pPr>
      <w:r>
        <w:t>Supabase pricing: https://supabase.com/pricing</w:t>
      </w:r>
    </w:p>
    <w:p>
      <w:pPr>
        <w:pStyle w:val="ListBullet"/>
      </w:pPr>
      <w:r>
        <w:t>Vercel pricing: https://vercel.com/pricing</w:t>
      </w:r>
    </w:p>
    <w:p>
      <w:pPr>
        <w:pStyle w:val="ListBullet"/>
      </w:pPr>
      <w:r>
        <w:t>Gemini API pricing: https://ai.google.dev/gemini-api/docs/pricing</w:t>
      </w:r>
    </w:p>
    <w:p>
      <w:pPr>
        <w:pStyle w:val="ListBullet"/>
      </w:pPr>
      <w:r>
        <w:t>Ollama: https://ollama.com/</w:t>
      </w:r>
    </w:p>
    <w:p>
      <w:pPr>
        <w:pStyle w:val="ListBullet"/>
      </w:pPr>
      <w:r>
        <w:t>Ollama pricing: https://ollama.com/pricing</w:t>
      </w:r>
    </w:p>
    <w:p>
      <w:pPr>
        <w:pStyle w:val="ListBullet"/>
      </w:pPr>
      <w:r>
        <w:t>Supabase pgvector: https://supabase.com/docs/guides/database/extensions/pgvector</w:t>
      </w:r>
    </w:p>
    <w:p>
      <w:pPr>
        <w:pStyle w:val="ListBullet"/>
      </w:pPr>
      <w:r>
        <w:t>Hugging Face Inference Providers: https://huggingface.co/docs/inference-providers/en/pricing</w:t>
      </w:r>
    </w:p>
    <w:p>
      <w:pPr>
        <w:pStyle w:val="ListBullet"/>
      </w:pPr>
      <w:r>
        <w:t>Cloudflare R2 pricing: https://developers.cloudflare.com/r2/pricing/</w:t>
      </w:r>
    </w:p>
    <w:p>
      <w:pPr>
        <w:pStyle w:val="ListBullet"/>
      </w:pPr>
      <w:r>
        <w:t>OpenAI Whisper: https://github.com/openai/whisper</w:t>
      </w:r>
    </w:p>
    <w:p>
      <w:pPr>
        <w:pStyle w:val="ListBullet"/>
      </w:pPr>
      <w:r>
        <w:t>Piper TTS: https://github.com/rhasspy/piper</w:t>
      </w:r>
    </w:p>
    <w:p>
      <w:pPr>
        <w:jc w:val="center"/>
      </w:pPr>
      <w:r>
        <w:drawing>
          <wp:inline xmlns:a="http://schemas.openxmlformats.org/drawingml/2006/main" xmlns:pic="http://schemas.openxmlformats.org/drawingml/2006/picture">
            <wp:extent cx="1188720" cy="277368"/>
            <wp:docPr id="2" name="Picture 2"/>
            <wp:cNvGraphicFramePr>
              <a:graphicFrameLocks noChangeAspect="1"/>
            </wp:cNvGraphicFramePr>
            <a:graphic>
              <a:graphicData uri="http://schemas.openxmlformats.org/drawingml/2006/picture">
                <pic:pic>
                  <pic:nvPicPr>
                    <pic:cNvPr id="0" name="04_SYS_Compact_Logo_FIXED.png"/>
                    <pic:cNvPicPr/>
                  </pic:nvPicPr>
                  <pic:blipFill>
                    <a:blip r:embed="rId11"/>
                    <a:stretch>
                      <a:fillRect/>
                    </a:stretch>
                  </pic:blipFill>
                  <pic:spPr>
                    <a:xfrm>
                      <a:off x="0" y="0"/>
                      <a:ext cx="1188720" cy="277368"/>
                    </a:xfrm>
                    <a:prstGeom prst="rect"/>
                  </pic:spPr>
                </pic:pic>
              </a:graphicData>
            </a:graphic>
          </wp:inline>
        </w:drawing>
      </w:r>
    </w:p>
    <w:p>
      <w:pPr>
        <w:jc w:val="center"/>
      </w:pPr>
      <w:r>
        <w:rPr>
          <w:b/>
          <w:color w:val="102A72"/>
        </w:rPr>
        <w:t>SYS – Strengthen Your Skills</w:t>
      </w:r>
    </w:p>
    <w:p>
      <w:pPr>
        <w:jc w:val="center"/>
      </w:pPr>
      <w:r>
        <w:rPr>
          <w:i/>
          <w:color w:val="6D28D9"/>
        </w:rPr>
        <w:t>Shape Your Successful Future.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640080" cy="149352"/>
          <wp:docPr id="1" name="Picture 1"/>
          <wp:cNvGraphicFramePr>
            <a:graphicFrameLocks noChangeAspect="1"/>
          </wp:cNvGraphicFramePr>
          <a:graphic>
            <a:graphicData uri="http://schemas.openxmlformats.org/drawingml/2006/picture">
              <pic:pic>
                <pic:nvPicPr>
                  <pic:cNvPr id="0" name="04_SYS_Compact_Logo_FIXED.png"/>
                  <pic:cNvPicPr/>
                </pic:nvPicPr>
                <pic:blipFill>
                  <a:blip r:embed="rId1"/>
                  <a:stretch>
                    <a:fillRect/>
                  </a:stretch>
                </pic:blipFill>
                <pic:spPr>
                  <a:xfrm>
                    <a:off x="0" y="0"/>
                    <a:ext cx="640080" cy="149352"/>
                  </a:xfrm>
                  <a:prstGeom prst="rect"/>
                </pic:spPr>
              </pic:pic>
            </a:graphicData>
          </a:graphic>
        </wp:inline>
      </w:drawing>
    </w:r>
    <w:r>
      <w:rPr>
        <w:color w:val="6D28D9"/>
        <w:sz w:val="16"/>
      </w:rPr>
      <w:t xml:space="preserve">  SYS – Strengthen Your Skills | Shape Your Successful Future.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188720" cy="277368"/>
          <wp:docPr id="1" name="Picture 1"/>
          <wp:cNvGraphicFramePr>
            <a:graphicFrameLocks noChangeAspect="1"/>
          </wp:cNvGraphicFramePr>
          <a:graphic>
            <a:graphicData uri="http://schemas.openxmlformats.org/drawingml/2006/picture">
              <pic:pic>
                <pic:nvPicPr>
                  <pic:cNvPr id="0" name="04_SYS_Compact_Logo_FIXED.png"/>
                  <pic:cNvPicPr/>
                </pic:nvPicPr>
                <pic:blipFill>
                  <a:blip r:embed="rId1"/>
                  <a:stretch>
                    <a:fillRect/>
                  </a:stretch>
                </pic:blipFill>
                <pic:spPr>
                  <a:xfrm>
                    <a:off x="0" y="0"/>
                    <a:ext cx="1188720" cy="27736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2A7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6D28D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02A7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