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0"/>
          <w:szCs w:val="20"/>
        </w:rPr>
        <w:t xml:space="preserve">UNIVERSIDAD CÉSAR VALLEJO — ESCUELA DE POSGRADO</w:t>
      </w:r>
    </w:p>
    <w:p>
      <w:pPr>
        <w:spacing w:after="200"/>
        <w:jc w:val="center"/>
      </w:pPr>
      <w:r>
        <w:rPr>
          <w:rFonts w:ascii="Arial" w:cs="Arial" w:eastAsia="Arial" w:hAnsi="Arial"/>
          <w:i/>
          <w:iCs/>
          <w:sz w:val="20"/>
          <w:szCs w:val="20"/>
        </w:rPr>
        <w:t xml:space="preserve">Avance del Proyecto de Investigación · Título, Variables y Metodología</w:t>
      </w:r>
    </w:p>
    <w:p>
      <w:pPr>
        <w:pStyle w:val="Heading1"/>
        <w:spacing w:after="140" w:before="260"/>
      </w:pPr>
      <w:r>
        <w:rPr>
          <w:rFonts w:ascii="Arial" w:cs="Arial" w:eastAsia="Arial" w:hAnsi="Arial"/>
          <w:b/>
          <w:bCs/>
          <w:color w:val="1F3864"/>
          <w:sz w:val="28"/>
          <w:szCs w:val="28"/>
        </w:rPr>
        <w:t xml:space="preserve">1. Título optimizado</w:t>
      </w:r>
    </w:p>
    <w:p>
      <w:pPr>
        <w:pBdr>
          <w:top w:val="single" w:color="1F3864" w:sz="6"/>
          <w:bottom w:val="single" w:color="1F3864" w:sz="6"/>
          <w:left w:val="single" w:color="1F3864" w:sz="6"/>
          <w:right w:val="single" w:color="1F3864" w:sz="6"/>
        </w:pBdr>
        <w:shd w:fill="D9E2F3" w:color="auto" w:val="clear"/>
        <w:spacing w:after="160" w:line="320"/>
        <w:jc w:val="center"/>
      </w:pPr>
      <w:r>
        <w:rPr>
          <w:rFonts w:ascii="Arial" w:cs="Arial" w:eastAsia="Arial" w:hAnsi="Arial"/>
          <w:b/>
          <w:bCs/>
          <w:color w:val="1F3864"/>
          <w:sz w:val="26"/>
          <w:szCs w:val="26"/>
        </w:rPr>
        <w:t xml:space="preserve">Competencias pedagógicas y necesidades de formación docente en médicos de hospitales públicos: propuesta de un programa de formación contextualizada, Cusco 2026.</w:t>
      </w:r>
    </w:p>
    <w:p>
      <w:pPr>
        <w:spacing w:after="120" w:line="300"/>
        <w:jc w:val="both"/>
      </w:pPr>
      <w:r>
        <w:rPr>
          <w:rFonts w:ascii="Arial" w:cs="Arial" w:eastAsia="Arial" w:hAnsi="Arial"/>
          <w:b w:val="false"/>
          <w:bCs w:val="false"/>
          <w:i w:val="false"/>
          <w:iCs w:val="false"/>
          <w:sz w:val="22"/>
          <w:szCs w:val="22"/>
        </w:rPr>
        <w:t xml:space="preserve">El título articula las dos variables del estudio y anuncia el producto propositivo, coherente con el enfoque mixto de diseño secuencial explicativo y con la línea de investigación de Diseño y Desarrollo Curricular.</w:t>
      </w:r>
    </w:p>
    <w:p>
      <w:pPr>
        <w:pStyle w:val="Heading1"/>
        <w:spacing w:after="140" w:before="260"/>
      </w:pPr>
      <w:r>
        <w:rPr>
          <w:rFonts w:ascii="Arial" w:cs="Arial" w:eastAsia="Arial" w:hAnsi="Arial"/>
          <w:b/>
          <w:bCs/>
          <w:color w:val="1F3864"/>
          <w:sz w:val="28"/>
          <w:szCs w:val="28"/>
        </w:rPr>
        <w:t xml:space="preserve">2. Problema general y objetivos</w:t>
      </w:r>
    </w:p>
    <w:p>
      <w:pPr>
        <w:pStyle w:val="Heading2"/>
        <w:spacing w:after="100" w:before="200"/>
      </w:pPr>
      <w:r>
        <w:rPr>
          <w:rFonts w:ascii="Arial" w:cs="Arial" w:eastAsia="Arial" w:hAnsi="Arial"/>
          <w:b/>
          <w:bCs/>
          <w:color w:val="1F3864"/>
          <w:sz w:val="24"/>
          <w:szCs w:val="24"/>
        </w:rPr>
        <w:t xml:space="preserve">Problema general</w:t>
      </w:r>
    </w:p>
    <w:p>
      <w:pPr>
        <w:spacing w:after="120" w:line="300"/>
        <w:jc w:val="both"/>
      </w:pPr>
      <w:r>
        <w:rPr>
          <w:rFonts w:ascii="Arial" w:cs="Arial" w:eastAsia="Arial" w:hAnsi="Arial"/>
          <w:b w:val="false"/>
          <w:bCs w:val="false"/>
          <w:i w:val="false"/>
          <w:iCs w:val="false"/>
          <w:sz w:val="22"/>
          <w:szCs w:val="22"/>
        </w:rPr>
        <w:t xml:space="preserve">¿Cuáles son las características de la autopercepción de las competencias pedagógicas y las necesidades de formación docente de los médicos, y cómo debe estructurarse una propuesta de capacitación adaptada a la realidad laboral de los hospitales públicos de la región Cusco, 2026?</w:t>
      </w:r>
    </w:p>
    <w:p>
      <w:pPr>
        <w:pStyle w:val="Heading2"/>
        <w:spacing w:after="100" w:before="200"/>
      </w:pPr>
      <w:r>
        <w:rPr>
          <w:rFonts w:ascii="Arial" w:cs="Arial" w:eastAsia="Arial" w:hAnsi="Arial"/>
          <w:b/>
          <w:bCs/>
          <w:color w:val="1F3864"/>
          <w:sz w:val="24"/>
          <w:szCs w:val="24"/>
        </w:rPr>
        <w:t xml:space="preserve">Objetivo general</w:t>
      </w:r>
    </w:p>
    <w:p>
      <w:pPr>
        <w:spacing w:after="120" w:line="300"/>
        <w:jc w:val="both"/>
      </w:pPr>
      <w:r>
        <w:rPr>
          <w:rFonts w:ascii="Arial" w:cs="Arial" w:eastAsia="Arial" w:hAnsi="Arial"/>
          <w:b w:val="false"/>
          <w:bCs w:val="false"/>
          <w:i w:val="false"/>
          <w:iCs w:val="false"/>
          <w:sz w:val="22"/>
          <w:szCs w:val="22"/>
        </w:rPr>
        <w:t xml:space="preserve">Explicar la autopercepción de las competencias pedagógicas y las necesidades de formación docente de los médicos de los hospitales públicos de la región Cusco, con el fin de diseñar una propuesta de formación docente adaptada a su realidad laboral 2026 y orientada a la mejora de la calidad educativa clínica.</w:t>
      </w:r>
    </w:p>
    <w:p>
      <w:pPr>
        <w:pStyle w:val="Heading2"/>
        <w:spacing w:after="100" w:before="200"/>
      </w:pPr>
      <w:r>
        <w:rPr>
          <w:rFonts w:ascii="Arial" w:cs="Arial" w:eastAsia="Arial" w:hAnsi="Arial"/>
          <w:b/>
          <w:bCs/>
          <w:color w:val="1F3864"/>
          <w:sz w:val="24"/>
          <w:szCs w:val="24"/>
        </w:rPr>
        <w:t xml:space="preserve">Objetivos específicos</w:t>
      </w:r>
    </w:p>
    <w:p>
      <w:pPr>
        <w:pStyle w:val="ListParagraph"/>
        <w:numPr>
          <w:ilvl w:val="0"/>
          <w:numId w:val="1"/>
        </w:numPr>
        <w:spacing w:after="80" w:line="290"/>
        <w:jc w:val="both"/>
      </w:pPr>
      <w:r>
        <w:rPr>
          <w:rFonts w:ascii="Arial" w:cs="Arial" w:eastAsia="Arial" w:hAnsi="Arial"/>
          <w:b/>
          <w:bCs/>
          <w:sz w:val="22"/>
          <w:szCs w:val="22"/>
        </w:rPr>
        <w:t xml:space="preserve">OE1. Determinar</w:t>
      </w:r>
      <w:r>
        <w:rPr>
          <w:rFonts w:ascii="Arial" w:cs="Arial" w:eastAsia="Arial" w:hAnsi="Arial"/>
          <w:sz w:val="22"/>
          <w:szCs w:val="22"/>
        </w:rPr>
        <w:t xml:space="preserve"> los niveles de autopercepción de las competencias pedagógicas en sus dimensiones de planificación didáctica, estrategias de enseñanza y evaluación del desempeño clínico en la muestra de médicos.</w:t>
      </w:r>
    </w:p>
    <w:p>
      <w:pPr>
        <w:pStyle w:val="ListParagraph"/>
        <w:numPr>
          <w:ilvl w:val="0"/>
          <w:numId w:val="1"/>
        </w:numPr>
        <w:spacing w:after="80" w:line="290"/>
        <w:jc w:val="both"/>
      </w:pPr>
      <w:r>
        <w:rPr>
          <w:rFonts w:ascii="Arial" w:cs="Arial" w:eastAsia="Arial" w:hAnsi="Arial"/>
          <w:b/>
          <w:bCs/>
          <w:sz w:val="22"/>
          <w:szCs w:val="22"/>
        </w:rPr>
        <w:t xml:space="preserve">OE2. Jerarquizar</w:t>
      </w:r>
      <w:r>
        <w:rPr>
          <w:rFonts w:ascii="Arial" w:cs="Arial" w:eastAsia="Arial" w:hAnsi="Arial"/>
          <w:sz w:val="22"/>
          <w:szCs w:val="22"/>
        </w:rPr>
        <w:t xml:space="preserve"> las necesidades de capacitación pedagógica prioritarias mediante el índice de discrepancia media ponderada (MWDS) del Modelo de Borich, para establecer los temas de formación urgente.</w:t>
      </w:r>
    </w:p>
    <w:p>
      <w:pPr>
        <w:pStyle w:val="ListParagraph"/>
        <w:numPr>
          <w:ilvl w:val="0"/>
          <w:numId w:val="1"/>
        </w:numPr>
        <w:spacing w:after="80" w:line="290"/>
        <w:jc w:val="both"/>
      </w:pPr>
      <w:r>
        <w:rPr>
          <w:rFonts w:ascii="Arial" w:cs="Arial" w:eastAsia="Arial" w:hAnsi="Arial"/>
          <w:b/>
          <w:bCs/>
          <w:sz w:val="22"/>
          <w:szCs w:val="22"/>
        </w:rPr>
        <w:t xml:space="preserve">OE3. Comprender</w:t>
      </w:r>
      <w:r>
        <w:rPr>
          <w:rFonts w:ascii="Arial" w:cs="Arial" w:eastAsia="Arial" w:hAnsi="Arial"/>
          <w:sz w:val="22"/>
          <w:szCs w:val="22"/>
        </w:rPr>
        <w:t xml:space="preserve"> las barreras de tiempo, las dinámicas asistenciales y los desafíos que configuran el ejercicio docente, desde la perspectiva cualitativa de los propios médicos, para explicar las brechas identificadas.</w:t>
      </w:r>
    </w:p>
    <w:p>
      <w:pPr>
        <w:pStyle w:val="ListParagraph"/>
        <w:numPr>
          <w:ilvl w:val="0"/>
          <w:numId w:val="1"/>
        </w:numPr>
        <w:spacing w:after="80" w:line="290"/>
        <w:jc w:val="both"/>
      </w:pPr>
      <w:r>
        <w:rPr>
          <w:rFonts w:ascii="Arial" w:cs="Arial" w:eastAsia="Arial" w:hAnsi="Arial"/>
          <w:b/>
          <w:bCs/>
          <w:sz w:val="22"/>
          <w:szCs w:val="22"/>
        </w:rPr>
        <w:t xml:space="preserve">OE4. Formular</w:t>
      </w:r>
      <w:r>
        <w:rPr>
          <w:rFonts w:ascii="Arial" w:cs="Arial" w:eastAsia="Arial" w:hAnsi="Arial"/>
          <w:sz w:val="22"/>
          <w:szCs w:val="22"/>
        </w:rPr>
        <w:t xml:space="preserve"> una propuesta técnico-pedagógica de formación docente continua, flexible y contextualizada, que responda a la realidad laboral y a las brechas priorizadas, validada por juicio de expertos.</w:t>
      </w:r>
    </w:p>
    <w:p>
      <w:r>
        <w:br w:type="page"/>
      </w:r>
    </w:p>
    <w:p>
      <w:pPr>
        <w:pStyle w:val="Heading1"/>
        <w:spacing w:after="140" w:before="260"/>
      </w:pPr>
      <w:r>
        <w:rPr>
          <w:rFonts w:ascii="Arial" w:cs="Arial" w:eastAsia="Arial" w:hAnsi="Arial"/>
          <w:b/>
          <w:bCs/>
          <w:color w:val="1F3864"/>
          <w:sz w:val="28"/>
          <w:szCs w:val="28"/>
        </w:rPr>
        <w:t xml:space="preserve">3. Matriz de consistencia</w:t>
      </w:r>
    </w:p>
    <w:tbl>
      <w:tblPr>
        <w:tblW w:type="dxa" w:w="8800"/>
        <w:tblBorders>
          <w:top w:val="single" w:color="8496B0" w:sz="4"/>
          <w:left w:val="single" w:color="8496B0" w:sz="4"/>
          <w:bottom w:val="single" w:color="8496B0" w:sz="4"/>
          <w:right w:val="single" w:color="8496B0" w:sz="4"/>
          <w:insideH w:val="single" w:color="8496B0" w:sz="4"/>
          <w:insideV w:val="single" w:color="8496B0" w:sz="4"/>
        </w:tblBorders>
      </w:tblPr>
      <w:tblGrid>
        <w:gridCol w:w="1650"/>
        <w:gridCol w:w="1650"/>
        <w:gridCol w:w="2450"/>
        <w:gridCol w:w="3050"/>
      </w:tblGrid>
      <w:tr>
        <w:trPr>
          <w:tblHeader/>
        </w:trPr>
        <w:tc>
          <w:tcPr>
            <w:tcW w:type="dxa" w:w="16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Problema</w:t>
            </w:r>
          </w:p>
        </w:tc>
        <w:tc>
          <w:tcPr>
            <w:tcW w:type="dxa" w:w="16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Objetivos</w:t>
            </w:r>
          </w:p>
        </w:tc>
        <w:tc>
          <w:tcPr>
            <w:tcW w:type="dxa" w:w="24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Variables / Categoría</w:t>
            </w:r>
          </w:p>
        </w:tc>
        <w:tc>
          <w:tcPr>
            <w:tcW w:type="dxa" w:w="30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Método</w:t>
            </w:r>
          </w:p>
        </w:tc>
      </w:tr>
      <w:tr>
        <w:tc>
          <w:tcPr>
            <w:tcW w:type="dxa" w:w="1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General: ¿Cuáles son las características de las competencias pedagógicas y las necesidades de formación docente, y cómo estructurar una propuesta de capacitación para médicos de hospitales públicos de Cusco, 2026?</w:t>
            </w:r>
          </w:p>
        </w:tc>
        <w:tc>
          <w:tcPr>
            <w:tcW w:type="dxa" w:w="1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General: Explicar las competencias y necesidades formativas para diseñar una propuesta de formación docente contextualizada.</w:t>
            </w:r>
          </w:p>
        </w:tc>
        <w:tc>
          <w:tcPr>
            <w:tcW w:type="dxa" w:w="24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V1: Competencias pedagógicas (autopercibidas).</w:t>
            </w:r>
          </w:p>
          <w:p>
            <w:pPr>
              <w:spacing w:after="40" w:line="260"/>
              <w:jc w:val="left"/>
            </w:pPr>
            <w:r>
              <w:rPr>
                <w:rFonts w:ascii="Arial" w:cs="Arial" w:eastAsia="Arial" w:hAnsi="Arial"/>
                <w:b w:val="false"/>
                <w:bCs w:val="false"/>
                <w:color w:val="000000"/>
                <w:sz w:val="20"/>
                <w:szCs w:val="20"/>
              </w:rPr>
              <w:t xml:space="preserve">V2 (derivada): Necesidades de formación docente (Borich).</w:t>
            </w:r>
          </w:p>
          <w:p>
            <w:pPr>
              <w:spacing w:after="40" w:line="260"/>
              <w:jc w:val="left"/>
            </w:pPr>
            <w:r>
              <w:rPr>
                <w:rFonts w:ascii="Arial" w:cs="Arial" w:eastAsia="Arial" w:hAnsi="Arial"/>
                <w:b w:val="false"/>
                <w:bCs w:val="false"/>
                <w:color w:val="000000"/>
                <w:sz w:val="20"/>
                <w:szCs w:val="20"/>
              </w:rPr>
              <w:t xml:space="preserve">Categoría cualitativa: Realidad del ejercicio docente.</w:t>
            </w:r>
          </w:p>
          <w:p>
            <w:pPr>
              <w:spacing w:after="40" w:line="260"/>
              <w:jc w:val="left"/>
            </w:pPr>
            <w:r>
              <w:rPr>
                <w:rFonts w:ascii="Arial" w:cs="Arial" w:eastAsia="Arial" w:hAnsi="Arial"/>
                <w:b w:val="false"/>
                <w:bCs w:val="false"/>
                <w:color w:val="000000"/>
                <w:sz w:val="20"/>
                <w:szCs w:val="20"/>
              </w:rPr>
              <w:t xml:space="preserve">Producto: Propuesta de formación.</w:t>
            </w:r>
          </w:p>
        </w:tc>
        <w:tc>
          <w:tcPr>
            <w:tcW w:type="dxa" w:w="30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Enfoque: Mixto.</w:t>
            </w:r>
          </w:p>
          <w:p>
            <w:pPr>
              <w:spacing w:after="40" w:line="260"/>
              <w:jc w:val="left"/>
            </w:pPr>
            <w:r>
              <w:rPr>
                <w:rFonts w:ascii="Arial" w:cs="Arial" w:eastAsia="Arial" w:hAnsi="Arial"/>
                <w:b w:val="false"/>
                <w:bCs w:val="false"/>
                <w:color w:val="000000"/>
                <w:sz w:val="20"/>
                <w:szCs w:val="20"/>
              </w:rPr>
              <w:t xml:space="preserve">Diseño: Secuencial explicativo (DEXPLIS).</w:t>
            </w:r>
          </w:p>
          <w:p>
            <w:pPr>
              <w:spacing w:after="40" w:line="260"/>
              <w:jc w:val="left"/>
            </w:pPr>
            <w:r>
              <w:rPr>
                <w:rFonts w:ascii="Arial" w:cs="Arial" w:eastAsia="Arial" w:hAnsi="Arial"/>
                <w:b w:val="false"/>
                <w:bCs w:val="false"/>
                <w:color w:val="000000"/>
                <w:sz w:val="20"/>
                <w:szCs w:val="20"/>
              </w:rPr>
              <w:t xml:space="preserve">Tipo: Aplicada – propositiva.</w:t>
            </w:r>
          </w:p>
          <w:p>
            <w:pPr>
              <w:spacing w:after="40" w:line="260"/>
              <w:jc w:val="left"/>
            </w:pPr>
            <w:r>
              <w:rPr>
                <w:rFonts w:ascii="Arial" w:cs="Arial" w:eastAsia="Arial" w:hAnsi="Arial"/>
                <w:b w:val="false"/>
                <w:bCs w:val="false"/>
                <w:color w:val="000000"/>
                <w:sz w:val="20"/>
                <w:szCs w:val="20"/>
              </w:rPr>
              <w:t xml:space="preserve">Nivel: Descriptivo – propositivo.</w:t>
            </w:r>
          </w:p>
          <w:p>
            <w:pPr>
              <w:spacing w:after="40" w:line="260"/>
              <w:jc w:val="left"/>
            </w:pPr>
            <w:r>
              <w:rPr>
                <w:rFonts w:ascii="Arial" w:cs="Arial" w:eastAsia="Arial" w:hAnsi="Arial"/>
                <w:b w:val="false"/>
                <w:bCs w:val="false"/>
                <w:color w:val="000000"/>
                <w:sz w:val="20"/>
                <w:szCs w:val="20"/>
              </w:rPr>
              <w:t xml:space="preserve">Diseño no experimental, transversal.</w:t>
            </w:r>
          </w:p>
        </w:tc>
      </w:tr>
      <w:tr>
        <w:tc>
          <w:tcPr>
            <w:tcW w:type="dxa" w:w="1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Específicos: derivados del general (niveles, prioridades, barreras y propuesta).</w:t>
            </w:r>
          </w:p>
        </w:tc>
        <w:tc>
          <w:tcPr>
            <w:tcW w:type="dxa" w:w="1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OE1. Determinar niveles.</w:t>
            </w:r>
          </w:p>
          <w:p>
            <w:pPr>
              <w:spacing w:after="40" w:line="260"/>
              <w:jc w:val="left"/>
            </w:pPr>
            <w:r>
              <w:rPr>
                <w:rFonts w:ascii="Arial" w:cs="Arial" w:eastAsia="Arial" w:hAnsi="Arial"/>
                <w:b w:val="false"/>
                <w:bCs w:val="false"/>
                <w:color w:val="000000"/>
                <w:sz w:val="20"/>
                <w:szCs w:val="20"/>
              </w:rPr>
              <w:t xml:space="preserve">OE2. Jerarquizar necesidades (MWDS).</w:t>
            </w:r>
          </w:p>
          <w:p>
            <w:pPr>
              <w:spacing w:after="40" w:line="260"/>
              <w:jc w:val="left"/>
            </w:pPr>
            <w:r>
              <w:rPr>
                <w:rFonts w:ascii="Arial" w:cs="Arial" w:eastAsia="Arial" w:hAnsi="Arial"/>
                <w:b w:val="false"/>
                <w:bCs w:val="false"/>
                <w:color w:val="000000"/>
                <w:sz w:val="20"/>
                <w:szCs w:val="20"/>
              </w:rPr>
              <w:t xml:space="preserve">OE3. Comprender barreras.</w:t>
            </w:r>
          </w:p>
          <w:p>
            <w:pPr>
              <w:spacing w:after="40" w:line="260"/>
              <w:jc w:val="left"/>
            </w:pPr>
            <w:r>
              <w:rPr>
                <w:rFonts w:ascii="Arial" w:cs="Arial" w:eastAsia="Arial" w:hAnsi="Arial"/>
                <w:b w:val="false"/>
                <w:bCs w:val="false"/>
                <w:color w:val="000000"/>
                <w:sz w:val="20"/>
                <w:szCs w:val="20"/>
              </w:rPr>
              <w:t xml:space="preserve">OE4. Formular propuesta.</w:t>
            </w:r>
          </w:p>
        </w:tc>
        <w:tc>
          <w:tcPr>
            <w:tcW w:type="dxa" w:w="24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Dimensiones V1/V2: planificación, estrategias de enseñanza, evaluación clínica.</w:t>
            </w:r>
          </w:p>
          <w:p>
            <w:pPr>
              <w:spacing w:after="40" w:line="260"/>
              <w:jc w:val="left"/>
            </w:pPr>
            <w:r>
              <w:rPr>
                <w:rFonts w:ascii="Arial" w:cs="Arial" w:eastAsia="Arial" w:hAnsi="Arial"/>
                <w:b w:val="false"/>
                <w:bCs w:val="false"/>
                <w:color w:val="000000"/>
                <w:sz w:val="20"/>
                <w:szCs w:val="20"/>
              </w:rPr>
              <w:t xml:space="preserve">Subcategorías: tiempo/carga, cultura institucional, dinámica de tutoría.</w:t>
            </w:r>
          </w:p>
        </w:tc>
        <w:tc>
          <w:tcPr>
            <w:tcW w:type="dxa" w:w="30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Fase CUAN: encuesta a médicos.</w:t>
            </w:r>
          </w:p>
          <w:p>
            <w:pPr>
              <w:spacing w:after="40" w:line="260"/>
              <w:jc w:val="left"/>
            </w:pPr>
            <w:r>
              <w:rPr>
                <w:rFonts w:ascii="Arial" w:cs="Arial" w:eastAsia="Arial" w:hAnsi="Arial"/>
                <w:b w:val="false"/>
                <w:bCs w:val="false"/>
                <w:color w:val="000000"/>
                <w:sz w:val="20"/>
                <w:szCs w:val="20"/>
              </w:rPr>
              <w:t xml:space="preserve">Fase CUAL: entrevistas a casos con mayor brecha.</w:t>
            </w:r>
          </w:p>
          <w:p>
            <w:pPr>
              <w:spacing w:after="40" w:line="260"/>
              <w:jc w:val="left"/>
            </w:pPr>
            <w:r>
              <w:rPr>
                <w:rFonts w:ascii="Arial" w:cs="Arial" w:eastAsia="Arial" w:hAnsi="Arial"/>
                <w:b w:val="false"/>
                <w:bCs w:val="false"/>
                <w:color w:val="000000"/>
                <w:sz w:val="20"/>
                <w:szCs w:val="20"/>
              </w:rPr>
              <w:t xml:space="preserve">Integración: los hallazgos CUAL explican los MWDS y fundamentan la propuesta.</w:t>
            </w:r>
          </w:p>
        </w:tc>
      </w:tr>
    </w:tbl>
    <w:p>
      <w:r>
        <w:br w:type="page"/>
      </w:r>
    </w:p>
    <w:p>
      <w:pPr>
        <w:pStyle w:val="Heading1"/>
        <w:spacing w:after="140" w:before="260"/>
      </w:pPr>
      <w:r>
        <w:rPr>
          <w:rFonts w:ascii="Arial" w:cs="Arial" w:eastAsia="Arial" w:hAnsi="Arial"/>
          <w:b/>
          <w:bCs/>
          <w:color w:val="1F3864"/>
          <w:sz w:val="28"/>
          <w:szCs w:val="28"/>
        </w:rPr>
        <w:t xml:space="preserve">4. Matriz de operacionalización de variables (anidada)</w:t>
      </w:r>
    </w:p>
    <w:p>
      <w:pPr>
        <w:spacing w:after="120" w:line="300"/>
        <w:jc w:val="both"/>
      </w:pPr>
      <w:r>
        <w:rPr>
          <w:rFonts w:ascii="Arial" w:cs="Arial" w:eastAsia="Arial" w:hAnsi="Arial"/>
          <w:b w:val="false"/>
          <w:bCs w:val="false"/>
          <w:i/>
          <w:iCs/>
          <w:sz w:val="22"/>
          <w:szCs w:val="22"/>
        </w:rPr>
        <w:t xml:space="preserve">Estructura anidada: las competencias pedagógicas (V1) son la base de medición; las necesidades de formación (V2) se derivan matemáticamente de V1 mediante el índice de Borich (importancia percibida menos dominio autopercibido). La categoría cualitativa se levanta en la segunda fase para interpretar las brechas.</w:t>
      </w:r>
    </w:p>
    <w:tbl>
      <w:tblPr>
        <w:tblW w:type="dxa" w:w="8800"/>
        <w:tblBorders>
          <w:top w:val="single" w:color="8496B0" w:sz="4"/>
          <w:left w:val="single" w:color="8496B0" w:sz="4"/>
          <w:bottom w:val="single" w:color="8496B0" w:sz="4"/>
          <w:right w:val="single" w:color="8496B0" w:sz="4"/>
          <w:insideH w:val="single" w:color="8496B0" w:sz="4"/>
          <w:insideV w:val="single" w:color="8496B0" w:sz="4"/>
        </w:tblBorders>
      </w:tblPr>
      <w:tblGrid>
        <w:gridCol w:w="1550"/>
        <w:gridCol w:w="2050"/>
        <w:gridCol w:w="2650"/>
        <w:gridCol w:w="2550"/>
      </w:tblGrid>
      <w:tr>
        <w:trPr>
          <w:tblHeader/>
        </w:trPr>
        <w:tc>
          <w:tcPr>
            <w:tcW w:type="dxa" w:w="15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Variable / Categoría</w:t>
            </w:r>
          </w:p>
        </w:tc>
        <w:tc>
          <w:tcPr>
            <w:tcW w:type="dxa" w:w="20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Definición operacional</w:t>
            </w:r>
          </w:p>
        </w:tc>
        <w:tc>
          <w:tcPr>
            <w:tcW w:type="dxa" w:w="26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Dimensiones</w:t>
            </w:r>
          </w:p>
        </w:tc>
        <w:tc>
          <w:tcPr>
            <w:tcW w:type="dxa" w:w="255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Indicadores / Medición</w:t>
            </w:r>
          </w:p>
        </w:tc>
      </w:tr>
      <w:tr>
        <w:tc>
          <w:tcPr>
            <w:tcW w:type="dxa" w:w="1550"/>
            <w:shd w:fill="D9E2F3" w:color="auto" w:val="clear"/>
            <w:tcMar>
              <w:top w:type="dxa" w:w="60"/>
              <w:left w:type="dxa" w:w="90"/>
              <w:bottom w:type="dxa" w:w="60"/>
              <w:right w:type="dxa" w:w="90"/>
            </w:tcMar>
            <w:vAlign w:val="center"/>
          </w:tcPr>
          <w:p>
            <w:pPr>
              <w:spacing w:after="40" w:line="260"/>
              <w:jc w:val="left"/>
            </w:pPr>
            <w:r>
              <w:rPr>
                <w:rFonts w:ascii="Arial" w:cs="Arial" w:eastAsia="Arial" w:hAnsi="Arial"/>
                <w:b/>
                <w:bCs/>
                <w:color w:val="000000"/>
                <w:sz w:val="20"/>
                <w:szCs w:val="20"/>
              </w:rPr>
              <w:t xml:space="preserve">V1. Competencias pedagógicas (autopercibidas)</w:t>
            </w:r>
          </w:p>
        </w:tc>
        <w:tc>
          <w:tcPr>
            <w:tcW w:type="dxa" w:w="20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Grado de dominio que el médico se autoatribuye para planificar, enseñar y evaluar en el escenario clínico; medido por autoinforme.</w:t>
            </w:r>
          </w:p>
        </w:tc>
        <w:tc>
          <w:tcPr>
            <w:tcW w:type="dxa" w:w="2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D1. Planificación didáctica clínica</w:t>
            </w:r>
          </w:p>
          <w:p>
            <w:pPr>
              <w:spacing w:after="40" w:line="260"/>
              <w:jc w:val="left"/>
            </w:pPr>
            <w:r>
              <w:rPr>
                <w:rFonts w:ascii="Arial" w:cs="Arial" w:eastAsia="Arial" w:hAnsi="Arial"/>
                <w:b w:val="false"/>
                <w:bCs w:val="false"/>
                <w:color w:val="000000"/>
                <w:sz w:val="20"/>
                <w:szCs w:val="20"/>
              </w:rPr>
              <w:t xml:space="preserve">D2. Estrategias de enseñanza (metodologías activas / ABP)</w:t>
            </w:r>
          </w:p>
          <w:p>
            <w:pPr>
              <w:spacing w:after="40" w:line="260"/>
              <w:jc w:val="left"/>
            </w:pPr>
            <w:r>
              <w:rPr>
                <w:rFonts w:ascii="Arial" w:cs="Arial" w:eastAsia="Arial" w:hAnsi="Arial"/>
                <w:b w:val="false"/>
                <w:bCs w:val="false"/>
                <w:color w:val="000000"/>
                <w:sz w:val="20"/>
                <w:szCs w:val="20"/>
              </w:rPr>
              <w:t xml:space="preserve">D3. Evaluación del desempeño clínico (Mini-CEX, rúbricas)</w:t>
            </w:r>
          </w:p>
        </w:tc>
        <w:tc>
          <w:tcPr>
            <w:tcW w:type="dxa" w:w="25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Escala Likert de dominio (1–5) por ítem.</w:t>
            </w:r>
          </w:p>
          <w:p>
            <w:pPr>
              <w:spacing w:after="40" w:line="260"/>
              <w:jc w:val="left"/>
            </w:pPr>
            <w:r>
              <w:rPr>
                <w:rFonts w:ascii="Arial" w:cs="Arial" w:eastAsia="Arial" w:hAnsi="Arial"/>
                <w:b w:val="false"/>
                <w:bCs w:val="false"/>
                <w:color w:val="000000"/>
                <w:sz w:val="20"/>
                <w:szCs w:val="20"/>
              </w:rPr>
              <w:t xml:space="preserve">Niveles: insuficiente / mínimo / suficiente / óptimo.</w:t>
            </w:r>
          </w:p>
        </w:tc>
      </w:tr>
      <w:tr>
        <w:tc>
          <w:tcPr>
            <w:tcW w:type="dxa" w:w="1550"/>
            <w:shd w:fill="D9E2F3" w:color="auto" w:val="clear"/>
            <w:tcMar>
              <w:top w:type="dxa" w:w="60"/>
              <w:left w:type="dxa" w:w="90"/>
              <w:bottom w:type="dxa" w:w="60"/>
              <w:right w:type="dxa" w:w="90"/>
            </w:tcMar>
            <w:vAlign w:val="center"/>
          </w:tcPr>
          <w:p>
            <w:pPr>
              <w:spacing w:after="40" w:line="260"/>
              <w:jc w:val="left"/>
            </w:pPr>
            <w:r>
              <w:rPr>
                <w:rFonts w:ascii="Arial" w:cs="Arial" w:eastAsia="Arial" w:hAnsi="Arial"/>
                <w:b/>
                <w:bCs/>
                <w:color w:val="000000"/>
                <w:sz w:val="20"/>
                <w:szCs w:val="20"/>
              </w:rPr>
              <w:t xml:space="preserve">V2. Necesidades de formación docente (derivada)</w:t>
            </w:r>
          </w:p>
        </w:tc>
        <w:tc>
          <w:tcPr>
            <w:tcW w:type="dxa" w:w="20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Brecha priorizada entre la importancia atribuida y el dominio autopercibido de cada competencia, cuantificada con el Modelo de Borich.</w:t>
            </w:r>
          </w:p>
        </w:tc>
        <w:tc>
          <w:tcPr>
            <w:tcW w:type="dxa" w:w="2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Mismas áreas de V1 (planificación, enseñanza, evaluación)</w:t>
            </w:r>
          </w:p>
        </w:tc>
        <w:tc>
          <w:tcPr>
            <w:tcW w:type="dxa" w:w="25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Escala Likert de importancia (1–5) por ítem.</w:t>
            </w:r>
          </w:p>
          <w:p>
            <w:pPr>
              <w:spacing w:after="40" w:line="260"/>
              <w:jc w:val="left"/>
            </w:pPr>
            <w:r>
              <w:rPr>
                <w:rFonts w:ascii="Arial" w:cs="Arial" w:eastAsia="Arial" w:hAnsi="Arial"/>
                <w:b w:val="false"/>
                <w:bCs w:val="false"/>
                <w:color w:val="000000"/>
                <w:sz w:val="20"/>
                <w:szCs w:val="20"/>
              </w:rPr>
              <w:t xml:space="preserve">MWDS = Σ(Importancia − Dominio) × Importancia media / n.</w:t>
            </w:r>
          </w:p>
          <w:p>
            <w:pPr>
              <w:spacing w:after="40" w:line="260"/>
              <w:jc w:val="left"/>
            </w:pPr>
            <w:r>
              <w:rPr>
                <w:rFonts w:ascii="Arial" w:cs="Arial" w:eastAsia="Arial" w:hAnsi="Arial"/>
                <w:b w:val="false"/>
                <w:bCs w:val="false"/>
                <w:color w:val="000000"/>
                <w:sz w:val="20"/>
                <w:szCs w:val="20"/>
              </w:rPr>
              <w:t xml:space="preserve">Ranking de temas urgentes.</w:t>
            </w:r>
          </w:p>
        </w:tc>
      </w:tr>
      <w:tr>
        <w:tc>
          <w:tcPr>
            <w:tcW w:type="dxa" w:w="1550"/>
            <w:shd w:fill="D9E2F3" w:color="auto" w:val="clear"/>
            <w:tcMar>
              <w:top w:type="dxa" w:w="60"/>
              <w:left w:type="dxa" w:w="90"/>
              <w:bottom w:type="dxa" w:w="60"/>
              <w:right w:type="dxa" w:w="90"/>
            </w:tcMar>
            <w:vAlign w:val="center"/>
          </w:tcPr>
          <w:p>
            <w:pPr>
              <w:spacing w:after="40" w:line="260"/>
              <w:jc w:val="left"/>
            </w:pPr>
            <w:r>
              <w:rPr>
                <w:rFonts w:ascii="Arial" w:cs="Arial" w:eastAsia="Arial" w:hAnsi="Arial"/>
                <w:b/>
                <w:bCs/>
                <w:color w:val="000000"/>
                <w:sz w:val="20"/>
                <w:szCs w:val="20"/>
              </w:rPr>
              <w:t xml:space="preserve">Categoría cualitativa. Realidad del ejercicio docente</w:t>
            </w:r>
          </w:p>
        </w:tc>
        <w:tc>
          <w:tcPr>
            <w:tcW w:type="dxa" w:w="20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Significados y condiciones laborales que configuran la docencia asistencial, según la vivencia de los médicos.</w:t>
            </w:r>
          </w:p>
        </w:tc>
        <w:tc>
          <w:tcPr>
            <w:tcW w:type="dxa" w:w="26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SC1. Barreras de tiempo y carga asistencial</w:t>
            </w:r>
          </w:p>
          <w:p>
            <w:pPr>
              <w:spacing w:after="40" w:line="260"/>
              <w:jc w:val="left"/>
            </w:pPr>
            <w:r>
              <w:rPr>
                <w:rFonts w:ascii="Arial" w:cs="Arial" w:eastAsia="Arial" w:hAnsi="Arial"/>
                <w:b w:val="false"/>
                <w:bCs w:val="false"/>
                <w:color w:val="000000"/>
                <w:sz w:val="20"/>
                <w:szCs w:val="20"/>
              </w:rPr>
              <w:t xml:space="preserve">SC2. Cultura institucional</w:t>
            </w:r>
          </w:p>
          <w:p>
            <w:pPr>
              <w:spacing w:after="40" w:line="260"/>
              <w:jc w:val="left"/>
            </w:pPr>
            <w:r>
              <w:rPr>
                <w:rFonts w:ascii="Arial" w:cs="Arial" w:eastAsia="Arial" w:hAnsi="Arial"/>
                <w:b w:val="false"/>
                <w:bCs w:val="false"/>
                <w:color w:val="000000"/>
                <w:sz w:val="20"/>
                <w:szCs w:val="20"/>
              </w:rPr>
              <w:t xml:space="preserve">SC3. Dinámica de la tutoría y feedback</w:t>
            </w:r>
          </w:p>
        </w:tc>
        <w:tc>
          <w:tcPr>
            <w:tcW w:type="dxa" w:w="255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Guion de entrevista semiestructurada.</w:t>
            </w:r>
          </w:p>
          <w:p>
            <w:pPr>
              <w:spacing w:after="40" w:line="260"/>
              <w:jc w:val="left"/>
            </w:pPr>
            <w:r>
              <w:rPr>
                <w:rFonts w:ascii="Arial" w:cs="Arial" w:eastAsia="Arial" w:hAnsi="Arial"/>
                <w:b w:val="false"/>
                <w:bCs w:val="false"/>
                <w:color w:val="000000"/>
                <w:sz w:val="20"/>
                <w:szCs w:val="20"/>
              </w:rPr>
              <w:t xml:space="preserve">Análisis temático / hermenéutico.</w:t>
            </w:r>
          </w:p>
          <w:p>
            <w:pPr>
              <w:spacing w:after="40" w:line="260"/>
              <w:jc w:val="left"/>
            </w:pPr>
            <w:r>
              <w:rPr>
                <w:rFonts w:ascii="Arial" w:cs="Arial" w:eastAsia="Arial" w:hAnsi="Arial"/>
                <w:b w:val="false"/>
                <w:bCs w:val="false"/>
                <w:color w:val="000000"/>
                <w:sz w:val="20"/>
                <w:szCs w:val="20"/>
              </w:rPr>
              <w:t xml:space="preserve">Triangulación con los MWDS altos.</w:t>
            </w:r>
          </w:p>
        </w:tc>
      </w:tr>
    </w:tbl>
    <w:p>
      <w:r>
        <w:br w:type="page"/>
      </w:r>
    </w:p>
    <w:p>
      <w:pPr>
        <w:pStyle w:val="Heading1"/>
        <w:spacing w:after="140" w:before="260"/>
      </w:pPr>
      <w:r>
        <w:rPr>
          <w:rFonts w:ascii="Arial" w:cs="Arial" w:eastAsia="Arial" w:hAnsi="Arial"/>
          <w:b/>
          <w:bCs/>
          <w:color w:val="1F3864"/>
          <w:sz w:val="28"/>
          <w:szCs w:val="28"/>
        </w:rPr>
        <w:t xml:space="preserve">5. Metodología</w:t>
      </w:r>
    </w:p>
    <w:p>
      <w:pPr>
        <w:pStyle w:val="Heading2"/>
        <w:spacing w:after="100" w:before="200"/>
      </w:pPr>
      <w:r>
        <w:rPr>
          <w:rFonts w:ascii="Arial" w:cs="Arial" w:eastAsia="Arial" w:hAnsi="Arial"/>
          <w:b/>
          <w:bCs/>
          <w:color w:val="1F3864"/>
          <w:sz w:val="24"/>
          <w:szCs w:val="24"/>
        </w:rPr>
        <w:t xml:space="preserve">5.1. Enfoque, tipo y nivel</w:t>
      </w:r>
    </w:p>
    <w:p>
      <w:pPr>
        <w:spacing w:after="120" w:line="300"/>
        <w:jc w:val="both"/>
      </w:pPr>
      <w:r>
        <w:rPr>
          <w:rFonts w:ascii="Arial" w:cs="Arial" w:eastAsia="Arial" w:hAnsi="Arial"/>
          <w:b w:val="false"/>
          <w:bCs w:val="false"/>
          <w:i w:val="false"/>
          <w:iCs w:val="false"/>
          <w:sz w:val="22"/>
          <w:szCs w:val="22"/>
        </w:rPr>
        <w:t xml:space="preserve">La investigación adopta un enfoque mixto, que integra la medición cuantitativa de las competencias y necesidades con la comprensión cualitativa del contexto laboral en que se ejerce la docencia. Es de tipo aplicada, porque se orienta a resolver un problema concreto de la formación médica, y propositiva, porque culmina en el diseño de una propuesta pedagógica. El nivel es descriptivo-propositivo: describe el estado de las competencias y necesidades y, sobre esa base, propone una solución.</w:t>
      </w:r>
    </w:p>
    <w:p>
      <w:pPr>
        <w:pStyle w:val="Heading2"/>
        <w:spacing w:after="100" w:before="200"/>
      </w:pPr>
      <w:r>
        <w:rPr>
          <w:rFonts w:ascii="Arial" w:cs="Arial" w:eastAsia="Arial" w:hAnsi="Arial"/>
          <w:b/>
          <w:bCs/>
          <w:color w:val="1F3864"/>
          <w:sz w:val="24"/>
          <w:szCs w:val="24"/>
        </w:rPr>
        <w:t xml:space="preserve">5.2. Diseño: secuencial explicativo (DEXPLIS), no experimental y transversal</w:t>
      </w:r>
    </w:p>
    <w:p>
      <w:pPr>
        <w:spacing w:after="120" w:line="300"/>
        <w:jc w:val="both"/>
      </w:pPr>
      <w:r>
        <w:rPr>
          <w:rFonts w:ascii="Arial" w:cs="Arial" w:eastAsia="Arial" w:hAnsi="Arial"/>
          <w:b w:val="false"/>
          <w:bCs w:val="false"/>
          <w:i w:val="false"/>
          <w:iCs w:val="false"/>
          <w:sz w:val="22"/>
          <w:szCs w:val="22"/>
        </w:rPr>
        <w:t xml:space="preserve">El diseño es no experimental, dado que no se manipula ninguna variable: las competencias, las necesidades y las barreras se observan tal como se presentan. Es transversal, porque los datos se recogen en un único momento (2026). Dentro de lo mixto, se emplea el diseño secuencial explicativo (DEXPLIS): primero se ejecuta la fase cuantitativa y, a partir de sus resultados —en particular las brechas más altas del Modelo de Borich—, se diseña e implementa la fase cualitativa que explica el porqué de esas prioridades. La integración de ambas fases fundamenta el producto propositivo.</w:t>
      </w:r>
    </w:p>
    <w:p>
      <w:pPr>
        <w:pStyle w:val="Heading2"/>
        <w:spacing w:after="100" w:before="200"/>
      </w:pPr>
      <w:r>
        <w:rPr>
          <w:rFonts w:ascii="Arial" w:cs="Arial" w:eastAsia="Arial" w:hAnsi="Arial"/>
          <w:b/>
          <w:bCs/>
          <w:color w:val="1F3864"/>
          <w:sz w:val="24"/>
          <w:szCs w:val="24"/>
        </w:rPr>
        <w:t xml:space="preserve">5.3. Fases del procedimiento</w:t>
      </w:r>
    </w:p>
    <w:p>
      <w:pPr>
        <w:pStyle w:val="ListParagraph"/>
        <w:numPr>
          <w:ilvl w:val="0"/>
          <w:numId w:val="1"/>
        </w:numPr>
        <w:spacing w:after="80" w:line="290"/>
        <w:jc w:val="both"/>
      </w:pPr>
      <w:r>
        <w:rPr>
          <w:rFonts w:ascii="Arial" w:cs="Arial" w:eastAsia="Arial" w:hAnsi="Arial"/>
          <w:b/>
          <w:bCs/>
          <w:sz w:val="22"/>
          <w:szCs w:val="22"/>
        </w:rPr>
        <w:t xml:space="preserve">Fase 1 (CUAN): </w:t>
      </w:r>
      <w:r>
        <w:rPr>
          <w:rFonts w:ascii="Arial" w:cs="Arial" w:eastAsia="Arial" w:hAnsi="Arial"/>
          <w:sz w:val="22"/>
          <w:szCs w:val="22"/>
        </w:rPr>
        <w:t xml:space="preserve"> aplicación del cuestionario de competencias y necesidades formativas (importancia y dominio) a la muestra de médicos; cálculo de niveles de autopercepción y del MWDS de Borich para jerarquizar los temas urgentes.</w:t>
      </w:r>
    </w:p>
    <w:p>
      <w:pPr>
        <w:pStyle w:val="ListParagraph"/>
        <w:numPr>
          <w:ilvl w:val="0"/>
          <w:numId w:val="1"/>
        </w:numPr>
        <w:spacing w:after="80" w:line="290"/>
        <w:jc w:val="both"/>
      </w:pPr>
      <w:r>
        <w:rPr>
          <w:rFonts w:ascii="Arial" w:cs="Arial" w:eastAsia="Arial" w:hAnsi="Arial"/>
          <w:b/>
          <w:bCs/>
          <w:sz w:val="22"/>
          <w:szCs w:val="22"/>
        </w:rPr>
        <w:t xml:space="preserve">Fase 2 (CUAL): </w:t>
      </w:r>
      <w:r>
        <w:rPr>
          <w:rFonts w:ascii="Arial" w:cs="Arial" w:eastAsia="Arial" w:hAnsi="Arial"/>
          <w:sz w:val="22"/>
          <w:szCs w:val="22"/>
        </w:rPr>
        <w:t xml:space="preserve"> selección intencional de médicos entre los casos con mayor discrepancia; entrevistas semiestructuradas sobre barreras y dinámica docente; análisis temático que interpreta los resultados cuantitativos.</w:t>
      </w:r>
    </w:p>
    <w:p>
      <w:pPr>
        <w:pStyle w:val="ListParagraph"/>
        <w:numPr>
          <w:ilvl w:val="0"/>
          <w:numId w:val="1"/>
        </w:numPr>
        <w:spacing w:after="80" w:line="290"/>
        <w:jc w:val="both"/>
      </w:pPr>
      <w:r>
        <w:rPr>
          <w:rFonts w:ascii="Arial" w:cs="Arial" w:eastAsia="Arial" w:hAnsi="Arial"/>
          <w:b/>
          <w:bCs/>
          <w:sz w:val="22"/>
          <w:szCs w:val="22"/>
        </w:rPr>
        <w:t xml:space="preserve">Fase 3 (Integración y propuesta): </w:t>
      </w:r>
      <w:r>
        <w:rPr>
          <w:rFonts w:ascii="Arial" w:cs="Arial" w:eastAsia="Arial" w:hAnsi="Arial"/>
          <w:sz w:val="22"/>
          <w:szCs w:val="22"/>
        </w:rPr>
        <w:t xml:space="preserve"> triangulación de hallazgos y diseño de la propuesta de formación docente contextualizada, sometida a validación por juicio de expertos.</w:t>
      </w:r>
    </w:p>
    <w:p>
      <w:pPr>
        <w:pStyle w:val="Heading2"/>
        <w:spacing w:after="100" w:before="200"/>
      </w:pPr>
      <w:r>
        <w:rPr>
          <w:rFonts w:ascii="Arial" w:cs="Arial" w:eastAsia="Arial" w:hAnsi="Arial"/>
          <w:b/>
          <w:bCs/>
          <w:color w:val="1F3864"/>
          <w:sz w:val="24"/>
          <w:szCs w:val="24"/>
        </w:rPr>
        <w:t xml:space="preserve">5.4. Población y muestra</w:t>
      </w:r>
    </w:p>
    <w:p>
      <w:pPr>
        <w:spacing w:after="120" w:line="300"/>
        <w:jc w:val="both"/>
      </w:pPr>
      <w:r>
        <w:rPr>
          <w:rFonts w:ascii="Arial" w:cs="Arial" w:eastAsia="Arial" w:hAnsi="Arial"/>
          <w:b w:val="false"/>
          <w:bCs w:val="false"/>
          <w:i w:val="false"/>
          <w:iCs w:val="false"/>
          <w:sz w:val="22"/>
          <w:szCs w:val="22"/>
        </w:rPr>
        <w:t xml:space="preserve">La población está conformada por los médicos especialistas que ejercen docencia asistencial (tutoría de internos y residentes) en los hospitales públicos de la región Cusco. Para la fase cuantitativa se empleará un muestreo probabilístico o censal según el tamaño accesible; para la fase cualitativa, un muestreo intencional por criterio, seleccionando informantes entre los casos con mayores brechas de Borich, hasta alcanzar saturación teórica.</w:t>
      </w:r>
    </w:p>
    <w:p>
      <w:pPr>
        <w:pStyle w:val="Heading2"/>
        <w:spacing w:after="100" w:before="200"/>
      </w:pPr>
      <w:r>
        <w:rPr>
          <w:rFonts w:ascii="Arial" w:cs="Arial" w:eastAsia="Arial" w:hAnsi="Arial"/>
          <w:b/>
          <w:bCs/>
          <w:color w:val="1F3864"/>
          <w:sz w:val="24"/>
          <w:szCs w:val="24"/>
        </w:rPr>
        <w:t xml:space="preserve">5.5. Técnicas e instrumentos</w:t>
      </w:r>
    </w:p>
    <w:tbl>
      <w:tblPr>
        <w:tblW w:type="dxa" w:w="8800"/>
        <w:tblBorders>
          <w:top w:val="single" w:color="8496B0" w:sz="4"/>
          <w:left w:val="single" w:color="8496B0" w:sz="4"/>
          <w:bottom w:val="single" w:color="8496B0" w:sz="4"/>
          <w:right w:val="single" w:color="8496B0" w:sz="4"/>
          <w:insideH w:val="single" w:color="8496B0" w:sz="4"/>
          <w:insideV w:val="single" w:color="8496B0" w:sz="4"/>
        </w:tblBorders>
      </w:tblPr>
      <w:tblGrid>
        <w:gridCol w:w="2100"/>
        <w:gridCol w:w="2100"/>
        <w:gridCol w:w="4600"/>
      </w:tblGrid>
      <w:tr>
        <w:trPr>
          <w:tblHeader/>
        </w:trPr>
        <w:tc>
          <w:tcPr>
            <w:tcW w:type="dxa" w:w="210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Fase</w:t>
            </w:r>
          </w:p>
        </w:tc>
        <w:tc>
          <w:tcPr>
            <w:tcW w:type="dxa" w:w="210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Técnica</w:t>
            </w:r>
          </w:p>
        </w:tc>
        <w:tc>
          <w:tcPr>
            <w:tcW w:type="dxa" w:w="4600"/>
            <w:shd w:fill="1F3864" w:color="auto" w:val="clear"/>
            <w:tcMar>
              <w:top w:type="dxa" w:w="60"/>
              <w:left w:type="dxa" w:w="90"/>
              <w:bottom w:type="dxa" w:w="60"/>
              <w:right w:type="dxa" w:w="90"/>
            </w:tcMar>
            <w:vAlign w:val="center"/>
          </w:tcPr>
          <w:p>
            <w:pPr>
              <w:spacing w:after="40" w:line="260"/>
              <w:jc w:val="center"/>
            </w:pPr>
            <w:r>
              <w:rPr>
                <w:rFonts w:ascii="Arial" w:cs="Arial" w:eastAsia="Arial" w:hAnsi="Arial"/>
                <w:b/>
                <w:bCs/>
                <w:color w:val="FFFFFF"/>
                <w:sz w:val="20"/>
                <w:szCs w:val="20"/>
              </w:rPr>
              <w:t xml:space="preserve">Instrumento y validación</w:t>
            </w:r>
          </w:p>
        </w:tc>
      </w:tr>
      <w:tr>
        <w:tc>
          <w:tcPr>
            <w:tcW w:type="dxa" w:w="21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CUAN</w:t>
            </w:r>
          </w:p>
        </w:tc>
        <w:tc>
          <w:tcPr>
            <w:tcW w:type="dxa" w:w="21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Encuesta</w:t>
            </w:r>
          </w:p>
        </w:tc>
        <w:tc>
          <w:tcPr>
            <w:tcW w:type="dxa" w:w="46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Cuestionario de competencias pedagógicas y necesidades formativas (doble escala Likert: importancia y dominio). Validez por juicio de expertos; confiabilidad por alfa de Cronbach.</w:t>
            </w:r>
          </w:p>
        </w:tc>
      </w:tr>
      <w:tr>
        <w:tc>
          <w:tcPr>
            <w:tcW w:type="dxa" w:w="21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CUAL</w:t>
            </w:r>
          </w:p>
        </w:tc>
        <w:tc>
          <w:tcPr>
            <w:tcW w:type="dxa" w:w="21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Entrevista</w:t>
            </w:r>
          </w:p>
        </w:tc>
        <w:tc>
          <w:tcPr>
            <w:tcW w:type="dxa" w:w="46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Guion de entrevista semiestructurada. Rigor por credibilidad, triangulación y auditoría.</w:t>
            </w:r>
          </w:p>
        </w:tc>
      </w:tr>
      <w:tr>
        <w:tc>
          <w:tcPr>
            <w:tcW w:type="dxa" w:w="21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Propuesta</w:t>
            </w:r>
          </w:p>
        </w:tc>
        <w:tc>
          <w:tcPr>
            <w:tcW w:type="dxa" w:w="21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Análisis documental</w:t>
            </w:r>
          </w:p>
        </w:tc>
        <w:tc>
          <w:tcPr>
            <w:tcW w:type="dxa" w:w="4600"/>
            <w:tcMar>
              <w:top w:type="dxa" w:w="60"/>
              <w:left w:type="dxa" w:w="90"/>
              <w:bottom w:type="dxa" w:w="60"/>
              <w:right w:type="dxa" w:w="90"/>
            </w:tcMar>
            <w:vAlign w:val="center"/>
          </w:tcPr>
          <w:p>
            <w:pPr>
              <w:spacing w:after="40" w:line="260"/>
              <w:jc w:val="left"/>
            </w:pPr>
            <w:r>
              <w:rPr>
                <w:rFonts w:ascii="Arial" w:cs="Arial" w:eastAsia="Arial" w:hAnsi="Arial"/>
                <w:b w:val="false"/>
                <w:bCs w:val="false"/>
                <w:color w:val="000000"/>
                <w:sz w:val="20"/>
                <w:szCs w:val="20"/>
              </w:rPr>
              <w:t xml:space="preserve">Ficha de validación por juicio de expertos del diseño de la propuesta.</w:t>
            </w:r>
          </w:p>
        </w:tc>
      </w:tr>
    </w:tbl>
    <w:p>
      <w:pPr>
        <w:spacing w:after="60"/>
      </w:pPr>
    </w:p>
    <w:p>
      <w:pPr>
        <w:pStyle w:val="Heading2"/>
        <w:spacing w:after="100" w:before="200"/>
      </w:pPr>
      <w:r>
        <w:rPr>
          <w:rFonts w:ascii="Arial" w:cs="Arial" w:eastAsia="Arial" w:hAnsi="Arial"/>
          <w:b/>
          <w:bCs/>
          <w:color w:val="1F3864"/>
          <w:sz w:val="24"/>
          <w:szCs w:val="24"/>
        </w:rPr>
        <w:t xml:space="preserve">5.6. Métodos de análisis de datos</w:t>
      </w:r>
    </w:p>
    <w:p>
      <w:pPr>
        <w:spacing w:after="120" w:line="300"/>
        <w:jc w:val="both"/>
      </w:pPr>
      <w:r>
        <w:rPr>
          <w:rFonts w:ascii="Arial" w:cs="Arial" w:eastAsia="Arial" w:hAnsi="Arial"/>
          <w:b w:val="false"/>
          <w:bCs w:val="false"/>
          <w:i w:val="false"/>
          <w:iCs w:val="false"/>
          <w:sz w:val="22"/>
          <w:szCs w:val="22"/>
        </w:rPr>
        <w:t xml:space="preserve">Los datos cuantitativos se procesarán con estadística descriptiva (frecuencias, medias, niveles) y con el cálculo del índice de discrepancia media ponderada (MWDS) de Borich para ordenar las necesidades. Los datos cualitativos se analizarán mediante análisis temático (codificación, categorización), apoyado en software cualitativo. Finalmente, ambos conjuntos se integran para explicar los resultados y sustentar la propuesta.</w:t>
      </w:r>
    </w:p>
    <w:p>
      <w:pPr>
        <w:pStyle w:val="Heading2"/>
        <w:spacing w:after="100" w:before="200"/>
      </w:pPr>
      <w:r>
        <w:rPr>
          <w:rFonts w:ascii="Arial" w:cs="Arial" w:eastAsia="Arial" w:hAnsi="Arial"/>
          <w:b/>
          <w:bCs/>
          <w:color w:val="1F3864"/>
          <w:sz w:val="24"/>
          <w:szCs w:val="24"/>
        </w:rPr>
        <w:t xml:space="preserve">5.7. Aspectos éticos</w:t>
      </w:r>
    </w:p>
    <w:p>
      <w:pPr>
        <w:spacing w:after="120" w:line="300"/>
        <w:jc w:val="both"/>
      </w:pPr>
      <w:r>
        <w:rPr>
          <w:rFonts w:ascii="Arial" w:cs="Arial" w:eastAsia="Arial" w:hAnsi="Arial"/>
          <w:b w:val="false"/>
          <w:bCs w:val="false"/>
          <w:i w:val="false"/>
          <w:iCs w:val="false"/>
          <w:sz w:val="22"/>
          <w:szCs w:val="22"/>
        </w:rPr>
        <w:t xml:space="preserve">Se garantizará el consentimiento informado, la confidencialidad y el anonimato de los participantes, el uso exclusivamente académico de la información y el respeto a los principios de beneficencia, autonomía y justicia, conforme a los lineamientos de la Universidad César Vallejo.</w:t>
      </w:r>
    </w:p>
    <w:p>
      <w:r>
        <w:br w:type="page"/>
      </w:r>
    </w:p>
    <w:p>
      <w:pPr>
        <w:pStyle w:val="Heading1"/>
        <w:spacing w:after="140" w:before="260"/>
      </w:pPr>
      <w:r>
        <w:rPr>
          <w:rFonts w:ascii="Arial" w:cs="Arial" w:eastAsia="Arial" w:hAnsi="Arial"/>
          <w:b/>
          <w:bCs/>
          <w:color w:val="1F3864"/>
          <w:sz w:val="28"/>
          <w:szCs w:val="28"/>
        </w:rPr>
        <w:t xml:space="preserve">6. Esquema de la propuesta</w:t>
      </w:r>
    </w:p>
    <w:p>
      <w:pPr>
        <w:pStyle w:val="Heading2"/>
        <w:spacing w:after="100" w:before="200"/>
      </w:pPr>
      <w:r>
        <w:rPr>
          <w:rFonts w:ascii="Arial" w:cs="Arial" w:eastAsia="Arial" w:hAnsi="Arial"/>
          <w:b/>
          <w:bCs/>
          <w:color w:val="1F3864"/>
          <w:sz w:val="24"/>
          <w:szCs w:val="24"/>
        </w:rPr>
        <w:t xml:space="preserve">Denominación</w:t>
      </w:r>
    </w:p>
    <w:p>
      <w:pPr>
        <w:spacing w:after="120" w:line="300"/>
        <w:jc w:val="both"/>
      </w:pPr>
      <w:r>
        <w:rPr>
          <w:rFonts w:ascii="Arial" w:cs="Arial" w:eastAsia="Arial" w:hAnsi="Arial"/>
          <w:b/>
          <w:bCs/>
          <w:i w:val="false"/>
          <w:iCs w:val="false"/>
          <w:sz w:val="22"/>
          <w:szCs w:val="22"/>
        </w:rPr>
        <w:t xml:space="preserve">Modelo de Mentoría Clínica como Mapa Curricular: programa de formación docente contextualizado para el médico de hospitales públicos de Cusco.</w:t>
      </w:r>
    </w:p>
    <w:p>
      <w:pPr>
        <w:pStyle w:val="Heading2"/>
        <w:spacing w:after="100" w:before="200"/>
      </w:pPr>
      <w:r>
        <w:rPr>
          <w:rFonts w:ascii="Arial" w:cs="Arial" w:eastAsia="Arial" w:hAnsi="Arial"/>
          <w:b/>
          <w:bCs/>
          <w:color w:val="1F3864"/>
          <w:sz w:val="24"/>
          <w:szCs w:val="24"/>
        </w:rPr>
        <w:t xml:space="preserve">Fundamento</w:t>
      </w:r>
    </w:p>
    <w:p>
      <w:pPr>
        <w:spacing w:after="120" w:line="300"/>
        <w:jc w:val="both"/>
      </w:pPr>
      <w:r>
        <w:rPr>
          <w:rFonts w:ascii="Arial" w:cs="Arial" w:eastAsia="Arial" w:hAnsi="Arial"/>
          <w:b w:val="false"/>
          <w:bCs w:val="false"/>
          <w:i w:val="false"/>
          <w:iCs w:val="false"/>
          <w:sz w:val="22"/>
          <w:szCs w:val="22"/>
        </w:rPr>
        <w:t xml:space="preserve">La propuesta no añade un curso teórico que sobrecargue al médico; instrumentaliza la práctica hospitalaria diaria (rotaciones y guardias) como escenario formativo. Empaqueta los procesos de planificación, andragogía y evaluación objetiva (Mini-CEX) dentro del propio trabajo asistencial, atacando la barrera de tiempo identificada como causa raíz.</w:t>
      </w:r>
    </w:p>
    <w:p>
      <w:pPr>
        <w:pStyle w:val="Heading2"/>
        <w:spacing w:after="100" w:before="200"/>
      </w:pPr>
      <w:r>
        <w:rPr>
          <w:rFonts w:ascii="Arial" w:cs="Arial" w:eastAsia="Arial" w:hAnsi="Arial"/>
          <w:b/>
          <w:bCs/>
          <w:color w:val="1F3864"/>
          <w:sz w:val="24"/>
          <w:szCs w:val="24"/>
        </w:rPr>
        <w:t xml:space="preserve">Estructura modular</w:t>
      </w:r>
    </w:p>
    <w:p>
      <w:pPr>
        <w:pStyle w:val="ListParagraph"/>
        <w:numPr>
          <w:ilvl w:val="0"/>
          <w:numId w:val="1"/>
        </w:numPr>
        <w:spacing w:after="80" w:line="290"/>
        <w:jc w:val="both"/>
      </w:pPr>
      <w:r>
        <w:rPr>
          <w:rFonts w:ascii="Arial" w:cs="Arial" w:eastAsia="Arial" w:hAnsi="Arial"/>
          <w:b/>
          <w:bCs/>
          <w:sz w:val="22"/>
          <w:szCs w:val="22"/>
        </w:rPr>
        <w:t xml:space="preserve">Módulo 1 — Diseño didáctico clínico:</w:t>
      </w:r>
      <w:r>
        <w:rPr>
          <w:rFonts w:ascii="Arial" w:cs="Arial" w:eastAsia="Arial" w:hAnsi="Arial"/>
          <w:sz w:val="22"/>
          <w:szCs w:val="22"/>
        </w:rPr>
        <w:t xml:space="preserve"> planificación del sílabo clínico y objetivos de rotación.</w:t>
      </w:r>
    </w:p>
    <w:p>
      <w:pPr>
        <w:pStyle w:val="ListParagraph"/>
        <w:numPr>
          <w:ilvl w:val="0"/>
          <w:numId w:val="1"/>
        </w:numPr>
        <w:spacing w:after="80" w:line="290"/>
        <w:jc w:val="both"/>
      </w:pPr>
      <w:r>
        <w:rPr>
          <w:rFonts w:ascii="Arial" w:cs="Arial" w:eastAsia="Arial" w:hAnsi="Arial"/>
          <w:b/>
          <w:bCs/>
          <w:sz w:val="22"/>
          <w:szCs w:val="22"/>
        </w:rPr>
        <w:t xml:space="preserve">Módulo 2 — Enseñanza activa:</w:t>
      </w:r>
      <w:r>
        <w:rPr>
          <w:rFonts w:ascii="Arial" w:cs="Arial" w:eastAsia="Arial" w:hAnsi="Arial"/>
          <w:sz w:val="22"/>
          <w:szCs w:val="22"/>
        </w:rPr>
        <w:t xml:space="preserve"> metodologías activas y aprendizaje basado en problemas al pie de la cama.</w:t>
      </w:r>
    </w:p>
    <w:p>
      <w:pPr>
        <w:pStyle w:val="ListParagraph"/>
        <w:numPr>
          <w:ilvl w:val="0"/>
          <w:numId w:val="1"/>
        </w:numPr>
        <w:spacing w:after="80" w:line="290"/>
        <w:jc w:val="both"/>
      </w:pPr>
      <w:r>
        <w:rPr>
          <w:rFonts w:ascii="Arial" w:cs="Arial" w:eastAsia="Arial" w:hAnsi="Arial"/>
          <w:b/>
          <w:bCs/>
          <w:sz w:val="22"/>
          <w:szCs w:val="22"/>
        </w:rPr>
        <w:t xml:space="preserve">Módulo 3 — Evaluación objetiva y feedback:</w:t>
      </w:r>
      <w:r>
        <w:rPr>
          <w:rFonts w:ascii="Arial" w:cs="Arial" w:eastAsia="Arial" w:hAnsi="Arial"/>
          <w:sz w:val="22"/>
          <w:szCs w:val="22"/>
        </w:rPr>
        <w:t xml:space="preserve"> uso del Mini-CEX, rúbricas y retroalimentación asertiva.</w:t>
      </w:r>
    </w:p>
    <w:p>
      <w:pPr>
        <w:pStyle w:val="ListParagraph"/>
        <w:numPr>
          <w:ilvl w:val="0"/>
          <w:numId w:val="1"/>
        </w:numPr>
        <w:spacing w:after="80" w:line="290"/>
        <w:jc w:val="both"/>
      </w:pPr>
      <w:r>
        <w:rPr>
          <w:rFonts w:ascii="Arial" w:cs="Arial" w:eastAsia="Arial" w:hAnsi="Arial"/>
          <w:b/>
          <w:bCs/>
          <w:sz w:val="22"/>
          <w:szCs w:val="22"/>
        </w:rPr>
        <w:t xml:space="preserve">Módulo 4 — Mentoría y mejora continua:</w:t>
      </w:r>
      <w:r>
        <w:rPr>
          <w:rFonts w:ascii="Arial" w:cs="Arial" w:eastAsia="Arial" w:hAnsi="Arial"/>
          <w:sz w:val="22"/>
          <w:szCs w:val="22"/>
        </w:rPr>
        <w:t xml:space="preserve"> acompañamiento entre pares y sostenibilidad del modelo.</w:t>
      </w:r>
    </w:p>
    <w:p>
      <w:pPr>
        <w:spacing w:after="120" w:line="300"/>
        <w:jc w:val="both"/>
      </w:pPr>
      <w:r>
        <w:rPr>
          <w:rFonts w:ascii="Arial" w:cs="Arial" w:eastAsia="Arial" w:hAnsi="Arial"/>
          <w:b w:val="false"/>
          <w:bCs w:val="false"/>
          <w:i/>
          <w:iCs/>
          <w:sz w:val="22"/>
          <w:szCs w:val="22"/>
        </w:rPr>
        <w:t xml:space="preserve">Los módulos se priorizarán según el ranking de necesidades obtenido con Borich, de modo que la formación responda a las brechas reales de los médicos de Cusco. La validación se realizará por juicio de expertos antes de su eventual implementación.</w:t>
      </w:r>
    </w:p>
    <w:sectPr>
      <w:pgSz w:w="12240" w:h="15840"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MADU</dc:creator>
  <cp:lastModifiedBy>Un-named</cp:lastModifiedBy>
  <cp:revision>1</cp:revision>
  <dcterms:created xsi:type="dcterms:W3CDTF">2026-09-06T01:04:33.705Z</dcterms:created>
  <dcterms:modified xsi:type="dcterms:W3CDTF">2026-09-06T01:04:33.718Z</dcterms:modified>
</cp:coreProperties>
</file>

<file path=docProps/custom.xml><?xml version="1.0" encoding="utf-8"?>
<Properties xmlns="http://schemas.openxmlformats.org/officeDocument/2006/custom-properties" xmlns:vt="http://schemas.openxmlformats.org/officeDocument/2006/docPropsVTypes"/>
</file>