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A FRAMEWORK AND HISTORY</w:t>
      </w:r>
    </w:p>
    <w:p>
      <w:pPr>
        <w:pStyle w:val="Title"/>
      </w:pPr>
      <w:r>
        <w:t xml:space="preserve">NOT THIS YEAR</w:t>
      </w:r>
    </w:p>
    <w:p>
      <w:pPr>
        <w:pStyle w:val="Subtitle"/>
      </w:pPr>
      <w:r>
        <w:t xml:space="preserve">Money, War Risk, and the Episodes That Did — and Did Not — Break, 1905–2026</w:t>
      </w:r>
    </w:p>
    <w:p>
      <w:r>
        <w:rPr>
          <w:b/>
        </w:rPr>
        <w:t xml:space="preserve">Philip Carls</w:t>
      </w:r>
    </w:p>
    <w:p>
      <w:r>
        <w:t xml:space="preserve">2026</w:t>
      </w:r>
    </w:p>
    <w:p>
      <w:pPr>
        <w:pStyle w:val="Heading1"/>
        <w:pageBreakBefore/>
      </w:pPr>
      <w:r>
        <w:t xml:space="preserve">Contents</w:t>
      </w:r>
    </w:p>
    <w:p>
      <w:r>
        <w:rPr>
          <w:b/>
        </w:rPr>
        <w:t xml:space="preserve">Part I — Not This Year: The Pre-1914 Argument</w:t>
      </w:r>
    </w:p>
    <w:p>
      <w:pPr>
        <w:pStyle w:val="ListParagraph"/>
        <w:ind w:left="360" w:hanging="360"/>
      </w:pPr>
      <w:r>
        <w:t xml:space="preserve">•  </w:t>
      </w:r>
      <w:r>
        <w:t xml:space="preserve">Russia, 1905 — the alliance as an asset</w:t>
      </w:r>
    </w:p>
    <w:p>
      <w:pPr>
        <w:pStyle w:val="ListParagraph"/>
        <w:ind w:left="360" w:hanging="360"/>
      </w:pPr>
      <w:r>
        <w:t xml:space="preserve">•  </w:t>
      </w:r>
      <w:r>
        <w:t xml:space="preserve">Bosnia, 1908–09 — the empty treasury</w:t>
      </w:r>
    </w:p>
    <w:p>
      <w:pPr>
        <w:pStyle w:val="ListParagraph"/>
        <w:ind w:left="360" w:hanging="360"/>
      </w:pPr>
      <w:r>
        <w:t xml:space="preserve">•  </w:t>
      </w:r>
      <w:r>
        <w:t xml:space="preserve">Agadir, 1911 — the squeeze</w:t>
      </w:r>
    </w:p>
    <w:p>
      <w:pPr>
        <w:pStyle w:val="ListParagraph"/>
        <w:ind w:left="360" w:hanging="360"/>
      </w:pPr>
      <w:r>
        <w:t xml:space="preserve">•  </w:t>
      </w:r>
      <w:r>
        <w:t xml:space="preserve">The Balkans, 1912–13 — where the money actually bit</w:t>
      </w:r>
    </w:p>
    <w:p>
      <w:pPr>
        <w:pStyle w:val="ListParagraph"/>
        <w:ind w:left="360" w:hanging="360"/>
      </w:pPr>
      <w:r>
        <w:t xml:space="preserve">•  </w:t>
      </w:r>
      <w:r>
        <w:t xml:space="preserve">July 1914 — the question nobody asked</w:t>
      </w:r>
    </w:p>
    <w:p>
      <w:r>
        <w:rPr>
          <w:b/>
        </w:rPr>
        <w:t xml:space="preserve">Part II — The Later Risk Episodes, 1938–2026</w:t>
      </w:r>
    </w:p>
    <w:p>
      <w:pPr>
        <w:pStyle w:val="ListParagraph"/>
        <w:ind w:left="360" w:hanging="360"/>
      </w:pPr>
      <w:r>
        <w:t xml:space="preserve">•  </w:t>
      </w:r>
      <w:r>
        <w:t xml:space="preserve">The Modern Arc — Companion</w:t>
      </w:r>
    </w:p>
    <w:p>
      <w:pPr>
        <w:pStyle w:val="ListParagraph"/>
        <w:ind w:left="360" w:hanging="360"/>
      </w:pPr>
      <w:r>
        <w:t xml:space="preserve">•  </w:t>
      </w:r>
      <w:r>
        <w:t xml:space="preserve">Munich, 1938</w:t>
      </w:r>
    </w:p>
    <w:p>
      <w:pPr>
        <w:pStyle w:val="ListParagraph"/>
        <w:ind w:left="360" w:hanging="360"/>
      </w:pPr>
      <w:r>
        <w:t xml:space="preserve">•  </w:t>
      </w:r>
      <w:r>
        <w:t xml:space="preserve">The Outbreak of WWII, 1939–1940</w:t>
      </w:r>
    </w:p>
    <w:p>
      <w:pPr>
        <w:pStyle w:val="ListParagraph"/>
        <w:ind w:left="360" w:hanging="360"/>
      </w:pPr>
      <w:r>
        <w:t xml:space="preserve">•  </w:t>
      </w:r>
      <w:r>
        <w:t xml:space="preserve">Pearl Harbor &amp; the 1941 Freeze</w:t>
      </w:r>
    </w:p>
    <w:p>
      <w:pPr>
        <w:pStyle w:val="ListParagraph"/>
        <w:ind w:left="360" w:hanging="360"/>
      </w:pPr>
      <w:r>
        <w:t xml:space="preserve">•  </w:t>
      </w:r>
      <w:r>
        <w:t xml:space="preserve">The Berlin Airlift, 1948</w:t>
      </w:r>
    </w:p>
    <w:p>
      <w:pPr>
        <w:pStyle w:val="ListParagraph"/>
        <w:ind w:left="360" w:hanging="360"/>
      </w:pPr>
      <w:r>
        <w:t xml:space="preserve">•  </w:t>
      </w:r>
      <w:r>
        <w:t xml:space="preserve">Korea, 1950</w:t>
      </w:r>
    </w:p>
    <w:p>
      <w:pPr>
        <w:pStyle w:val="ListParagraph"/>
        <w:ind w:left="360" w:hanging="360"/>
      </w:pPr>
      <w:r>
        <w:t xml:space="preserve">•  </w:t>
      </w:r>
      <w:r>
        <w:t xml:space="preserve">Suez, 1956</w:t>
      </w:r>
    </w:p>
    <w:p>
      <w:pPr>
        <w:pStyle w:val="ListParagraph"/>
        <w:ind w:left="360" w:hanging="360"/>
      </w:pPr>
      <w:r>
        <w:t xml:space="preserve">•  </w:t>
      </w:r>
      <w:r>
        <w:t xml:space="preserve">Cuba &amp; Berlin — the Nuclear Limits, 1961–62</w:t>
      </w:r>
    </w:p>
    <w:p>
      <w:pPr>
        <w:pStyle w:val="ListParagraph"/>
        <w:ind w:left="360" w:hanging="360"/>
      </w:pPr>
      <w:r>
        <w:t xml:space="preserve">•  </w:t>
      </w:r>
      <w:r>
        <w:t xml:space="preserve">The Gulf Wars, 1991 &amp; 2003</w:t>
      </w:r>
    </w:p>
    <w:p>
      <w:pPr>
        <w:pStyle w:val="ListParagraph"/>
        <w:ind w:left="360" w:hanging="360"/>
      </w:pPr>
      <w:r>
        <w:t xml:space="preserve">•  </w:t>
      </w:r>
      <w:r>
        <w:t xml:space="preserve">Russia–Ukraine, 2022</w:t>
      </w:r>
    </w:p>
    <w:p>
      <w:pPr>
        <w:pStyle w:val="ListParagraph"/>
        <w:ind w:left="360" w:hanging="360"/>
      </w:pPr>
      <w:r>
        <w:t xml:space="preserve">•  </w:t>
      </w:r>
      <w:r>
        <w:t xml:space="preserve">Iran, 2025–26 — the Prediction-Market Era</w:t>
      </w:r>
    </w:p>
    <w:p>
      <w:pPr>
        <w:pStyle w:val="ListParagraph"/>
        <w:ind w:left="360" w:hanging="360"/>
      </w:pPr>
      <w:r>
        <w:t xml:space="preserve">•  </w:t>
      </w:r>
      <w:r>
        <w:t xml:space="preserve">Note on Contemporaneous Sources</w:t>
      </w:r>
    </w:p>
    <w:p>
      <w:pPr>
        <w:pStyle w:val="ListParagraph"/>
        <w:ind w:left="360" w:hanging="360"/>
      </w:pPr>
      <w:r>
        <w:t xml:space="preserve">•  </w:t>
      </w:r>
      <w:r>
        <w:t xml:space="preserve">Synthesis &amp; Lessons</w:t>
      </w:r>
    </w:p>
    <w:p>
      <w:pPr>
        <w:pStyle w:val="Heading1"/>
        <w:pageBreakBefore/>
      </w:pPr>
      <w:r>
        <w:t xml:space="preserve">About this volume</w:t>
      </w:r>
    </w:p>
    <w:p>
      <w:r>
        <w:t xml:space="preserve">This volume collects two bodies of work. </w:t>
      </w:r>
      <w:r>
        <w:rPr>
          <w:b/>
        </w:rPr>
        <w:t xml:space="preserve">Part I</w:t>
      </w:r>
      <w:r>
        <w:t xml:space="preserve"> is </w:t>
      </w:r>
      <w:r>
        <w:rPr>
          <w:i/>
        </w:rPr>
        <w:t xml:space="preserve">Not This Year</w:t>
      </w:r>
      <w:r>
        <w:t xml:space="preserve"> — the study of how European capital markets priced (and mostly mis-priced) the war risk of the nine years before 1914. </w:t>
      </w:r>
      <w:r>
        <w:rPr>
          <w:b/>
        </w:rPr>
        <w:t xml:space="preserve">Part II</w:t>
      </w:r>
      <w:r>
        <w:t xml:space="preserve"> carries the same method forward across the later risk episodes — from Munich 1938 to the prediction-market era of 2026 — testing where markets </w:t>
      </w:r>
      <w:r>
        <w:rPr>
          <w:i/>
        </w:rPr>
        <w:t xml:space="preserve">anticipated</w:t>
      </w:r>
      <w:r>
        <w:t xml:space="preserve"> a war, where they only priced the </w:t>
      </w:r>
      <w:r>
        <w:rPr>
          <w:i/>
        </w:rPr>
        <w:t xml:space="preserve">resolution</w:t>
      </w:r>
      <w:r>
        <w:t xml:space="preserve"> once it came, and where the risk was simply un-priceable.</w:t>
      </w:r>
    </w:p>
    <w:p>
      <w:r>
        <w:rPr>
          <w:i/>
        </w:rPr>
        <w:t xml:space="preserve">Framework and historical analysis. Where market figures appear they are sourced or reproducible; documented effects are kept distinct from inferred intent, and contemporary perception from causal verdict.</w:t>
      </w:r>
    </w:p>
    <w:p>
      <w:pPr>
        <w:pStyle w:val="Heading1"/>
        <w:pageBreakBefore/>
      </w:pPr>
      <w:r>
        <w:t xml:space="preserve">Part I — Not This Year: The Pre-1914 Argument</w:t>
      </w:r>
    </w:p>
    <w:p>
      <w:pPr>
        <w:pStyle w:val="Heading4"/>
      </w:pPr>
      <w:r>
        <w:t xml:space="preserve">Money and the Nine Years Europe Did Not Go to War, 1905–1914</w:t>
      </w:r>
    </w:p>
    <w:p>
      <w:r>
        <w:rPr>
          <w:i/>
        </w:rPr>
        <w:t xml:space="preserve">Draft v6 — populated manuscript. Supersedes v4/v5. Chapter III exists as finished prose in `agadir-essay-magazine.md` (reader version) and `agadir-essay-draft.md` (working version with all qualifications in the body).</w:t>
      </w:r>
    </w:p>
    <w:p>
      <w:r>
        <w:rPr>
          <w:b/>
        </w:rPr>
        <w:t xml:space="preserve">[TITLE — still unresolved.</w:t>
      </w:r>
      <w:r>
        <w:t xml:space="preserve"> </w:t>
      </w:r>
      <w:r>
        <w:rPr>
          <w:i/>
        </w:rPr>
        <w:t xml:space="preserve">The old subtitle, "Wars Europe Could Not Afford," states the error this book exists to correct. Europe could always afford it. Any title must be about obstruction, timing or capability, never poverty.]</w:t>
      </w:r>
    </w:p>
    <w:p>
      <w:pPr>
        <w:pBdr>
          <w:bottom w:val="single" w:sz="6" w:space="1" w:color="CCCCCC"/>
        </w:pBdr>
      </w:pPr>
    </w:p>
    <w:p>
      <w:pPr>
        <w:pStyle w:val="Heading3"/>
      </w:pPr>
      <w:r>
        <w:t xml:space="preserve">THE ARGUMENT</w:t>
      </w:r>
    </w:p>
    <w:p>
      <w:r>
        <w:t xml:space="preserve">By 1905 Europe was ready for its general war. The alliances were signed, the conscript armies raised, the naval race running, the mobilisation timetables printed and revised each year. Everything a great war requires was in place, and it sat there for nine years without being used.</w:t>
      </w:r>
    </w:p>
    <w:p>
      <w:r>
        <w:t xml:space="preserve">That is what this book is about — not the catastrophe of 1914, which has been explained many times, but the nine years of peace preceding it, which have not.</w:t>
      </w:r>
    </w:p>
    <w:p>
      <w:r>
        <w:t xml:space="preserve">The war had to be paid for, and paying for it was a step at which things could fail. Not because the money did not exist; it existed, and every treasury knew how to reach it. Because in each crisis between 1905 and 1913 the arrangements could not be made in the time available, or could not be made without a political cost the government would not pay, and somebody had to say so. In July 1914 nobody said so.</w:t>
      </w:r>
    </w:p>
    <w:p>
      <w:r>
        <w:rPr>
          <w:b/>
        </w:rPr>
        <w:t xml:space="preserve">The discipline this book holds to.</w:t>
      </w:r>
      <w:r>
        <w:t xml:space="preserve"> A creditor position documents exposure and potential leverage, not automatic constraint. A price movement is a symptom of a counterparty's condition, not proof that finance drove a decision. Finance is causal only where a specific choice can be shown to have bent to it. The formulation is that </w:t>
      </w:r>
      <w:r>
        <w:rPr>
          <w:b/>
        </w:rPr>
        <w:t xml:space="preserve">finance was the substrate and the lever</w:t>
      </w:r>
      <w:r>
        <w:t xml:space="preserve"> — never that finance constrained X, unless a decision demonstrably turned on it.</w:t>
      </w:r>
    </w:p>
    <w:p>
      <w:r>
        <w:t xml:space="preserve">That is a narrower claim than the one this project began with, and it is the one the evidence supports.</w:t>
      </w:r>
    </w:p>
    <w:p>
      <w:pPr>
        <w:pBdr>
          <w:bottom w:val="single" w:sz="6" w:space="1" w:color="CCCCCC"/>
        </w:pBdr>
      </w:pPr>
    </w:p>
    <w:p>
      <w:pPr>
        <w:pStyle w:val="Heading3"/>
      </w:pPr>
      <w:r>
        <w:t xml:space="preserve">THE FOUR VARIABLES</w:t>
      </w:r>
    </w:p>
    <w:p>
      <w:r>
        <w:t xml:space="preserve">Asked of each power at each crisis.</w:t>
      </w:r>
    </w:p>
    <w:p>
      <w:r>
        <w:rPr>
          <w:b/>
        </w:rPr>
        <w:t xml:space="preserve">Capability.</w:t>
      </w:r>
      <w:r>
        <w:t xml:space="preserve"> Could the state turn national wealth into usable public finance, at the scale and speed required?</w:t>
      </w:r>
    </w:p>
    <w:p>
      <w:r>
        <w:rPr>
          <w:b/>
        </w:rPr>
        <w:t xml:space="preserve">Consent.</w:t>
      </w:r>
      <w:r>
        <w:t xml:space="preserve"> Could the government obtain and hold political acceptance of the taxes, loans, inflation and controls a war would demand?</w:t>
      </w:r>
    </w:p>
    <w:p>
      <w:r>
        <w:rPr>
          <w:b/>
        </w:rPr>
        <w:t xml:space="preserve">Liquidity.</w:t>
      </w:r>
      <w:r>
        <w:t xml:space="preserve"> Could the treasury and banking system produce spendable money during the crisis itself — not after the harvest, not after a parliamentary fight, not after a foreign loan was negotiated?</w:t>
      </w:r>
    </w:p>
    <w:p>
      <w:r>
        <w:rPr>
          <w:b/>
        </w:rPr>
        <w:t xml:space="preserve">Time.</w:t>
      </w:r>
      <w:r>
        <w:t xml:space="preserve"> Would the crisis stay open long enough for a weakness to become visible to ministers and alter the choices in front of them?</w:t>
      </w:r>
    </w:p>
    <w:p>
      <w:r>
        <w:rPr>
          <w:b/>
        </w:rPr>
        <w:t xml:space="preserve">And the distinction the audit must carry throughout: present is not the same as binding.</w:t>
      </w:r>
      <w:r>
        <w:t xml:space="preserve"> France's fiscal gap in 1905 was real and entirely irrelevant, because France was never going to fight that year. A constraint binds only when something else would otherwise have permitted the war.</w:t>
      </w:r>
    </w:p>
    <w:p>
      <w:pPr>
        <w:pBdr>
          <w:bottom w:val="single" w:sz="6" w:space="1" w:color="CCCCCC"/>
        </w:pBdr>
      </w:pPr>
    </w:p>
    <w:p>
      <w:pPr>
        <w:pStyle w:val="Heading3"/>
      </w:pPr>
      <w:r>
        <w:t xml:space="preserve">WHAT THE MARKET SAW</w:t>
      </w:r>
    </w:p>
    <w:p>
      <w:r>
        <w:t xml:space="preserve">Every week between 1904 and 1914, in thirteen cities from Paris and Berlin to Stockholm, Geneva, Bombay and New York, men set a price for short money. Those prices survive. What they show is not a league table of guilt.</w:t>
      </w:r>
    </w:p>
    <w:p>
      <w:r>
        <w:t xml:space="preserve">Europe's money markets did not price war country by country. They moved together. Every European centre in the sample loads on a single common factor. Genuine neutrals — Copenhagen, Stockholm — carry premiums as large and as solid as Paris or Vienna. In the Balkan crises neutral Stockholm's premium is significant and Berlin's is not.</w:t>
      </w:r>
    </w:p>
    <w:p>
      <w:r>
        <w:rPr>
          <w:b/>
        </w:rPr>
        <w:t xml:space="preserve">The market was not pricing which country would fight. It was pricing whether the system would hold.</w:t>
      </w:r>
    </w:p>
    <w:p>
      <w:r>
        <w:t xml:space="preserve">That is contagion: the probability that a local quarrel runs along the alliances and the bill networks until it becomes general, at which point choosing a side stops mattering. Neutrality was not priced as protection, because it was not protection.</w:t>
      </w:r>
    </w:p>
    <w:p>
      <w:r>
        <w:t xml:space="preserve">Two things sit on top of that movement. </w:t>
      </w:r>
      <w:r>
        <w:rPr>
          <w:b/>
        </w:rPr>
        <w:t xml:space="preserve">Germany carried a genuine idiosyncratic excess</w:t>
      </w:r>
      <w:r>
        <w:t xml:space="preserve">, robust when the calculation is re-based away from London — but over the decade as a whole, not crisis by crisis. And </w:t>
      </w:r>
      <w:r>
        <w:rPr>
          <w:b/>
        </w:rPr>
        <w:t xml:space="preserve">the United States sits outside the structure entirely</w:t>
      </w:r>
      <w:r>
        <w:t xml:space="preserve">, the only city not loading on the European factor, with a negative premium: money came to New York when Europe frightened itself. A country outside the alliance system was where contagion did not reach.</w:t>
      </w:r>
    </w:p>
    <w:p>
      <w:pPr>
        <w:pStyle w:val="Heading4"/>
      </w:pPr>
      <w:r>
        <w:t xml:space="preserve">The crisis ledger</w:t>
      </w:r>
    </w:p>
    <w:p>
      <w:r>
        <w:t xml:space="preserve">Tested against its own baseline and detrended for the business cycle, the money market sorts the crises by one criterion — whether they could have gone general.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Crisis</w:t>
            </w:r>
          </w:p>
        </w:tc>
        <w:tc>
          <w:tcPr>
            <w:tcW w:w="3120" w:type="dxa"/>
            <w:shd w:val="clear" w:fill="EEEEF6"/>
          </w:tcPr>
          <w:p>
            <w:pPr>
              <w:pStyle w:val="TableCell"/>
            </w:pPr>
            <w:r>
              <w:rPr>
                <w:b/>
              </w:rPr>
              <w:t xml:space="preserve">Money-market bite</w:t>
            </w:r>
          </w:p>
        </w:tc>
        <w:tc>
          <w:tcPr>
            <w:tcW w:w="3120" w:type="dxa"/>
            <w:shd w:val="clear" w:fill="EEEEF6"/>
          </w:tcPr>
          <w:p>
            <w:pPr>
              <w:pStyle w:val="TableCell"/>
            </w:pPr>
            <w:r>
              <w:rPr>
                <w:b/>
              </w:rPr>
              <w:t xml:space="preserve">Reading</w:t>
            </w:r>
          </w:p>
        </w:tc>
      </w:tr>
      <w:tr>
        <w:tc>
          <w:tcPr>
            <w:tcW w:w="3120" w:type="dxa"/>
          </w:tcPr>
          <w:p>
            <w:pPr>
              <w:pStyle w:val="TableCell"/>
            </w:pPr>
            <w:r>
              <w:t xml:space="preserve">Tangier, 1905</w:t>
            </w:r>
          </w:p>
        </w:tc>
        <w:tc>
          <w:tcPr>
            <w:tcW w:w="3120" w:type="dxa"/>
          </w:tcPr>
          <w:p>
            <w:pPr>
              <w:pStyle w:val="TableCell"/>
            </w:pPr>
            <w:r>
              <w:rPr>
                <w:b/>
              </w:rPr>
              <w:t xml:space="preserve">null</w:t>
            </w:r>
          </w:p>
        </w:tc>
        <w:tc>
          <w:tcPr>
            <w:tcW w:w="3120" w:type="dxa"/>
          </w:tcPr>
          <w:p>
            <w:pPr>
              <w:pStyle w:val="TableCell"/>
            </w:pPr>
            <w:r>
              <w:t xml:space="preserve">France's real 1905 exposure was Russian bonds, not Morocco. A bond-market story.</w:t>
            </w:r>
          </w:p>
        </w:tc>
      </w:tr>
      <w:tr>
        <w:tc>
          <w:tcPr>
            <w:tcW w:w="3120" w:type="dxa"/>
          </w:tcPr>
          <w:p>
            <w:pPr>
              <w:pStyle w:val="TableCell"/>
            </w:pPr>
            <w:r>
              <w:t xml:space="preserve">Algeciras, 1906</w:t>
            </w:r>
          </w:p>
        </w:tc>
        <w:tc>
          <w:tcPr>
            <w:tcW w:w="3120" w:type="dxa"/>
          </w:tcPr>
          <w:p>
            <w:pPr>
              <w:pStyle w:val="TableCell"/>
            </w:pPr>
            <w:r>
              <w:t xml:space="preserve">small, confounded</w:t>
            </w:r>
          </w:p>
        </w:tc>
        <w:tc>
          <w:tcPr>
            <w:tcW w:w="3120" w:type="dxa"/>
          </w:tcPr>
          <w:p>
            <w:pPr>
              <w:pStyle w:val="TableCell"/>
            </w:pPr>
            <w:r>
              <w:t xml:space="preserve">Pre-1907 stringency. Uncorroborable — the specialist press did not yet exist.</w:t>
            </w:r>
          </w:p>
        </w:tc>
      </w:tr>
      <w:tr>
        <w:tc>
          <w:tcPr>
            <w:tcW w:w="3120" w:type="dxa"/>
          </w:tcPr>
          <w:p>
            <w:pPr>
              <w:pStyle w:val="TableCell"/>
            </w:pPr>
            <w:r>
              <w:t xml:space="preserve">Bosnia, 1908–09</w:t>
            </w:r>
          </w:p>
        </w:tc>
        <w:tc>
          <w:tcPr>
            <w:tcW w:w="3120" w:type="dxa"/>
          </w:tcPr>
          <w:p>
            <w:pPr>
              <w:pStyle w:val="TableCell"/>
            </w:pPr>
            <w:r>
              <w:rPr>
                <w:b/>
              </w:rPr>
              <w:t xml:space="preserve">null</w:t>
            </w:r>
          </w:p>
        </w:tc>
        <w:tc>
          <w:tcPr>
            <w:tcW w:w="3120" w:type="dxa"/>
          </w:tcPr>
          <w:p>
            <w:pPr>
              <w:pStyle w:val="TableCell"/>
            </w:pPr>
            <w:r>
              <w:t xml:space="preserve">Money easy; Lansburgh silent. A serious scare that stayed diplomatic.</w:t>
            </w:r>
          </w:p>
        </w:tc>
      </w:tr>
      <w:tr>
        <w:tc>
          <w:tcPr>
            <w:tcW w:w="3120" w:type="dxa"/>
          </w:tcPr>
          <w:p>
            <w:pPr>
              <w:pStyle w:val="TableCell"/>
            </w:pPr>
            <w:r>
              <w:t xml:space="preserve">Agadir, 1911</w:t>
            </w:r>
          </w:p>
        </w:tc>
        <w:tc>
          <w:tcPr>
            <w:tcW w:w="3120" w:type="dxa"/>
          </w:tcPr>
          <w:p>
            <w:pPr>
              <w:pStyle w:val="TableCell"/>
            </w:pPr>
            <w:r>
              <w:rPr>
                <w:b/>
              </w:rPr>
              <w:t xml:space="preserve">modest</w:t>
            </w:r>
          </w:p>
        </w:tc>
        <w:tc>
          <w:tcPr>
            <w:tcW w:w="3120" w:type="dxa"/>
          </w:tcPr>
          <w:p>
            <w:pPr>
              <w:pStyle w:val="TableCell"/>
            </w:pPr>
            <w:r>
              <w:t xml:space="preserve">Berlin and Paris co-move about +0.6 detrended at the quarter-end climax — largely the quarter itself.</w:t>
            </w:r>
          </w:p>
        </w:tc>
      </w:tr>
      <w:tr>
        <w:tc>
          <w:tcPr>
            <w:tcW w:w="3120" w:type="dxa"/>
          </w:tcPr>
          <w:p>
            <w:pPr>
              <w:pStyle w:val="TableCell"/>
            </w:pPr>
            <w:r>
              <w:t xml:space="preserve">Balkan winter, 1912</w:t>
            </w:r>
          </w:p>
        </w:tc>
        <w:tc>
          <w:tcPr>
            <w:tcW w:w="3120" w:type="dxa"/>
          </w:tcPr>
          <w:p>
            <w:pPr>
              <w:pStyle w:val="TableCell"/>
            </w:pPr>
            <w:r>
              <w:rPr>
                <w:b/>
              </w:rPr>
              <w:t xml:space="preserve">real</w:t>
            </w:r>
          </w:p>
        </w:tc>
        <w:tc>
          <w:tcPr>
            <w:tcW w:w="3120" w:type="dxa"/>
          </w:tcPr>
          <w:p>
            <w:pPr>
              <w:pStyle w:val="TableCell"/>
            </w:pPr>
            <w:r>
              <w:t xml:space="preserve">Great-power mobilisation scare. Austro-Hungarian Bank 5 → 5½ → 6%; deposit runs in Vienna.</w:t>
            </w:r>
          </w:p>
        </w:tc>
      </w:tr>
      <w:tr>
        <w:tc>
          <w:tcPr>
            <w:tcW w:w="3120" w:type="dxa"/>
          </w:tcPr>
          <w:p>
            <w:pPr>
              <w:pStyle w:val="TableCell"/>
            </w:pPr>
            <w:r>
              <w:t xml:space="preserve">Tripolitania, 1912</w:t>
            </w:r>
          </w:p>
        </w:tc>
        <w:tc>
          <w:tcPr>
            <w:tcW w:w="3120" w:type="dxa"/>
          </w:tcPr>
          <w:p>
            <w:pPr>
              <w:pStyle w:val="TableCell"/>
            </w:pPr>
            <w:r>
              <w:t xml:space="preserve">inconclusive</w:t>
            </w:r>
          </w:p>
        </w:tc>
        <w:tc>
          <w:tcPr>
            <w:tcW w:w="3120" w:type="dxa"/>
          </w:tcPr>
          <w:p>
            <w:pPr>
              <w:pStyle w:val="TableCell"/>
            </w:pPr>
            <w:r>
              <w:t xml:space="preserve">Cyclically confounded; peaks scattered, not synchronised.</w:t>
            </w:r>
          </w:p>
        </w:tc>
      </w:tr>
      <w:tr>
        <w:tc>
          <w:tcPr>
            <w:tcW w:w="3120" w:type="dxa"/>
          </w:tcPr>
          <w:p>
            <w:pPr>
              <w:pStyle w:val="TableCell"/>
            </w:pPr>
            <w:r>
              <w:t xml:space="preserve">Second Balkan War, 1913</w:t>
            </w:r>
          </w:p>
        </w:tc>
        <w:tc>
          <w:tcPr>
            <w:tcW w:w="3120" w:type="dxa"/>
          </w:tcPr>
          <w:p>
            <w:pPr>
              <w:pStyle w:val="TableCell"/>
            </w:pPr>
            <w:r>
              <w:rPr>
                <w:b/>
              </w:rPr>
              <w:t xml:space="preserve">ignored</w:t>
            </w:r>
          </w:p>
        </w:tc>
        <w:tc>
          <w:tcPr>
            <w:tcW w:w="3120" w:type="dxa"/>
          </w:tcPr>
          <w:p>
            <w:pPr>
              <w:pStyle w:val="TableCell"/>
            </w:pPr>
            <w:r>
              <w:t xml:space="preserve">A war, but localised. Paris "calme et indifférence."</w:t>
            </w:r>
          </w:p>
        </w:tc>
      </w:tr>
      <w:tr>
        <w:tc>
          <w:tcPr>
            <w:tcW w:w="3120" w:type="dxa"/>
          </w:tcPr>
          <w:p>
            <w:pPr>
              <w:pStyle w:val="TableCell"/>
            </w:pPr>
            <w:r>
              <w:t xml:space="preserve">July 1914</w:t>
            </w:r>
          </w:p>
        </w:tc>
        <w:tc>
          <w:tcPr>
            <w:tcW w:w="3120" w:type="dxa"/>
          </w:tcPr>
          <w:p>
            <w:pPr>
              <w:pStyle w:val="TableCell"/>
            </w:pPr>
            <w:r>
              <w:t xml:space="preserve">none, then freeze</w:t>
            </w:r>
          </w:p>
        </w:tc>
        <w:tc>
          <w:tcPr>
            <w:tcW w:w="3120" w:type="dxa"/>
          </w:tcPr>
          <w:p>
            <w:pPr>
              <w:pStyle w:val="TableCell"/>
            </w:pPr>
            <w:r>
              <w:t xml:space="preserve">Priced at nothing before Sarajevo; then the clearing system froze.</w:t>
            </w:r>
          </w:p>
        </w:tc>
      </w:tr>
    </w:tbl>
    <w:p>
      <w:r>
        <w:rPr>
          <w:b/>
        </w:rPr>
        <w:t xml:space="preserve">Two consequences the manuscript must absorb.</w:t>
      </w:r>
    </w:p>
    <w:p>
      <w:r>
        <w:t xml:space="preserve">The crises sort by threat of a </w:t>
      </w:r>
      <w:r>
        <w:rPr>
          <w:i/>
        </w:rPr>
        <w:t xml:space="preserve">general</w:t>
      </w:r>
      <w:r>
        <w:t xml:space="preserve"> war — not by diplomatic heat, and not by whether a war was actually being fought. Europe's money market watched two Balkan wars without flinching and then priced a mobilisation scare that produced no war at all.</w:t>
      </w:r>
    </w:p>
    <w:p>
      <w:r>
        <w:t xml:space="preserve">And the money-market test measures </w:t>
      </w:r>
      <w:r>
        <w:rPr>
          <w:b/>
        </w:rPr>
        <w:t xml:space="preserve">rate levels only</w:t>
      </w:r>
      <w:r>
        <w:t xml:space="preserve">. It is silent on quantities. Agadir's evidence is overwhelmingly quantitative — balances withdrawn, Bourse liquidation, central bank rationing, deposit runs — and almost none of that appears in a discount-rate series. Where the money market bit hardest was Vienna in the winter of 1912. Where the story is best documented is Berlin in the autumn of 1911. Those are not the same crisis, and the book must not pretend they are.</w:t>
      </w:r>
    </w:p>
    <w:p>
      <w:pPr>
        <w:pBdr>
          <w:bottom w:val="single" w:sz="6" w:space="1" w:color="CCCCCC"/>
        </w:pBdr>
      </w:pPr>
    </w:p>
    <w:p>
      <w:pPr>
        <w:pStyle w:val="Heading3"/>
      </w:pPr>
      <w:r>
        <w:t xml:space="preserve">THE INSTRUMENT PROBLEM</w:t>
      </w:r>
    </w:p>
    <w:p>
      <w:r>
        <w:t xml:space="preserve">The best-known finding about markets and 1914 is that they never saw it coming, established from sovereign bond spreads, which barely register the approach of a general war until the last days of July.</w:t>
      </w:r>
    </w:p>
    <w:p>
      <w:r>
        <w:t xml:space="preserve">The bond evidence is correct. The conclusion does not follow.</w:t>
      </w:r>
    </w:p>
    <w:p>
      <w:r>
        <w:t xml:space="preserve">A sovereign bond prices the risk of not being repaid over decades. That risk did not rise, and the market was right that it did not: Britain had suspended convertibility, borrowed enormously through twenty years of war with France, and resumed at par in 1821. Consols had survived Napoleon.</w:t>
      </w:r>
    </w:p>
    <w:p>
      <w:r>
        <w:t xml:space="preserve">What rose was the price of cash next month, and that lives in a different instrument.</w:t>
      </w:r>
    </w:p>
    <w:p>
      <w:r>
        <w:t xml:space="preserve">Three things explain the divergence. </w:t>
      </w:r>
      <w:r>
        <w:rPr>
          <w:b/>
        </w:rPr>
        <w:t xml:space="preserve">Different risks</w:t>
      </w:r>
      <w:r>
        <w:t xml:space="preserve"> — war threatened repayment conditionally and liquidity immediately. </w:t>
      </w:r>
      <w:r>
        <w:rPr>
          <w:b/>
        </w:rPr>
        <w:t xml:space="preserve">Different holders</w:t>
      </w:r>
      <w:r>
        <w:t xml:space="preserve"> — the </w:t>
      </w:r>
      <w:r>
        <w:rPr>
          <w:i/>
        </w:rPr>
        <w:t xml:space="preserve">rente</w:t>
      </w:r>
      <w:r>
        <w:t xml:space="preserve"> and consols sat with provincial savers and trustees holding them as savings; bills were rolled every sixty or ninety days by professionals. A bondholder decides once a decade; a discounter decides at breakfast. </w:t>
      </w:r>
      <w:r>
        <w:rPr>
          <w:b/>
        </w:rPr>
        <w:t xml:space="preserve">And different audiences.</w:t>
      </w:r>
      <w:r>
        <w:t xml:space="preserve"> The discount market is where states borrowed short — Treasury bills, </w:t>
      </w:r>
      <w:r>
        <w:rPr>
          <w:i/>
        </w:rPr>
        <w:t xml:space="preserve">Reichsschatzanweisungen</w:t>
      </w:r>
      <w:r>
        <w:t xml:space="preserve">, </w:t>
      </w:r>
      <w:r>
        <w:rPr>
          <w:i/>
        </w:rPr>
        <w:t xml:space="preserve">bons du Trésor</w:t>
      </w:r>
      <w:r>
        <w:t xml:space="preserve">. When it tightened, the next issue came dearer or came up short, and that reached a finance minister within days.</w:t>
      </w:r>
    </w:p>
    <w:p>
      <w:r>
        <w:t xml:space="preserve">The instrument carrying the signal is the channel through which the signal reached the decision. That is the mechanism, not a coincidence of measurement.</w:t>
      </w:r>
    </w:p>
    <w:p>
      <w:r>
        <w:t xml:space="preserve">And July 1914 confirms it from the other side: when bonds finally moved, their ordering was governed by which asset had a buyer, not by which country would fight.</w:t>
      </w:r>
    </w:p>
    <w:p>
      <w:pPr>
        <w:pBdr>
          <w:bottom w:val="single" w:sz="6" w:space="1" w:color="CCCCCC"/>
        </w:pBdr>
      </w:pPr>
    </w:p>
    <w:p>
      <w:pPr>
        <w:pStyle w:val="Heading3"/>
      </w:pPr>
      <w:r>
        <w:t xml:space="preserve">ARCHITECTURE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shd w:val="clear" w:fill="EEEEF6"/>
          </w:tcPr>
          <w:p>
            <w:pPr>
              <w:pStyle w:val="TableCell"/>
            </w:pPr>
          </w:p>
        </w:tc>
        <w:tc>
          <w:tcPr>
            <w:tcW w:w="1872" w:type="dxa"/>
            <w:shd w:val="clear" w:fill="EEEEF6"/>
          </w:tcPr>
          <w:p>
            <w:pPr>
              <w:pStyle w:val="TableCell"/>
            </w:pPr>
            <w:r>
              <w:rPr>
                <w:b/>
              </w:rPr>
              <w:t xml:space="preserve">Crisis</w:t>
            </w:r>
          </w:p>
        </w:tc>
        <w:tc>
          <w:tcPr>
            <w:tcW w:w="1872" w:type="dxa"/>
            <w:shd w:val="clear" w:fill="EEEEF6"/>
          </w:tcPr>
          <w:p>
            <w:pPr>
              <w:pStyle w:val="TableCell"/>
            </w:pPr>
            <w:r>
              <w:rPr>
                <w:b/>
              </w:rPr>
              <w:t xml:space="preserve">What was missing</w:t>
            </w:r>
          </w:p>
        </w:tc>
        <w:tc>
          <w:tcPr>
            <w:tcW w:w="1872" w:type="dxa"/>
            <w:shd w:val="clear" w:fill="EEEEF6"/>
          </w:tcPr>
          <w:p>
            <w:pPr>
              <w:pStyle w:val="TableCell"/>
            </w:pPr>
            <w:r>
              <w:rPr>
                <w:b/>
              </w:rPr>
              <w:t xml:space="preserve">Evidence base</w:t>
            </w:r>
          </w:p>
        </w:tc>
        <w:tc>
          <w:tcPr>
            <w:tcW w:w="1872" w:type="dxa"/>
            <w:shd w:val="clear" w:fill="EEEEF6"/>
          </w:tcPr>
          <w:p>
            <w:pPr>
              <w:pStyle w:val="TableCell"/>
            </w:pPr>
            <w:r>
              <w:rPr>
                <w:b/>
              </w:rPr>
              <w:t xml:space="preserve">Central figure</w:t>
            </w:r>
          </w:p>
        </w:tc>
      </w:tr>
      <w:tr>
        <w:tc>
          <w:tcPr>
            <w:tcW w:w="1872" w:type="dxa"/>
          </w:tcPr>
          <w:p>
            <w:pPr>
              <w:pStyle w:val="TableCell"/>
            </w:pPr>
            <w:r>
              <w:t xml:space="preserve">I</w:t>
            </w:r>
          </w:p>
        </w:tc>
        <w:tc>
          <w:tcPr>
            <w:tcW w:w="1872" w:type="dxa"/>
          </w:tcPr>
          <w:p>
            <w:pPr>
              <w:pStyle w:val="TableCell"/>
            </w:pPr>
            <w:r>
              <w:rPr>
                <w:b/>
              </w:rPr>
              <w:t xml:space="preserve">Russia, 1905</w:t>
            </w:r>
            <w:r>
              <w:t xml:space="preserve"> (Morocco is the occasion, not the subject)</w:t>
            </w:r>
          </w:p>
        </w:tc>
        <w:tc>
          <w:tcPr>
            <w:tcW w:w="1872" w:type="dxa"/>
          </w:tcPr>
          <w:p>
            <w:pPr>
              <w:pStyle w:val="TableCell"/>
            </w:pPr>
            <w:r>
              <w:rPr>
                <w:b/>
              </w:rPr>
              <w:t xml:space="preserve">An ally's solvency, held in French portfolios.</w:t>
            </w:r>
            <w:r>
              <w:t xml:space="preserve"> France's own finances were never squeezed; its exposure was Russian paper.</w:t>
            </w:r>
          </w:p>
        </w:tc>
        <w:tc>
          <w:tcPr>
            <w:tcW w:w="1872" w:type="dxa"/>
          </w:tcPr>
          <w:p>
            <w:pPr>
              <w:pStyle w:val="TableCell"/>
            </w:pPr>
            <w:r>
              <w:t xml:space="preserve">Bond market — the </w:t>
            </w:r>
            <w:r>
              <w:rPr>
                <w:i/>
              </w:rPr>
              <w:t xml:space="preserve">fonds russes</w:t>
            </w:r>
            <w:r>
              <w:t xml:space="preserve">. The money market is silent throughout.</w:t>
            </w:r>
          </w:p>
        </w:tc>
        <w:tc>
          <w:tcPr>
            <w:tcW w:w="1872" w:type="dxa"/>
          </w:tcPr>
          <w:p>
            <w:pPr>
              <w:pStyle w:val="TableCell"/>
            </w:pPr>
            <w:r>
              <w:rPr>
                <w:b/>
              </w:rPr>
              <w:t xml:space="preserve">Rouvier</w:t>
            </w:r>
            <w:r>
              <w:t xml:space="preserve"> — banker, finance minister, premier</w:t>
            </w:r>
          </w:p>
        </w:tc>
      </w:tr>
      <w:tr>
        <w:tc>
          <w:tcPr>
            <w:tcW w:w="1872" w:type="dxa"/>
          </w:tcPr>
          <w:p>
            <w:pPr>
              <w:pStyle w:val="TableCell"/>
            </w:pPr>
            <w:r>
              <w:t xml:space="preserve">II</w:t>
            </w:r>
          </w:p>
        </w:tc>
        <w:tc>
          <w:tcPr>
            <w:tcW w:w="1872" w:type="dxa"/>
          </w:tcPr>
          <w:p>
            <w:pPr>
              <w:pStyle w:val="TableCell"/>
            </w:pPr>
            <w:r>
              <w:t xml:space="preserve">Bosnia, 1908–09</w:t>
            </w:r>
          </w:p>
        </w:tc>
        <w:tc>
          <w:tcPr>
            <w:tcW w:w="1872" w:type="dxa"/>
          </w:tcPr>
          <w:p>
            <w:pPr>
              <w:pStyle w:val="TableCell"/>
            </w:pPr>
            <w:r>
              <w:rPr>
                <w:b/>
              </w:rPr>
              <w:t xml:space="preserve">Fiscal capability.</w:t>
            </w:r>
            <w:r>
              <w:t xml:space="preserve"> Russia could not fund the long war its ministers expected.</w:t>
            </w:r>
          </w:p>
        </w:tc>
        <w:tc>
          <w:tcPr>
            <w:tcW w:w="1872" w:type="dxa"/>
          </w:tcPr>
          <w:p>
            <w:pPr>
              <w:pStyle w:val="TableCell"/>
            </w:pPr>
            <w:r>
              <w:t xml:space="preserve">Budgets, memoirs, council records. </w:t>
            </w:r>
            <w:r>
              <w:rPr>
                <w:i/>
              </w:rPr>
              <w:t xml:space="preserve">Not</w:t>
            </w:r>
            <w:r>
              <w:t xml:space="preserve"> the money market — it was silent.</w:t>
            </w:r>
          </w:p>
        </w:tc>
        <w:tc>
          <w:tcPr>
            <w:tcW w:w="1872" w:type="dxa"/>
          </w:tcPr>
          <w:p>
            <w:pPr>
              <w:pStyle w:val="TableCell"/>
            </w:pPr>
            <w:r>
              <w:rPr>
                <w:b/>
              </w:rPr>
              <w:t xml:space="preserve">Kokovtsov</w:t>
            </w:r>
          </w:p>
        </w:tc>
      </w:tr>
      <w:tr>
        <w:tc>
          <w:tcPr>
            <w:tcW w:w="1872" w:type="dxa"/>
          </w:tcPr>
          <w:p>
            <w:pPr>
              <w:pStyle w:val="TableCell"/>
            </w:pPr>
            <w:r>
              <w:t xml:space="preserve">III</w:t>
            </w:r>
          </w:p>
        </w:tc>
        <w:tc>
          <w:tcPr>
            <w:tcW w:w="1872" w:type="dxa"/>
          </w:tcPr>
          <w:p>
            <w:pPr>
              <w:pStyle w:val="TableCell"/>
            </w:pPr>
            <w:r>
              <w:t xml:space="preserve">Agadir, 1911</w:t>
            </w:r>
          </w:p>
        </w:tc>
        <w:tc>
          <w:tcPr>
            <w:tcW w:w="1872" w:type="dxa"/>
          </w:tcPr>
          <w:p>
            <w:pPr>
              <w:pStyle w:val="TableCell"/>
            </w:pPr>
            <w:r>
              <w:rPr>
                <w:b/>
              </w:rPr>
              <w:t xml:space="preserve">Liquidity.</w:t>
            </w:r>
            <w:r>
              <w:t xml:space="preserve"> German wealth could not stop foreign creditors tightening Berlin.</w:t>
            </w:r>
          </w:p>
        </w:tc>
        <w:tc>
          <w:tcPr>
            <w:tcW w:w="1872" w:type="dxa"/>
          </w:tcPr>
          <w:p>
            <w:pPr>
              <w:pStyle w:val="TableCell"/>
            </w:pPr>
            <w:r>
              <w:t xml:space="preserve">Quantities: balances, Bourse, central bank returns, Lansburgh</w:t>
            </w:r>
          </w:p>
        </w:tc>
        <w:tc>
          <w:tcPr>
            <w:tcW w:w="1872" w:type="dxa"/>
          </w:tcPr>
          <w:p>
            <w:pPr>
              <w:pStyle w:val="TableCell"/>
            </w:pPr>
            <w:r>
              <w:rPr>
                <w:b/>
              </w:rPr>
              <w:t xml:space="preserve">Havenstein</w:t>
            </w:r>
            <w:r>
              <w:t xml:space="preserve">, and a bank manager in Berlin</w:t>
            </w:r>
          </w:p>
        </w:tc>
      </w:tr>
      <w:tr>
        <w:tc>
          <w:tcPr>
            <w:tcW w:w="1872" w:type="dxa"/>
          </w:tcPr>
          <w:p>
            <w:pPr>
              <w:pStyle w:val="TableCell"/>
            </w:pPr>
            <w:r>
              <w:t xml:space="preserve">IV</w:t>
            </w:r>
          </w:p>
        </w:tc>
        <w:tc>
          <w:tcPr>
            <w:tcW w:w="1872" w:type="dxa"/>
          </w:tcPr>
          <w:p>
            <w:pPr>
              <w:pStyle w:val="TableCell"/>
            </w:pPr>
            <w:r>
              <w:t xml:space="preserve">The Balkans, 1912–13</w:t>
            </w:r>
          </w:p>
        </w:tc>
        <w:tc>
          <w:tcPr>
            <w:tcW w:w="1872" w:type="dxa"/>
          </w:tcPr>
          <w:p>
            <w:pPr>
              <w:pStyle w:val="TableCell"/>
            </w:pPr>
            <w:r>
              <w:rPr>
                <w:b/>
              </w:rPr>
              <w:t xml:space="preserve">Capacity, spent.</w:t>
            </w:r>
            <w:r>
              <w:t xml:space="preserve"> Austria paid for a mobilisation and got no war for it.</w:t>
            </w:r>
          </w:p>
        </w:tc>
        <w:tc>
          <w:tcPr>
            <w:tcW w:w="1872" w:type="dxa"/>
          </w:tcPr>
          <w:p>
            <w:pPr>
              <w:pStyle w:val="TableCell"/>
            </w:pPr>
            <w:r>
              <w:t xml:space="preserve">The strongest money-market case in the period</w:t>
            </w:r>
          </w:p>
        </w:tc>
        <w:tc>
          <w:tcPr>
            <w:tcW w:w="1872" w:type="dxa"/>
          </w:tcPr>
          <w:p>
            <w:pPr>
              <w:pStyle w:val="TableCell"/>
            </w:pPr>
            <w:r>
              <w:rPr>
                <w:b/>
              </w:rPr>
              <w:t xml:space="preserve">Biliński</w:t>
            </w:r>
          </w:p>
        </w:tc>
      </w:tr>
      <w:tr>
        <w:tc>
          <w:tcPr>
            <w:tcW w:w="1872" w:type="dxa"/>
          </w:tcPr>
          <w:p>
            <w:pPr>
              <w:pStyle w:val="TableCell"/>
            </w:pPr>
            <w:r>
              <w:t xml:space="preserve">V</w:t>
            </w:r>
          </w:p>
        </w:tc>
        <w:tc>
          <w:tcPr>
            <w:tcW w:w="1872" w:type="dxa"/>
          </w:tcPr>
          <w:p>
            <w:pPr>
              <w:pStyle w:val="TableCell"/>
            </w:pPr>
            <w:r>
              <w:t xml:space="preserve">July 1914</w:t>
            </w:r>
          </w:p>
        </w:tc>
        <w:tc>
          <w:tcPr>
            <w:tcW w:w="1872" w:type="dxa"/>
          </w:tcPr>
          <w:p>
            <w:pPr>
              <w:pStyle w:val="TableCell"/>
            </w:pPr>
            <w:r>
              <w:rPr>
                <w:b/>
              </w:rPr>
              <w:t xml:space="preserve">Time.</w:t>
            </w:r>
            <w:r>
              <w:t xml:space="preserve"> The weaknesses remained; none matured into a veto before escalation.</w:t>
            </w:r>
          </w:p>
        </w:tc>
        <w:tc>
          <w:tcPr>
            <w:tcW w:w="1872" w:type="dxa"/>
          </w:tcPr>
          <w:p>
            <w:pPr>
              <w:pStyle w:val="TableCell"/>
            </w:pPr>
            <w:r>
              <w:t xml:space="preserve">Sequence and dates; the market priced nothing before Sarajevo</w:t>
            </w:r>
          </w:p>
        </w:tc>
        <w:tc>
          <w:tcPr>
            <w:tcW w:w="1872" w:type="dxa"/>
          </w:tcPr>
          <w:p>
            <w:pPr>
              <w:pStyle w:val="TableCell"/>
            </w:pPr>
            <w:r>
              <w:rPr>
                <w:b/>
              </w:rPr>
              <w:t xml:space="preserve">Bethmann Hollweg</w:t>
            </w:r>
          </w:p>
        </w:tc>
      </w:tr>
    </w:tbl>
    <w:p>
      <w:r>
        <w:rPr>
          <w:b/>
        </w:rPr>
        <w:t xml:space="preserve">Note the asymmetry, and write it into the book rather than hiding it.</w:t>
      </w:r>
      <w:r>
        <w:t xml:space="preserve"> Chapters I and II are cases where the money market registered nothing at all — because a constraint that has been true for four years produces no change for an event study to detect. Structural incapacity is a level, not a movement. The evidence for those chapters is documentary by necessity, not by preference.</w:t>
      </w:r>
    </w:p>
    <w:p>
      <w:pPr>
        <w:pBdr>
          <w:bottom w:val="single" w:sz="6" w:space="1" w:color="CCCCCC"/>
        </w:pBdr>
      </w:pPr>
    </w:p>
    <w:p>
      <w:pPr>
        <w:pStyle w:val="Heading2"/>
        <w:pageBreakBefore/>
      </w:pPr>
      <w:r>
        <w:t xml:space="preserve">THE CHAPTERS</w:t>
      </w:r>
    </w:p>
    <w:p>
      <w:pPr>
        <w:pStyle w:val="Heading3"/>
      </w:pPr>
      <w:r>
        <w:t xml:space="preserve">I. Russia, 1905 — the alliance as an asset</w:t>
      </w:r>
    </w:p>
    <w:p>
      <w:r>
        <w:rPr>
          <w:b/>
        </w:rPr>
        <w:t xml:space="preserve">Morocco is the occasion of this chapter, not its subject.</w:t>
      </w:r>
      <w:r>
        <w:t xml:space="preserve"> The crisis everyone remembers from 1905 is the Kaiser at Tangier. The crisis that actually moved French policy that year was happening in Russia, and it reached France through the portfolios of people who had never heard of Agadir.</w:t>
      </w:r>
    </w:p>
    <w:p>
      <w:r>
        <w:rPr>
          <w:b/>
        </w:rPr>
        <w:t xml:space="preserve">Why the usual story does not work.</w:t>
      </w:r>
      <w:r>
        <w:t xml:space="preserve"> Tested against the money market, Tangier is null. French rates show nothing; French banks were not squeezed; no French minister was told he could not pay for a war. If this chapter were built on the instrument that carries chapters III and IV, there would be no chapter.</w:t>
      </w:r>
    </w:p>
    <w:p>
      <w:r>
        <w:rPr>
          <w:b/>
        </w:rPr>
        <w:t xml:space="preserve">Where the exposure actually was.</w:t>
      </w:r>
      <w:r>
        <w:t xml:space="preserve"> France had bought the Russian alliance with capital — billions of francs of Russian government bonds held by provincial savers, farmers, shopkeepers and schoolteachers who believed they were buying an annuity and had in fact bought a continental army. In 1905 that asset came apart, and the </w:t>
      </w:r>
      <w:r>
        <w:rPr>
          <w:i/>
        </w:rPr>
        <w:t xml:space="preserve">fonds russes</w:t>
      </w:r>
      <w:r>
        <w:t xml:space="preserve"> tracked the Revolution almost day by day: knocked down at Bloody Sunday in January, rallying on the Portsmouth peace in September, crashing again in the December uprising.</w:t>
      </w:r>
    </w:p>
    <w:p>
      <w:r>
        <w:t xml:space="preserve">Set the two chronologies side by side and the year explains itself.</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shd w:val="clear" w:fill="EEEEF6"/>
          </w:tcPr>
          <w:p>
            <w:pPr>
              <w:pStyle w:val="TableCell"/>
            </w:pPr>
          </w:p>
        </w:tc>
        <w:tc>
          <w:tcPr>
            <w:tcW w:w="4680" w:type="dxa"/>
            <w:shd w:val="clear" w:fill="EEEEF6"/>
          </w:tcPr>
          <w:p>
            <w:pPr>
              <w:pStyle w:val="TableCell"/>
            </w:pPr>
          </w:p>
        </w:tc>
      </w:tr>
      <w:tr>
        <w:tc>
          <w:tcPr>
            <w:tcW w:w="4680" w:type="dxa"/>
          </w:tcPr>
          <w:p>
            <w:pPr>
              <w:pStyle w:val="TableCell"/>
            </w:pPr>
            <w:r>
              <w:t xml:space="preserve">22 January</w:t>
            </w:r>
          </w:p>
        </w:tc>
        <w:tc>
          <w:tcPr>
            <w:tcW w:w="4680" w:type="dxa"/>
          </w:tcPr>
          <w:p>
            <w:pPr>
              <w:pStyle w:val="TableCell"/>
            </w:pPr>
            <w:r>
              <w:t xml:space="preserve">Bloody Sunday. Russian bonds fall in Paris.</w:t>
            </w:r>
          </w:p>
        </w:tc>
      </w:tr>
      <w:tr>
        <w:tc>
          <w:tcPr>
            <w:tcW w:w="4680" w:type="dxa"/>
          </w:tcPr>
          <w:p>
            <w:pPr>
              <w:pStyle w:val="TableCell"/>
            </w:pPr>
            <w:r>
              <w:t xml:space="preserve">31 March</w:t>
            </w:r>
          </w:p>
        </w:tc>
        <w:tc>
          <w:tcPr>
            <w:tcW w:w="4680" w:type="dxa"/>
          </w:tcPr>
          <w:p>
            <w:pPr>
              <w:pStyle w:val="TableCell"/>
            </w:pPr>
            <w:r>
              <w:t xml:space="preserve">The Kaiser lands at Tangier.</w:t>
            </w:r>
          </w:p>
        </w:tc>
      </w:tr>
      <w:tr>
        <w:tc>
          <w:tcPr>
            <w:tcW w:w="4680" w:type="dxa"/>
          </w:tcPr>
          <w:p>
            <w:pPr>
              <w:pStyle w:val="TableCell"/>
            </w:pPr>
            <w:r>
              <w:t xml:space="preserve">27 May</w:t>
            </w:r>
          </w:p>
        </w:tc>
        <w:tc>
          <w:tcPr>
            <w:tcW w:w="4680" w:type="dxa"/>
          </w:tcPr>
          <w:p>
            <w:pPr>
              <w:pStyle w:val="TableCell"/>
            </w:pPr>
            <w:r>
              <w:t xml:space="preserve">Tsushima. The Russian fleet ceases to exist.</w:t>
            </w:r>
          </w:p>
        </w:tc>
      </w:tr>
      <w:tr>
        <w:tc>
          <w:tcPr>
            <w:tcW w:w="4680" w:type="dxa"/>
          </w:tcPr>
          <w:p>
            <w:pPr>
              <w:pStyle w:val="TableCell"/>
            </w:pPr>
            <w:r>
              <w:t xml:space="preserve">6 June</w:t>
            </w:r>
          </w:p>
        </w:tc>
        <w:tc>
          <w:tcPr>
            <w:tcW w:w="4680" w:type="dxa"/>
          </w:tcPr>
          <w:p>
            <w:pPr>
              <w:pStyle w:val="TableCell"/>
            </w:pPr>
            <w:r>
              <w:t xml:space="preserve">Delcassé falls. France concedes rather than fight.</w:t>
            </w:r>
          </w:p>
        </w:tc>
      </w:tr>
      <w:tr>
        <w:tc>
          <w:tcPr>
            <w:tcW w:w="4680" w:type="dxa"/>
          </w:tcPr>
          <w:p>
            <w:pPr>
              <w:pStyle w:val="TableCell"/>
            </w:pPr>
            <w:r>
              <w:t xml:space="preserve">September</w:t>
            </w:r>
          </w:p>
        </w:tc>
        <w:tc>
          <w:tcPr>
            <w:tcW w:w="4680" w:type="dxa"/>
          </w:tcPr>
          <w:p>
            <w:pPr>
              <w:pStyle w:val="TableCell"/>
            </w:pPr>
            <w:r>
              <w:t xml:space="preserve">Portsmouth peace. Bonds rally.</w:t>
            </w:r>
          </w:p>
        </w:tc>
      </w:tr>
      <w:tr>
        <w:tc>
          <w:tcPr>
            <w:tcW w:w="4680" w:type="dxa"/>
          </w:tcPr>
          <w:p>
            <w:pPr>
              <w:pStyle w:val="TableCell"/>
            </w:pPr>
            <w:r>
              <w:t xml:space="preserve">December</w:t>
            </w:r>
          </w:p>
        </w:tc>
        <w:tc>
          <w:tcPr>
            <w:tcW w:w="4680" w:type="dxa"/>
          </w:tcPr>
          <w:p>
            <w:pPr>
              <w:pStyle w:val="TableCell"/>
            </w:pPr>
            <w:r>
              <w:t xml:space="preserve">The Moscow uprising. Bonds crash again.</w:t>
            </w:r>
          </w:p>
        </w:tc>
      </w:tr>
      <w:tr>
        <w:tc>
          <w:tcPr>
            <w:tcW w:w="4680" w:type="dxa"/>
          </w:tcPr>
          <w:p>
            <w:pPr>
              <w:pStyle w:val="TableCell"/>
            </w:pPr>
            <w:r>
              <w:t xml:space="preserve">Jan–April 1906</w:t>
            </w:r>
          </w:p>
        </w:tc>
        <w:tc>
          <w:tcPr>
            <w:tcW w:w="4680" w:type="dxa"/>
          </w:tcPr>
          <w:p>
            <w:pPr>
              <w:pStyle w:val="TableCell"/>
            </w:pPr>
            <w:r>
              <w:t xml:space="preserve">Algeciras.</w:t>
            </w:r>
          </w:p>
        </w:tc>
      </w:tr>
      <w:tr>
        <w:tc>
          <w:tcPr>
            <w:tcW w:w="4680" w:type="dxa"/>
          </w:tcPr>
          <w:p>
            <w:pPr>
              <w:pStyle w:val="TableCell"/>
            </w:pPr>
            <w:r>
              <w:t xml:space="preserve">April 1906</w:t>
            </w:r>
          </w:p>
        </w:tc>
        <w:tc>
          <w:tcPr>
            <w:tcW w:w="4680" w:type="dxa"/>
          </w:tcPr>
          <w:p>
            <w:pPr>
              <w:pStyle w:val="TableCell"/>
            </w:pPr>
            <w:r>
              <w:t xml:space="preserve">France leads the largest loan in history to Russia.</w:t>
            </w:r>
          </w:p>
        </w:tc>
      </w:tr>
    </w:tbl>
    <w:p>
      <w:r>
        <w:t xml:space="preserve">France did not concede over Morocco because it could not afford a war. It conceded because its army was convulsed by the </w:t>
      </w:r>
      <w:r>
        <w:rPr>
          <w:i/>
        </w:rPr>
        <w:t xml:space="preserve">affaire des fiches</w:t>
      </w:r>
      <w:r>
        <w:t xml:space="preserve">, because Britain had made no military commitment — the Entente was colonial, and staff talks began only that December — and because its only continental ally had been destroyed at sea and was in revolution at home.</w:t>
      </w:r>
    </w:p>
    <w:p>
      <w:r>
        <w:rPr>
          <w:b/>
        </w:rPr>
        <w:t xml:space="preserve">But the collapse of that ally was a French financial event as much as a French strategic one</w:t>
      </w:r>
      <w:r>
        <w:t xml:space="preserve">, and it happened to the same people in the same months. A French rentier in the spring of 1905 could watch his savings and his country's security impair together, for the same reason, in the same newspaper column. That is what makes this the right chapter to open a book about money and war: not a treasury saying no, but a nation discovering that its safety was a leveraged position in somebody else's solvency.</w:t>
      </w:r>
    </w:p>
    <w:p>
      <w:r>
        <w:rPr>
          <w:b/>
        </w:rPr>
        <w:t xml:space="preserve">And then France doubled down</w:t>
      </w:r>
      <w:r>
        <w:t xml:space="preserve">, which is what an investor with that exposure does. In April 1906, with Russia at its lowest and the bonds twice broken, France led the largest loan ever raised to that date to the government it needed solvent — and took Russian support at Algeciras as part of the bargain.</w:t>
      </w:r>
    </w:p>
    <w:p>
      <w:r>
        <w:t xml:space="preserve">That is the book's clearest instance of finance as a </w:t>
      </w:r>
      <w:r>
        <w:rPr>
          <w:i/>
        </w:rPr>
        <w:t xml:space="preserve">lever</w:t>
      </w:r>
      <w:r>
        <w:t xml:space="preserve">: capital deployed to buy a diplomatic outcome. It is also inferred from timing rather than documented as a quid pro quo, and the chapter must say so.</w:t>
      </w:r>
    </w:p>
    <w:p>
      <w:r>
        <w:rPr>
          <w:b/>
        </w:rPr>
        <w:t xml:space="preserve">Cast.</w:t>
      </w:r>
      <w:r>
        <w:t xml:space="preserve"> Rouvier — a banker running the government, who dropped his foreign minister rather than fight. Witte, who needed the money to survive the winter. The provincial holders of Russian paper, who are the reason any of it worked.</w:t>
      </w:r>
    </w:p>
    <w:p>
      <w:pPr>
        <w:pStyle w:val="Heading4"/>
      </w:pPr>
      <w:r>
        <w:t xml:space="preserve">The exhibit</w:t>
      </w:r>
    </w:p>
    <w:p>
      <w:r>
        <w:t xml:space="preserve">The chapter's central piece of evidence is a chart, and it is the one thing in this book that no reader will have seen before: the price of Russian government bonds on the Paris market, day by day through 1905, with the year's events marked on it.</w:t>
      </w:r>
    </w:p>
    <w:p>
      <w:r>
        <w:t xml:space="preserve">It should carry three lines and no more.</w:t>
      </w:r>
    </w:p>
    <w:p>
      <w:r>
        <w:rPr>
          <w:b/>
        </w:rPr>
        <w:t xml:space="preserve">The *fonds russes*.</w:t>
      </w:r>
      <w:r>
        <w:t xml:space="preserve"> The subject. Falling at Bloody Sunday, sagging through the spring, breaking at Tsushima, recovering on the Portsmouth peace, and broken again in December.</w:t>
      </w:r>
    </w:p>
    <w:p>
      <w:r>
        <w:rPr>
          <w:b/>
        </w:rPr>
        <w:t xml:space="preserve">The French 3% rente.</w:t>
      </w:r>
      <w:r>
        <w:t xml:space="preserve"> The control that matters most. If French government paper is steady across the same twelve months while Russian paper is halved, then what happened in 1905 was not a French financial crisis and cannot be described as one. It was a French </w:t>
      </w:r>
      <w:r>
        <w:rPr>
          <w:i/>
        </w:rPr>
        <w:t xml:space="preserve">portfolio</w:t>
      </w:r>
      <w:r>
        <w:t xml:space="preserve"> crisis — which is a different thing and the whole point of the chapter.</w:t>
      </w:r>
    </w:p>
    <w:p>
      <w:r>
        <w:rPr>
          <w:b/>
        </w:rPr>
        <w:t xml:space="preserve">One other foreign sovereign quoted in Paris.</w:t>
      </w:r>
      <w:r>
        <w:t xml:space="preserve"> Italian or Spanish, whichever has the cleanest run. This answers the second objection: that Paris was simply marking down foreign risk generally. If the third line sits between the other two, the shock was Russian and specific.</w:t>
      </w:r>
    </w:p>
    <w:p>
      <w:r>
        <w:t xml:space="preserve">Three lines, twelve months, six event markers. That chart is the chapter.</w:t>
      </w:r>
    </w:p>
    <w:p>
      <w:pPr>
        <w:pStyle w:val="Heading4"/>
      </w:pPr>
      <w:r>
        <w:t xml:space="preserve">The number that makes it human</w:t>
      </w:r>
    </w:p>
    <w:p>
      <w:r>
        <w:t xml:space="preserve">A price series establishes that Russian bonds fell. It does not establish that anything happened to anybody. The figure that does is the product of two others:</w:t>
      </w:r>
    </w:p>
    <w:p>
      <w:r>
        <w:rPr>
          <w:b/>
        </w:rPr>
        <w:t xml:space="preserve">the fall in price × the amount of Russian debt held in France.</w:t>
      </w:r>
    </w:p>
    <w:p>
      <w:r>
        <w:t xml:space="preserve">French holdings of Russian government debt ran into the billions of francs by 1905 and would reach something like ten to twelve billion by 1914, spread across a very large number of small holders — the </w:t>
      </w:r>
      <w:r>
        <w:rPr>
          <w:i/>
        </w:rPr>
        <w:t xml:space="preserve">petits rentiers</w:t>
      </w:r>
      <w:r>
        <w:t xml:space="preserve"> of the provinces, who held Russian paper the way an English clergyman held consols.</w:t>
      </w:r>
    </w:p>
    <w:p>
      <w:r>
        <w:t xml:space="preserve">Multiply the two and you have what 1905 cost French savers, in francs, before a shot was fired at a Frenchman. As far as I can establish, nobody has put that number in a book. It is the sentence this chapter is built to deliver, and it converts an abstraction — France's alliance was a leveraged position — into a loss suffered by identifiable people in a identifiable year.</w:t>
      </w:r>
    </w:p>
    <w:p>
      <w:r>
        <w:rPr>
          <w:b/>
        </w:rPr>
        <w:t xml:space="preserve">[RESEARCH — the holdings figure is the harder half.</w:t>
      </w:r>
      <w:r>
        <w:t xml:space="preserve"> </w:t>
      </w:r>
      <w:r>
        <w:rPr>
          <w:i/>
        </w:rPr>
        <w:t xml:space="preserve">Estimates of French holdings of Russian debt vary widely and are contested; the standard figures come from the interwar reparations and repudiation literature, which had its own reasons for the numbers it produced. Establish a 1905 figure with a stated source and a stated range, and give the loss as a range rather than a point. A defensible band is worth more here than a precise number that a specialist can dispute.]</w:t>
      </w:r>
    </w:p>
    <w:p>
      <w:r>
        <w:rPr>
          <w:b/>
        </w:rPr>
        <w:t xml:space="preserve">[RESEARCH — the price series.</w:t>
      </w:r>
      <w:r>
        <w:t xml:space="preserve"> </w:t>
      </w:r>
      <w:r>
        <w:rPr>
          <w:i/>
        </w:rPr>
        <w:t xml:space="preserve">Daily or weekly quotations of Russian 4% and 5% loans on the Paris Bourse across 1905, plus the French 3% rente and one comparator, from</w:t>
      </w:r>
      <w:r>
        <w:t xml:space="preserve"> Le Temps </w:t>
      </w:r>
      <w:r>
        <w:rPr>
          <w:i/>
        </w:rPr>
        <w:t xml:space="preserve">(Gallica, free, full text) or the</w:t>
      </w:r>
      <w:r>
        <w:t xml:space="preserve"> Bulletin de la Cote. </w:t>
      </w:r>
      <w:r>
        <w:rPr>
          <w:i/>
        </w:rPr>
        <w:t xml:space="preserve">The event dates are fixed and public: 22 January, 31 March, 27 May, 6 June, 5 September, December.]</w:t>
      </w:r>
    </w:p>
    <w:p>
      <w:r>
        <w:rPr>
          <w:b/>
        </w:rPr>
        <w:t xml:space="preserve">Evidence otherwise in hand.</w:t>
      </w:r>
      <w:r>
        <w:t xml:space="preserve"> French capital-export figures. The 1906 loan terms and subscription.</w:t>
      </w:r>
    </w:p>
    <w:p>
      <w:r>
        <w:rPr>
          <w:b/>
        </w:rPr>
        <w:t xml:space="preserve">Open.</w:t>
      </w:r>
      <w:r>
        <w:t xml:space="preserve"> Whether any document ties the loan to Russian support at Algeciras. French Ministry of Finance records; the Paribas consortium papers; the Russian side in Kokovtsov's and Witte's accounts.</w:t>
      </w:r>
    </w:p>
    <w:p>
      <w:r>
        <w:rPr>
          <w:b/>
        </w:rPr>
        <w:t xml:space="preserve">What this chapter establishes for the rest of the book.</w:t>
      </w:r>
      <w:r>
        <w:t xml:space="preserve"> That French capital was an instrument of French policy before it was ever a weapon — and that the men who understood this in 1906 were the same political generation who, five years later, would be accused of turning it on Germany.</w:t>
      </w:r>
    </w:p>
    <w:p>
      <w:pPr>
        <w:pBdr>
          <w:bottom w:val="single" w:sz="6" w:space="1" w:color="CCCCCC"/>
        </w:pBdr>
      </w:pPr>
    </w:p>
    <w:p>
      <w:pPr>
        <w:pStyle w:val="Heading3"/>
      </w:pPr>
      <w:r>
        <w:t xml:space="preserve">II. Bosnia, 1908–09 — the empty treasury</w:t>
      </w:r>
    </w:p>
    <w:p>
      <w:r>
        <w:rPr>
          <w:b/>
        </w:rPr>
        <w:t xml:space="preserve">The argument.</w:t>
      </w:r>
      <w:r>
        <w:t xml:space="preserve"> Russia's ministers did not believe it could finance the prolonged war they expected. The state was recovering from war, revolution and fiscal dislocation, had no direct tax machinery worth the name, and borrowed abroad on terms Paris set.</w:t>
      </w:r>
    </w:p>
    <w:p>
      <w:r>
        <w:rPr>
          <w:b/>
        </w:rPr>
        <w:t xml:space="preserve">The evidence problem, stated up front.</w:t>
      </w:r>
      <w:r>
        <w:t xml:space="preserve"> The money market was easy through the Bosnian crisis and Lansburgh is silent on it. Russian spreads were </w:t>
      </w:r>
      <w:r>
        <w:rPr>
          <w:i/>
        </w:rPr>
        <w:t xml:space="preserve">improving</w:t>
      </w:r>
      <w:r>
        <w:t xml:space="preserve"> — 2.01, 2.00, 1.52, 1.24 across 1906–09 — and kept improving through the crisis. That is not the absence of a constraint. It is Russia becoming a better peacetime borrower while remaining unable to fund a general war. </w:t>
      </w:r>
      <w:r>
        <w:rPr>
          <w:b/>
        </w:rPr>
        <w:t xml:space="preserve">Creditworthiness on existing debt and capacity to mobilise thirty billion roubles are different variables, and only one of them is in a spread.</w:t>
      </w:r>
    </w:p>
    <w:p>
      <w:r>
        <w:t xml:space="preserve">This chapter therefore rests on budgets, council records and Kokovtsov's testimony, and the book should explain why — it is the clearest illustration of the instrument problem in reverse.</w:t>
      </w:r>
    </w:p>
    <w:p>
      <w:r>
        <w:rPr>
          <w:b/>
        </w:rPr>
        <w:t xml:space="preserve">Cast.</w:t>
      </w:r>
      <w:r>
        <w:t xml:space="preserve"> Kokovtsov. Izvolsky. Aehrenthal.</w:t>
      </w:r>
    </w:p>
    <w:p>
      <w:r>
        <w:rPr>
          <w:b/>
        </w:rPr>
        <w:t xml:space="preserve">The thread forward.</w:t>
      </w:r>
      <w:r>
        <w:t xml:space="preserve"> Kokovtsov was dismissed on 30 January 1914. The reasons were mixed — Duma friction, the press, court disfavour — but fiscal conservatism was among them, and the rescript to his successor Bark instructed that the treasury could no longer rest on the ruin of the Tsar's subjects. Within months Russia suspended the spirit monopoly, roughly a quarter to a third of ordinary revenue, in the same weeks it mobilised. </w:t>
      </w:r>
      <w:r>
        <w:rPr>
          <w:b/>
        </w:rPr>
        <w:t xml:space="preserve">Russia is the one power in the five that opened a new capability gap on the eve of the war rather than closing one.</w:t>
      </w:r>
    </w:p>
    <w:p>
      <w:r>
        <w:t xml:space="preserve">Do not argue that prohibition lost Russia the war. Four years of retained vodka revenue covers a fraction of thirty billion roubles of war expenditure. What the decision reveals is that ordinary revenue had stopped mattering, because the war would be short and borrowed.</w:t>
      </w:r>
    </w:p>
    <w:p>
      <w:r>
        <w:rPr>
          <w:b/>
        </w:rPr>
        <w:t xml:space="preserve">Open.</w:t>
      </w:r>
      <w:r>
        <w:t xml:space="preserve"> Kokovtsov's memoirs are indispensable and self-serving; test against contemporary budget papers. Verify the revenue share, the timing of the prohibition decree, and whether temperance is actually cited in the dismissal.</w:t>
      </w:r>
    </w:p>
    <w:p>
      <w:pPr>
        <w:pBdr>
          <w:bottom w:val="single" w:sz="6" w:space="1" w:color="CCCCCC"/>
        </w:pBdr>
      </w:pPr>
    </w:p>
    <w:p>
      <w:pPr>
        <w:pStyle w:val="Heading3"/>
      </w:pPr>
      <w:r>
        <w:t xml:space="preserve">III. Agadir, 1911 — the squeeze</w:t>
      </w:r>
    </w:p>
    <w:p>
      <w:r>
        <w:rPr>
          <w:b/>
        </w:rPr>
        <w:t xml:space="preserve">Status: written.</w:t>
      </w:r>
      <w:r>
        <w:t xml:space="preserve"> See </w:t>
      </w:r>
      <w:r>
        <w:rPr>
          <w:rFonts w:ascii="Consolas" w:hAnsi="Consolas"/>
          <w:sz w:val="18"/>
        </w:rPr>
        <w:t xml:space="preserve">agadir-essay-magazine.md</w:t>
      </w:r>
      <w:r>
        <w:t xml:space="preserve"> (reader version, c. 4,500 words) and </w:t>
      </w:r>
      <w:r>
        <w:rPr>
          <w:rFonts w:ascii="Consolas" w:hAnsi="Consolas"/>
          <w:sz w:val="18"/>
        </w:rPr>
        <w:t xml:space="preserve">agadir-essay-draft.md</w:t>
      </w:r>
      <w:r>
        <w:t xml:space="preserve"> (working version).</w:t>
      </w:r>
    </w:p>
    <w:p>
      <w:r>
        <w:rPr>
          <w:b/>
        </w:rPr>
        <w:t xml:space="preserve">The argument as it now stands.</w:t>
      </w:r>
      <w:r>
        <w:t xml:space="preserve"> Germany began a confrontation and discovered mid-crisis that its money market could be emptied by the prospect of the war it was threatening. Not brought to its knees — it repaid a hundred and fifty million dollars of French balances before the quarter closed and shipped no gold — but brought to a weak place, which is what produces the response that follows.</w:t>
      </w:r>
    </w:p>
    <w:p>
      <w:r>
        <w:rPr>
          <w:b/>
        </w:rPr>
        <w:t xml:space="preserve">The evidence is quantitative and it is strong.</w:t>
      </w:r>
      <w:r>
        <w:t xml:space="preserve"> Four hundred and eighty million marks off the eight great Berlin banks. Deutsche Bank down two hundred and twenty-four million, an eighth of its foreign funding, pressing the Foreign Office for a calming statement. Three hundred million out of the Bourse in call loans. Reichsbank rationing above 1907 levels. A deposit run in the provinces. The mark at its gold point. And the mechanism named by Lansburgh: German banks could not place their acceptances given the refusing attitude of the French money market, the best buyer of German bank acceptances.</w:t>
      </w:r>
    </w:p>
    <w:p>
      <w:r>
        <w:rPr>
          <w:b/>
        </w:rPr>
        <w:t xml:space="preserve">What has been withdrawn.</w:t>
      </w:r>
      <w:r>
        <w:t xml:space="preserve"> The spot-versus-to-arrive gap, which resolves into a quarter-end premium rather than a crisis signature. And the claim that the Reichsbank held its rate — it raised a full point on 19 September, and half of Europe followed.</w:t>
      </w:r>
    </w:p>
    <w:p>
      <w:r>
        <w:rPr>
          <w:b/>
        </w:rPr>
        <w:t xml:space="preserve">The unresolved question, honestly framed.</w:t>
      </w:r>
      <w:r>
        <w:t xml:space="preserve"> Whether France directed the withdrawal. Four observers in three countries with opposed interests independently named French withdrawals as the operative fact; Caillaux later claimed authorship; the Bank of France's balance sheet shows the money did not accumulate in Paris. The chapter's position: necessity and direction are not alternatives — a government need not manufacture a withdrawal, only be consulted on whose balances get called. Unestablished is the chain of command, not the phenomenon.</w:t>
      </w:r>
    </w:p>
    <w:p>
      <w:r>
        <w:rPr>
          <w:b/>
        </w:rPr>
        <w:t xml:space="preserve">Cast.</w:t>
      </w:r>
      <w:r>
        <w:t xml:space="preserve"> Kiderlen and Cambon in a room. Dorizon on a train. Havenstein holding for ten days and then moving. Caillaux at the Place Beauvau. Lansburgh with the balance sheets. Warburg insisting it failed.</w:t>
      </w:r>
    </w:p>
    <w:p>
      <w:pPr>
        <w:pBdr>
          <w:bottom w:val="single" w:sz="6" w:space="1" w:color="CCCCCC"/>
        </w:pBdr>
      </w:pPr>
    </w:p>
    <w:p>
      <w:pPr>
        <w:pStyle w:val="Heading3"/>
      </w:pPr>
      <w:r>
        <w:t xml:space="preserve">IV. The Balkans, 1912–13 — where the money actually bit</w:t>
      </w:r>
    </w:p>
    <w:p>
      <w:r>
        <w:rPr>
          <w:b/>
        </w:rPr>
        <w:t xml:space="preserve">This chapter is now the book's strongest empirical case and it is the least written.</w:t>
      </w:r>
    </w:p>
    <w:p>
      <w:r>
        <w:t xml:space="preserve">Two independent tests point here. On the crisis ledger it is the only pre-war episode rated </w:t>
      </w:r>
      <w:r>
        <w:rPr>
          <w:b/>
        </w:rPr>
        <w:t xml:space="preserve">real</w:t>
      </w:r>
      <w:r>
        <w:t xml:space="preserve"> — a great-power mobilisation scare, with the Austro-Hungarian Bank marching 5 → 5½ → 6% and deposit runs reported in the </w:t>
      </w:r>
      <w:r>
        <w:rPr>
          <w:i/>
        </w:rPr>
        <w:t xml:space="preserve">Neue Freie Presse</w:t>
      </w:r>
      <w:r>
        <w:t xml:space="preserve">. And on the cause-or-cover control test it is the one clean case: Austria's spread breaks its 1910–12 decline (0.56 → 0.70 → 1.00) above every control year — though it builds slowly across the crisis rather than sharply before the decision.</w:t>
      </w:r>
    </w:p>
    <w:p>
      <w:r>
        <w:rPr>
          <w:b/>
        </w:rPr>
        <w:t xml:space="preserve">The argument.</w:t>
      </w:r>
      <w:r>
        <w:t xml:space="preserve"> Austria-Hungary mobilised, spent enormously, fought nobody, and emerged unable to afford the next crisis. Of the five powers it is the only one that never closed the gap the crisis exposed — which is why, in July 1914, the repair had to be performed for it by an ally.</w:t>
      </w:r>
    </w:p>
    <w:p>
      <w:r>
        <w:rPr>
          <w:b/>
        </w:rPr>
        <w:t xml:space="preserve">A methodological point the book should make here.</w:t>
      </w:r>
      <w:r>
        <w:t xml:space="preserve"> The </w:t>
      </w:r>
      <w:r>
        <w:rPr>
          <w:i/>
        </w:rPr>
        <w:t xml:space="preserve">Neue Freie Presse</w:t>
      </w:r>
      <w:r>
        <w:t xml:space="preserve"> shows a Viennese term structure that the London-based trade press flattened to "Vienna 6%." The Anglophone record of continental money markets is a compression of the continental record. That is why this project reads Vienna in Vienna, Berlin in Berlin, Paris in Paris.</w:t>
      </w:r>
    </w:p>
    <w:p>
      <w:r>
        <w:rPr>
          <w:b/>
        </w:rPr>
        <w:t xml:space="preserve">Cast.</w:t>
      </w:r>
      <w:r>
        <w:t xml:space="preserve"> Biliński. Conrad. And on the German side, the December 1912 council that produced a request for postponement on material grounds.</w:t>
      </w:r>
    </w:p>
    <w:p>
      <w:r>
        <w:rPr>
          <w:b/>
        </w:rPr>
        <w:t xml:space="preserve">Open, and this is the priority.</w:t>
      </w:r>
      <w:r>
        <w:t xml:space="preserve"> Austro-Hungarian budget and delegation records: what the mobilisation actually cost and how it was funded. Whether Biliński said in writing what the ledger implies. Whether anything was attempted by way of repair.</w:t>
      </w:r>
    </w:p>
    <w:p>
      <w:pPr>
        <w:pBdr>
          <w:bottom w:val="single" w:sz="6" w:space="1" w:color="CCCCCC"/>
        </w:pBdr>
      </w:pPr>
    </w:p>
    <w:p>
      <w:pPr>
        <w:pStyle w:val="Heading3"/>
      </w:pPr>
      <w:r>
        <w:t xml:space="preserve">V. July 1914 — the question nobody asked</w:t>
      </w:r>
    </w:p>
    <w:p>
      <w:r>
        <w:rPr>
          <w:b/>
        </w:rPr>
        <w:t xml:space="preserve">The argument.</w:t>
      </w:r>
      <w:r>
        <w:t xml:space="preserve"> In every crisis from 1905 to 1913 the money question was asked, and a finance principal answered it. In July 1914 the decision circle was Bethmann, Wilhelm, Jagow, Zimmermann, Moltke. No Reichsbank president. No Treasury secretary.</w:t>
      </w:r>
    </w:p>
    <w:p>
      <w:r>
        <w:rPr>
          <w:b/>
        </w:rPr>
        <w:t xml:space="preserve">And the German financial apparatus did nothing during the quiet weeks.</w:t>
      </w:r>
      <w:r>
        <w:t xml:space="preserve"> The published record shows the informal steps beginning only during the late-July panic: the Reichsbank extending the money supply, suspending specie payments on 31 July, the imperial gold reserve of 240 million marks transferred on 2 August. Nothing between 5 and 23 July. The state had knowledge the market lacked for eighteen days and took no financial action, because the men who would have acted had not been told.</w:t>
      </w:r>
    </w:p>
    <w:p>
      <w:r>
        <w:rPr>
          <w:b/>
        </w:rPr>
        <w:t xml:space="preserve">Why the market said nothing.</w:t>
      </w:r>
      <w:r>
        <w:t xml:space="preserve"> It had nothing to price. Germany's assurance to Vienna was private, on the fifth. The ultimatum was drafted through the middle of the month in deliberate quiet, timed for after the French president had sailed from St Petersburg, and delivered on the twenty-third with a forty-eight-hour limit whose purpose was to prevent the dispute passing into a conference, as every dispute since 1905 had.</w:t>
      </w:r>
    </w:p>
    <w:p>
      <w:r>
        <w:t xml:space="preserve">So the market's first opportunity to price the crisis was the ultimatum — and the ultimatum was not a step toward the decision. It was the decision becoming visible.</w:t>
      </w:r>
    </w:p>
    <w:p>
      <w:r>
        <w:rPr>
          <w:b/>
        </w:rPr>
        <w:t xml:space="preserve">Be careful with the timing claim.</w:t>
      </w:r>
      <w:r>
        <w:t xml:space="preserve"> Material stress appeared within about a fortnight in the earlier crises, and in the last week of July 1914 it appeared on schedule and with force: consols down nearly six per cent, German bonds five, Austrian six, the Bank of England from three to ten in four days. The brake was not slow. </w:t>
      </w:r>
      <w:r>
        <w:rPr>
          <w:b/>
        </w:rPr>
        <w:t xml:space="preserve">The argument rests on sequence, not duration</w:t>
      </w:r>
      <w:r>
        <w:t xml:space="preserve"> — the assurance of 5 July and the ultimatum of 23 July both precede any possible market reaction — and that rests on dates alone, which is where it should stay.</w:t>
      </w:r>
    </w:p>
    <w:p>
      <w:r>
        <w:rPr>
          <w:b/>
        </w:rPr>
        <w:t xml:space="preserve">And the last-week cross-section measures marketability, not war risk.</w:t>
      </w:r>
      <w:r>
        <w:t xml:space="preserve"> Consols fell hardest because they were the most saleable asset on earth. The aggregate fall is the war signal; the ordering is liquidity.</w:t>
      </w:r>
    </w:p>
    <w:p>
      <w:r>
        <w:rPr>
          <w:b/>
        </w:rPr>
        <w:t xml:space="preserve">Cast.</w:t>
      </w:r>
      <w:r>
        <w:t xml:space="preserve"> Bethmann. Berchtold. Havenstein, not consulted.</w:t>
      </w:r>
    </w:p>
    <w:p>
      <w:r>
        <w:rPr>
          <w:b/>
        </w:rPr>
        <w:t xml:space="preserve">Open.</w:t>
      </w:r>
      <w:r>
        <w:t xml:space="preserve"> Whether anything in the Reichsbank or Treasury files shows action in the 5–23 July window. Zilch; the Reichsbank </w:t>
      </w:r>
      <w:r>
        <w:rPr>
          <w:i/>
        </w:rPr>
        <w:t xml:space="preserve">Verwaltungsbericht</w:t>
      </w:r>
      <w:r>
        <w:t xml:space="preserve"> for 1914; BArch R 2 and R 2501.</w:t>
      </w:r>
    </w:p>
    <w:p>
      <w:pPr>
        <w:pBdr>
          <w:bottom w:val="single" w:sz="6" w:space="1" w:color="CCCCCC"/>
        </w:pBdr>
      </w:pPr>
    </w:p>
    <w:p>
      <w:pPr>
        <w:pStyle w:val="Heading3"/>
      </w:pPr>
      <w:r>
        <w:t xml:space="preserve">THE ENGINE: "NEVER AGAIN"</w:t>
      </w:r>
    </w:p>
    <w:p>
      <w:r>
        <w:t xml:space="preserve">Each crisis exposed one power's gap, and the years afterwards were spent closing it.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Crisis</w:t>
            </w:r>
          </w:p>
        </w:tc>
        <w:tc>
          <w:tcPr>
            <w:tcW w:w="2340" w:type="dxa"/>
            <w:shd w:val="clear" w:fill="EEEEF6"/>
          </w:tcPr>
          <w:p>
            <w:pPr>
              <w:pStyle w:val="TableCell"/>
            </w:pPr>
            <w:r>
              <w:rPr>
                <w:b/>
              </w:rPr>
              <w:t xml:space="preserve">Exposed</w:t>
            </w:r>
          </w:p>
        </w:tc>
        <w:tc>
          <w:tcPr>
            <w:tcW w:w="2340" w:type="dxa"/>
            <w:shd w:val="clear" w:fill="EEEEF6"/>
          </w:tcPr>
          <w:p>
            <w:pPr>
              <w:pStyle w:val="TableCell"/>
            </w:pPr>
            <w:r>
              <w:rPr>
                <w:b/>
              </w:rPr>
              <w:t xml:space="preserve">Revealed</w:t>
            </w:r>
          </w:p>
        </w:tc>
        <w:tc>
          <w:tcPr>
            <w:tcW w:w="2340" w:type="dxa"/>
            <w:shd w:val="clear" w:fill="EEEEF6"/>
          </w:tcPr>
          <w:p>
            <w:pPr>
              <w:pStyle w:val="TableCell"/>
            </w:pPr>
            <w:r>
              <w:rPr>
                <w:b/>
              </w:rPr>
              <w:t xml:space="preserve">Built afterwards</w:t>
            </w:r>
          </w:p>
        </w:tc>
      </w:tr>
      <w:tr>
        <w:tc>
          <w:tcPr>
            <w:tcW w:w="2340" w:type="dxa"/>
          </w:tcPr>
          <w:p>
            <w:pPr>
              <w:pStyle w:val="TableCell"/>
            </w:pPr>
            <w:r>
              <w:t xml:space="preserve">Morocco I, 1905–06</w:t>
            </w:r>
          </w:p>
        </w:tc>
        <w:tc>
          <w:tcPr>
            <w:tcW w:w="2340" w:type="dxa"/>
          </w:tcPr>
          <w:p>
            <w:pPr>
              <w:pStyle w:val="TableCell"/>
            </w:pPr>
            <w:r>
              <w:t xml:space="preserve">France</w:t>
            </w:r>
          </w:p>
        </w:tc>
        <w:tc>
          <w:tcPr>
            <w:tcW w:w="2340" w:type="dxa"/>
          </w:tcPr>
          <w:p>
            <w:pPr>
              <w:pStyle w:val="TableCell"/>
            </w:pPr>
            <w:r>
              <w:t xml:space="preserve">No modern extraction; Russian weakness transmitted into French portfolios</w:t>
            </w:r>
          </w:p>
        </w:tc>
        <w:tc>
          <w:tcPr>
            <w:tcW w:w="2340" w:type="dxa"/>
          </w:tcPr>
          <w:p>
            <w:pPr>
              <w:pStyle w:val="TableCell"/>
            </w:pPr>
            <w:r>
              <w:t xml:space="preserve">Caillaux's campaign for an income tax; French capital rebuilding Russia</w:t>
            </w:r>
          </w:p>
        </w:tc>
      </w:tr>
      <w:tr>
        <w:tc>
          <w:tcPr>
            <w:tcW w:w="2340" w:type="dxa"/>
          </w:tcPr>
          <w:p>
            <w:pPr>
              <w:pStyle w:val="TableCell"/>
            </w:pPr>
            <w:r>
              <w:t xml:space="preserve">Bosnia, 1908–09</w:t>
            </w:r>
          </w:p>
        </w:tc>
        <w:tc>
          <w:tcPr>
            <w:tcW w:w="2340" w:type="dxa"/>
          </w:tcPr>
          <w:p>
            <w:pPr>
              <w:pStyle w:val="TableCell"/>
            </w:pPr>
            <w:r>
              <w:t xml:space="preserve">Russia</w:t>
            </w:r>
          </w:p>
        </w:tc>
        <w:tc>
          <w:tcPr>
            <w:tcW w:w="2340" w:type="dxa"/>
          </w:tcPr>
          <w:p>
            <w:pPr>
              <w:pStyle w:val="TableCell"/>
            </w:pPr>
            <w:r>
              <w:t xml:space="preserve">Could not fund the war its ministers expected</w:t>
            </w:r>
          </w:p>
        </w:tc>
        <w:tc>
          <w:tcPr>
            <w:tcW w:w="2340" w:type="dxa"/>
          </w:tcPr>
          <w:p>
            <w:pPr>
              <w:pStyle w:val="TableCell"/>
            </w:pPr>
            <w:r>
              <w:t xml:space="preserve">Rearmament and strategic railways, financed from Paris</w:t>
            </w:r>
          </w:p>
        </w:tc>
      </w:tr>
      <w:tr>
        <w:tc>
          <w:tcPr>
            <w:tcW w:w="2340" w:type="dxa"/>
          </w:tcPr>
          <w:p>
            <w:pPr>
              <w:pStyle w:val="TableCell"/>
            </w:pPr>
            <w:r>
              <w:t xml:space="preserve">Agadir, 1911</w:t>
            </w:r>
          </w:p>
        </w:tc>
        <w:tc>
          <w:tcPr>
            <w:tcW w:w="2340" w:type="dxa"/>
          </w:tcPr>
          <w:p>
            <w:pPr>
              <w:pStyle w:val="TableCell"/>
            </w:pPr>
            <w:r>
              <w:t xml:space="preserve">Germany</w:t>
            </w:r>
          </w:p>
        </w:tc>
        <w:tc>
          <w:tcPr>
            <w:tcW w:w="2340" w:type="dxa"/>
          </w:tcPr>
          <w:p>
            <w:pPr>
              <w:pStyle w:val="TableCell"/>
            </w:pPr>
            <w:r>
              <w:t xml:space="preserve">Rich but illiquid; dependent on foreign short credit</w:t>
            </w:r>
          </w:p>
        </w:tc>
        <w:tc>
          <w:tcPr>
            <w:tcW w:w="2340" w:type="dxa"/>
          </w:tcPr>
          <w:p>
            <w:pPr>
              <w:pStyle w:val="TableCell"/>
            </w:pPr>
            <w:r>
              <w:rPr>
                <w:i/>
              </w:rPr>
              <w:t xml:space="preserve">Wehrbeitrag</w:t>
            </w:r>
            <w:r>
              <w:t xml:space="preserve"> 1913; Juliusturm doubled; gold coin drawn in; twice-monthly bank reporting; the rate cartel; Havenstein's liquidity reform, </w:t>
            </w:r>
            <w:r>
              <w:rPr>
                <w:b/>
              </w:rPr>
              <w:t xml:space="preserve">completed July 1914</w:t>
            </w:r>
          </w:p>
        </w:tc>
      </w:tr>
      <w:tr>
        <w:tc>
          <w:tcPr>
            <w:tcW w:w="2340" w:type="dxa"/>
          </w:tcPr>
          <w:p>
            <w:pPr>
              <w:pStyle w:val="TableCell"/>
            </w:pPr>
            <w:r>
              <w:t xml:space="preserve">Balkans, 1912–13</w:t>
            </w:r>
          </w:p>
        </w:tc>
        <w:tc>
          <w:tcPr>
            <w:tcW w:w="2340" w:type="dxa"/>
          </w:tcPr>
          <w:p>
            <w:pPr>
              <w:pStyle w:val="TableCell"/>
            </w:pPr>
            <w:r>
              <w:t xml:space="preserve">Austria-Hungary</w:t>
            </w:r>
          </w:p>
        </w:tc>
        <w:tc>
          <w:tcPr>
            <w:tcW w:w="2340" w:type="dxa"/>
          </w:tcPr>
          <w:p>
            <w:pPr>
              <w:pStyle w:val="TableCell"/>
            </w:pPr>
            <w:r>
              <w:t xml:space="preserve">Capacity spent on a mobilisation that fought nobody</w:t>
            </w:r>
          </w:p>
        </w:tc>
        <w:tc>
          <w:tcPr>
            <w:tcW w:w="2340" w:type="dxa"/>
          </w:tcPr>
          <w:p>
            <w:pPr>
              <w:pStyle w:val="TableCell"/>
            </w:pPr>
            <w:r>
              <w:rPr>
                <w:b/>
              </w:rPr>
              <w:t xml:space="preserve">Nothing established</w:t>
            </w:r>
          </w:p>
        </w:tc>
      </w:tr>
      <w:tr>
        <w:tc>
          <w:tcPr>
            <w:tcW w:w="2340" w:type="dxa"/>
          </w:tcPr>
          <w:p>
            <w:pPr>
              <w:pStyle w:val="TableCell"/>
            </w:pPr>
            <w:r>
              <w:t xml:space="preserve">July 1914</w:t>
            </w:r>
          </w:p>
        </w:tc>
        <w:tc>
          <w:tcPr>
            <w:tcW w:w="2340" w:type="dxa"/>
          </w:tcPr>
          <w:p>
            <w:pPr>
              <w:pStyle w:val="TableCell"/>
            </w:pPr>
            <w:r>
              <w:t xml:space="preserve">Austria and Germany</w:t>
            </w:r>
          </w:p>
        </w:tc>
        <w:tc>
          <w:tcPr>
            <w:tcW w:w="2340" w:type="dxa"/>
          </w:tcPr>
          <w:p>
            <w:pPr>
              <w:pStyle w:val="TableCell"/>
            </w:pPr>
            <w:r>
              <w:t xml:space="preserve">Vienna's gap, covered by German assurance</w:t>
            </w:r>
          </w:p>
        </w:tc>
        <w:tc>
          <w:tcPr>
            <w:tcW w:w="2340" w:type="dxa"/>
          </w:tcPr>
          <w:p>
            <w:pPr>
              <w:pStyle w:val="TableCell"/>
            </w:pPr>
            <w:r>
              <w:t xml:space="preserve">War before the arrangement was tested</w:t>
            </w:r>
          </w:p>
        </w:tc>
      </w:tr>
    </w:tbl>
    <w:p>
      <w:r>
        <w:rPr>
          <w:b/>
        </w:rPr>
        <w:t xml:space="preserve">The last two rows are the argument.</w:t>
      </w:r>
      <w:r>
        <w:t xml:space="preserve"> Four powers found their weakness and worked at it. One could not, and the repair was performed for it on credit, a fortnight before the ultimatum.</w:t>
      </w:r>
    </w:p>
    <w:p>
      <w:r>
        <w:rPr>
          <w:b/>
        </w:rPr>
        <w:t xml:space="preserve">[EVIDENTIARY LIMIT.</w:t>
      </w:r>
      <w:r>
        <w:t xml:space="preserve"> </w:t>
      </w:r>
      <w:r>
        <w:rPr>
          <w:i/>
        </w:rPr>
        <w:t xml:space="preserve">Do not write "underwriting" until it is documented. Whether the assurance of 5 July amounted to a specific financial commitment, or was political and strategic support this book is reading financially, must be demonstrated. It is currently an interpretation and the most load-bearing one in the book.]</w:t>
      </w:r>
    </w:p>
    <w:p>
      <w:r>
        <w:rPr>
          <w:b/>
        </w:rPr>
        <w:t xml:space="preserve">[CAUTION.</w:t>
      </w:r>
      <w:r>
        <w:t xml:space="preserve"> </w:t>
      </w:r>
      <w:r>
        <w:rPr>
          <w:i/>
        </w:rPr>
        <w:t xml:space="preserve">Prudential reserve-building and preparation for aggression are identical on a balance sheet. The test is whether ministers themselves connected the vulnerability they experienced with the measures they adopted — documentary, not quantitative. On the German side one contemporary sentence does most of the work: a New York weekly in the first week of August 1914 noting the Reichsbank had added upwards of a hundred million dollars of gold since the Morocco incident.]</w:t>
      </w:r>
    </w:p>
    <w:p>
      <w:pPr>
        <w:pBdr>
          <w:bottom w:val="single" w:sz="6" w:space="1" w:color="CCCCCC"/>
        </w:pBdr>
      </w:pPr>
    </w:p>
    <w:p>
      <w:pPr>
        <w:pStyle w:val="Heading3"/>
      </w:pPr>
      <w:r>
        <w:t xml:space="preserve">THE FRENCH THREAD</w:t>
      </w:r>
    </w:p>
    <w:p>
      <w:r>
        <w:t xml:space="preserve">In 1905 France had no general income tax. It funded itself on levies inherited from the Revolution and on the </w:t>
      </w:r>
      <w:r>
        <w:rPr>
          <w:i/>
        </w:rPr>
        <w:t xml:space="preserve">rente</w:t>
      </w:r>
      <w:r>
        <w:t xml:space="preserve"> — perpetual bonds held by farmers, shopkeepers and schoolteachers as savings and as patriotic habit. A wealthy country with no modern instrument for reaching its own wealth quickly.</w:t>
      </w:r>
    </w:p>
    <w:p>
      <w:r>
        <w:t xml:space="preserve">Joseph Caillaux spent the next decade trying to change that. The Senate called the assessment machinery an inquisition.</w:t>
      </w:r>
    </w:p>
    <w:p>
      <w:r>
        <w:t xml:space="preserve">The law passed on 15 July 1914.</w:t>
      </w:r>
    </w:p>
    <w:p>
      <w:r>
        <w:t xml:space="preserve">Caillaux was not in office to see it. He had resigned after his wife walked into the offices of </w:t>
      </w:r>
      <w:r>
        <w:rPr>
          <w:i/>
        </w:rPr>
        <w:t xml:space="preserve">Le Figaro</w:t>
      </w:r>
      <w:r>
        <w:t xml:space="preserve"> and shot the editor. Her trial filled the French press through the last weeks of peace; she was acquitted on 28 July, the day Austria-Hungary declared war on Serbia.</w:t>
      </w:r>
    </w:p>
    <w:p>
      <w:r>
        <w:t xml:space="preserve">France had authorised the instrument it lacked. It had not built the administration or collected a franc.</w:t>
      </w:r>
    </w:p>
    <w:p>
      <w:r>
        <w:rPr>
          <w:b/>
        </w:rPr>
        <w:t xml:space="preserve">And one line runs alongside it.</w:t>
      </w:r>
      <w:r>
        <w:t xml:space="preserve"> Britain had funded wars on parliamentary credit since the 1690s, and by 1912–13 was spending about three per cent of national income on defence with debt falling from roughly a quarter of national income to under a fifth — deleveraging while Germany's budget committed to increases through 1917. France's income tax: July 1914. Germany's war profits tax: 1916. Russia's income tax: 1916. </w:t>
      </w:r>
      <w:r>
        <w:rPr>
          <w:b/>
        </w:rPr>
        <w:t xml:space="preserve">Every continental power built its extraction machinery during or immediately before the war it needed it for. Nobody was ready.</w:t>
      </w:r>
    </w:p>
    <w:p>
      <w:pPr>
        <w:pBdr>
          <w:bottom w:val="single" w:sz="6" w:space="1" w:color="CCCCCC"/>
        </w:pBdr>
      </w:pPr>
    </w:p>
    <w:p>
      <w:pPr>
        <w:pStyle w:val="Heading3"/>
      </w:pPr>
      <w:r>
        <w:t xml:space="preserve">RESEARCH SCHEDULE</w:t>
      </w:r>
    </w:p>
    <w:p>
      <w:pPr>
        <w:pStyle w:val="Heading4"/>
      </w:pPr>
      <w:r>
        <w:t xml:space="preserve">Priorities, revised</w:t>
      </w:r>
    </w:p>
    <w:p>
      <w:pPr>
        <w:pStyle w:val="ListParagraph"/>
        <w:ind w:left="360" w:hanging="360"/>
      </w:pPr>
      <w:r>
        <w:t xml:space="preserve">1.  </w:t>
      </w:r>
      <w:r>
        <w:rPr>
          <w:b/>
        </w:rPr>
        <w:t xml:space="preserve">Austria-Hungary, 1912–13.</w:t>
      </w:r>
      <w:r>
        <w:t xml:space="preserve"> The strongest empirical case and the least developed chapter. Delegation proceedings on the common budget; what the mobilisation cost and how it was funded; the </w:t>
      </w:r>
      <w:r>
        <w:rPr>
          <w:i/>
        </w:rPr>
        <w:t xml:space="preserve">Neue Freie Presse</w:t>
      </w:r>
      <w:r>
        <w:t xml:space="preserve"> through the winter.</w:t>
      </w:r>
    </w:p>
    <w:p>
      <w:pPr>
        <w:pStyle w:val="ListParagraph"/>
        <w:ind w:left="360" w:hanging="360"/>
      </w:pPr>
      <w:r>
        <w:t xml:space="preserve">2.  </w:t>
      </w:r>
      <w:r>
        <w:rPr>
          <w:b/>
        </w:rPr>
        <w:t xml:space="preserve">Deutsche Bank Historisches Institut, Frankfurt.</w:t>
      </w:r>
      <w:r>
        <w:t xml:space="preserve"> Whether the six-million-franc credit existed; how the bank described foreign-credit conditions; </w:t>
      </w:r>
      <w:r>
        <w:rPr>
          <w:b/>
        </w:rPr>
        <w:t xml:space="preserve">and the approach to the Foreign Office</w:t>
      </w:r>
      <w:r>
        <w:t xml:space="preserve">, which is now the single most load-bearing sentence in Chapter III and rests on one line of transcribed text.</w:t>
      </w:r>
    </w:p>
    <w:p>
      <w:pPr>
        <w:pStyle w:val="ListParagraph"/>
        <w:ind w:left="360" w:hanging="360"/>
      </w:pPr>
      <w:r>
        <w:t xml:space="preserve">3.  </w:t>
      </w:r>
      <w:r>
        <w:rPr>
          <w:b/>
        </w:rPr>
        <w:t xml:space="preserve">Nantes</w:t>
      </w:r>
      <w:r>
        <w:t xml:space="preserve"> — the Berlin embassy's own files, for Dorizon's errand and for what Paris asked Cambon to report.</w:t>
      </w:r>
    </w:p>
    <w:p>
      <w:pPr>
        <w:pStyle w:val="ListParagraph"/>
        <w:ind w:left="360" w:hanging="360"/>
      </w:pPr>
      <w:r>
        <w:t xml:space="preserve">4.  </w:t>
      </w:r>
      <w:r>
        <w:rPr>
          <w:b/>
        </w:rPr>
        <w:t xml:space="preserve">La Courneuve</w:t>
      </w:r>
      <w:r>
        <w:t xml:space="preserve"> — whether the Quai d'Orsay encouraged the withdrawals or knew of them.</w:t>
      </w:r>
    </w:p>
    <w:p>
      <w:pPr>
        <w:pStyle w:val="ListParagraph"/>
        <w:ind w:left="360" w:hanging="360"/>
      </w:pPr>
      <w:r>
        <w:t xml:space="preserve">5.  </w:t>
      </w:r>
      <w:r>
        <w:rPr>
          <w:b/>
        </w:rPr>
        <w:t xml:space="preserve">Zilch, and the Reichsbank *Verwaltungsberichte* (BArch R 2501)</w:t>
      </w:r>
      <w:r>
        <w:t xml:space="preserve"> — the 5–23 July 1914 question, and the internal reasoning behind the 19 September 1911 rate rise.</w:t>
      </w:r>
    </w:p>
    <w:p>
      <w:pPr>
        <w:pStyle w:val="ListParagraph"/>
        <w:ind w:left="360" w:hanging="360"/>
      </w:pPr>
      <w:r>
        <w:t xml:space="preserve">6.  </w:t>
      </w:r>
      <w:r>
        <w:rPr>
          <w:b/>
        </w:rPr>
        <w:t xml:space="preserve">Russian material for Chapter II</w:t>
      </w:r>
      <w:r>
        <w:t xml:space="preserve"> — budget papers and council records against Kokovtsov's memoirs.</w:t>
      </w:r>
    </w:p>
    <w:p>
      <w:pPr>
        <w:pStyle w:val="Heading4"/>
      </w:pPr>
      <w:r>
        <w:t xml:space="preserve">Sources and discipline</w:t>
      </w:r>
    </w:p>
    <w:p>
      <w:r>
        <w:t xml:space="preserve">Neal–Weidenmier weekly rates. </w:t>
      </w:r>
      <w:r>
        <w:rPr>
          <w:i/>
        </w:rPr>
        <w:t xml:space="preserve">Commercial and Financial Chronicle</w:t>
      </w:r>
      <w:r>
        <w:t xml:space="preserve"> (FRASER). Lansburgh's </w:t>
      </w:r>
      <w:r>
        <w:rPr>
          <w:i/>
        </w:rPr>
        <w:t xml:space="preserve">Die Bank</w:t>
      </w:r>
      <w:r>
        <w:t xml:space="preserve"> (Zenodo 5115892). </w:t>
      </w:r>
      <w:r>
        <w:rPr>
          <w:i/>
        </w:rPr>
        <w:t xml:space="preserve">Neue Freie Presse</w:t>
      </w:r>
      <w:r>
        <w:t xml:space="preserve"> (ANNO). </w:t>
      </w:r>
      <w:r>
        <w:rPr>
          <w:i/>
        </w:rPr>
        <w:t xml:space="preserve">Le Temps</w:t>
      </w:r>
      <w:r>
        <w:t xml:space="preserve"> (Gallica). Ellison &amp; Scott for market-value UK debt. Correlates of War for 1913 trade shares.</w:t>
      </w:r>
    </w:p>
    <w:p>
      <w:r>
        <w:t xml:space="preserve">Every transcribed figure is OCR-grade. Fractional rates come off page images; OCR locates, it never authorises a number. Where tables carry internal arithmetic, use row and column sums as validity checks. Every quotation checked against the image and recorded with issue, date and page.</w:t>
      </w:r>
    </w:p>
    <w:p>
      <w:pPr>
        <w:pStyle w:val="Heading4"/>
      </w:pPr>
      <w:r>
        <w:t xml:space="preserve">What would weaken or falsify the argument</w:t>
      </w:r>
    </w:p>
    <w:p>
      <w:pPr>
        <w:pStyle w:val="ListParagraph"/>
        <w:ind w:left="360" w:hanging="360"/>
      </w:pPr>
      <w:r>
        <w:t xml:space="preserve">•  </w:t>
      </w:r>
      <w:r>
        <w:t xml:space="preserve">Financial stress consistently </w:t>
      </w:r>
      <w:r>
        <w:rPr>
          <w:i/>
        </w:rPr>
        <w:t xml:space="preserve">following</w:t>
      </w:r>
      <w:r>
        <w:t xml:space="preserve"> the key diplomatic decisions.</w:t>
      </w:r>
    </w:p>
    <w:p>
      <w:pPr>
        <w:pStyle w:val="ListParagraph"/>
        <w:ind w:left="360" w:hanging="360"/>
      </w:pPr>
      <w:r>
        <w:t xml:space="preserve">•  </w:t>
      </w:r>
      <w:r>
        <w:t xml:space="preserve">Treasury and central-bank officials not communicating material constraints to political leaders.</w:t>
      </w:r>
    </w:p>
    <w:p>
      <w:pPr>
        <w:pStyle w:val="ListParagraph"/>
        <w:ind w:left="360" w:hanging="360"/>
      </w:pPr>
      <w:r>
        <w:t xml:space="preserve">•  </w:t>
      </w:r>
      <w:r>
        <w:t xml:space="preserve">Official records failing to connect financial weakness to recommendations for restraint.</w:t>
      </w:r>
    </w:p>
    <w:p>
      <w:pPr>
        <w:pStyle w:val="ListParagraph"/>
        <w:ind w:left="360" w:hanging="360"/>
      </w:pPr>
      <w:r>
        <w:t xml:space="preserve">•  </w:t>
      </w:r>
      <w:r>
        <w:t xml:space="preserve">Post-crisis repairs unrelated to the vulnerabilities the crises revealed.</w:t>
      </w:r>
    </w:p>
    <w:p>
      <w:pPr>
        <w:pStyle w:val="ListParagraph"/>
        <w:ind w:left="360" w:hanging="360"/>
      </w:pPr>
      <w:r>
        <w:t xml:space="preserve">•  </w:t>
      </w:r>
      <w:r>
        <w:t xml:space="preserve">Governments in July 1914 understanding the constraints and consciously overriding them well before the ultimatum.</w:t>
      </w:r>
    </w:p>
    <w:p>
      <w:r>
        <w:rPr>
          <w:i/>
        </w:rPr>
        <w:t xml:space="preserve">The last would not make finance irrelevant. It would make this a book about the deliberate overriding of financial restraint rather than a warning that arrived too late — a different book, and still a good one.</w:t>
      </w:r>
    </w:p>
    <w:p>
      <w:pPr>
        <w:pStyle w:val="Heading4"/>
      </w:pPr>
      <w:r>
        <w:t xml:space="preserve">And a limit to state once, in the text</w:t>
      </w:r>
    </w:p>
    <w:p>
      <w:r>
        <w:t xml:space="preserve">Four crises; roughly four usable control years, each carrying its own disturbance; strong secular trends in Russian and Austrian spreads. </w:t>
      </w:r>
      <w:r>
        <w:rPr>
          <w:b/>
        </w:rPr>
        <w:t xml:space="preserve">This sample cannot adjudicate cause versus cover in either direction, however it is sliced.</w:t>
      </w:r>
      <w:r>
        <w:t xml:space="preserve"> Say so once, let the archives carry the causal claim, and no reviewer can accuse the book of overreach or of evasion.</w:t>
      </w:r>
    </w:p>
    <w:p>
      <w:pPr>
        <w:pBdr>
          <w:bottom w:val="single" w:sz="6" w:space="1" w:color="CCCCCC"/>
        </w:pBdr>
      </w:pPr>
    </w:p>
    <w:p>
      <w:pPr>
        <w:pBdr>
          <w:bottom w:val="single" w:sz="6" w:space="1" w:color="CCCCCC"/>
        </w:pBdr>
      </w:pPr>
    </w:p>
    <w:p>
      <w:pPr>
        <w:pStyle w:val="Heading2"/>
        <w:pageBreakBefore/>
      </w:pPr>
      <w:r>
        <w:t xml:space="preserve">AFTERWORD — THE METHOD BEYOND 1914</w:t>
      </w:r>
    </w:p>
    <w:p>
      <w:r>
        <w:rPr>
          <w:i/>
        </w:rPr>
        <w:t xml:space="preserve">A closing part for the book, in the book's voice and under the book's discipline. It does not belong to the 1905–1914 argument and must not be folded into it; it is the account of what the instrument built for those nine years sees when it is pointed at the rest of the century — and at the week this book went to press. Charted modern series are reproducible (daily S&amp;P via Yahoo `^GSPC` back to 1928; FRED for oil and post-1957 equities); documentary and prediction-market figures are cited, point-in-time, and carry [VERIFY]. Full workings in the repository: `docs/synthesis_and_lessons.md`, `docs/modern_</w:t>
      </w:r>
      <w:r>
        <w:t xml:space="preserve">.md</w:t>
      </w:r>
      <w:r>
        <w:rPr>
          <w:rFonts w:ascii="Consolas" w:hAnsi="Consolas"/>
          <w:sz w:val="18"/>
        </w:rPr>
        <w:t xml:space="preserve">, and </w:t>
      </w:r>
      <w:r>
        <w:t xml:space="preserve">docs/research_agenda.md`.*</w:t>
      </w:r>
    </w:p>
    <w:p>
      <w:pPr>
        <w:pBdr>
          <w:bottom w:val="single" w:sz="6" w:space="1" w:color="CCCCCC"/>
        </w:pBdr>
      </w:pPr>
    </w:p>
    <w:p>
      <w:r>
        <w:t xml:space="preserve">The instrument this book built to read nine years of European peace was not built for them. It was built for the general problem the nine years happen to pose in their purest form: how a market prices the risk of a war, and what that pricing does and does not tell a government. Pointed forward, the same instrument keeps working, and it keeps returning the same three findings — with one addition the pre-1914 world could not supply, and one limit it could not reach.</w:t>
      </w:r>
    </w:p>
    <w:p>
      <w:r>
        <w:t xml:space="preserve">A word on register first, because it is a real seam and not a rhetorical one. This book is about </w:t>
      </w:r>
      <w:r>
        <w:rPr>
          <w:i/>
        </w:rPr>
        <w:t xml:space="preserve">non-events</w:t>
      </w:r>
      <w:r>
        <w:t xml:space="preserve"> — the wars that did not happen, the constraint that is a level and not a movement, the silence of an easy money market as the clearest evidence there is. The cases that follow are mostly about </w:t>
      </w:r>
      <w:r>
        <w:rPr>
          <w:i/>
        </w:rPr>
        <w:t xml:space="preserve">events</w:t>
      </w:r>
      <w:r>
        <w:t xml:space="preserve"> — wars that happened, and were priced as they happened. The method travels; the subject shifts. What survives the shift is the method's four questions and its one discipline, and that is the claim of this afterword: not that 1914 and 1991 are the same, but that the same audit reads them both.</w:t>
      </w:r>
    </w:p>
    <w:p>
      <w:pPr>
        <w:pStyle w:val="Heading4"/>
      </w:pPr>
      <w:r>
        <w:t xml:space="preserve">Discrimination, across a century</w:t>
      </w:r>
    </w:p>
    <w:p>
      <w:r>
        <w:t xml:space="preserve">The crisis ledger of "What the Market Saw" sorted the pre-war crises by a single criterion — whether they could have gone </w:t>
      </w:r>
      <w:r>
        <w:rPr>
          <w:i/>
        </w:rPr>
        <w:t xml:space="preserve">general</w:t>
      </w:r>
      <w:r>
        <w:t xml:space="preserve">. The market ignored two Balkan wars and priced a mobilisation scare that produced no war at all. That is not a quirk of thin Edwardian data. It is the rule, and the twentieth century states it in daily prices.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Rung</w:t>
            </w:r>
          </w:p>
        </w:tc>
        <w:tc>
          <w:tcPr>
            <w:tcW w:w="3120" w:type="dxa"/>
            <w:shd w:val="clear" w:fill="EEEEF6"/>
          </w:tcPr>
          <w:p>
            <w:pPr>
              <w:pStyle w:val="TableCell"/>
            </w:pPr>
            <w:r>
              <w:rPr>
                <w:b/>
              </w:rPr>
              <w:t xml:space="preserve">Verdict</w:t>
            </w:r>
          </w:p>
        </w:tc>
        <w:tc>
          <w:tcPr>
            <w:tcW w:w="3120" w:type="dxa"/>
            <w:shd w:val="clear" w:fill="EEEEF6"/>
          </w:tcPr>
          <w:p>
            <w:pPr>
              <w:pStyle w:val="TableCell"/>
            </w:pPr>
            <w:r>
              <w:rPr>
                <w:b/>
              </w:rPr>
              <w:t xml:space="preserve">The cases</w:t>
            </w:r>
          </w:p>
        </w:tc>
      </w:tr>
      <w:tr>
        <w:tc>
          <w:tcPr>
            <w:tcW w:w="3120" w:type="dxa"/>
          </w:tcPr>
          <w:p>
            <w:pPr>
              <w:pStyle w:val="TableCell"/>
            </w:pPr>
            <w:r>
              <w:t xml:space="preserve">Localised war</w:t>
            </w:r>
          </w:p>
        </w:tc>
        <w:tc>
          <w:tcPr>
            <w:tcW w:w="3120" w:type="dxa"/>
          </w:tcPr>
          <w:p>
            <w:pPr>
              <w:pStyle w:val="TableCell"/>
            </w:pPr>
            <w:r>
              <w:rPr>
                <w:b/>
              </w:rPr>
              <w:t xml:space="preserve">ignored</w:t>
            </w:r>
          </w:p>
        </w:tc>
        <w:tc>
          <w:tcPr>
            <w:tcW w:w="3120" w:type="dxa"/>
          </w:tcPr>
          <w:p>
            <w:pPr>
              <w:pStyle w:val="TableCell"/>
            </w:pPr>
            <w:r>
              <w:t xml:space="preserve">Second Balkan 1913; Falklands 1982 — real wars the great markets discounted</w:t>
            </w:r>
          </w:p>
        </w:tc>
      </w:tr>
      <w:tr>
        <w:tc>
          <w:tcPr>
            <w:tcW w:w="3120" w:type="dxa"/>
          </w:tcPr>
          <w:p>
            <w:pPr>
              <w:pStyle w:val="TableCell"/>
            </w:pPr>
            <w:r>
              <w:t xml:space="preserve">General, judged unlikely</w:t>
            </w:r>
          </w:p>
        </w:tc>
        <w:tc>
          <w:tcPr>
            <w:tcW w:w="3120" w:type="dxa"/>
          </w:tcPr>
          <w:p>
            <w:pPr>
              <w:pStyle w:val="TableCell"/>
            </w:pPr>
            <w:r>
              <w:rPr>
                <w:b/>
              </w:rPr>
              <w:t xml:space="preserve">discounted</w:t>
            </w:r>
          </w:p>
        </w:tc>
        <w:tc>
          <w:tcPr>
            <w:tcW w:w="3120" w:type="dxa"/>
          </w:tcPr>
          <w:p>
            <w:pPr>
              <w:pStyle w:val="TableCell"/>
            </w:pPr>
            <w:r>
              <w:t xml:space="preserve">Berlin Airlift 1948 — the market rose </w:t>
            </w:r>
            <w:r>
              <w:rPr>
                <w:i/>
              </w:rPr>
              <w:t xml:space="preserve">through</w:t>
            </w:r>
            <w:r>
              <w:t xml:space="preserve"> the war scare</w:t>
            </w:r>
          </w:p>
        </w:tc>
      </w:tr>
      <w:tr>
        <w:tc>
          <w:tcPr>
            <w:tcW w:w="3120" w:type="dxa"/>
          </w:tcPr>
          <w:p>
            <w:pPr>
              <w:pStyle w:val="TableCell"/>
            </w:pPr>
            <w:r>
              <w:t xml:space="preserve">General and survivable</w:t>
            </w:r>
          </w:p>
        </w:tc>
        <w:tc>
          <w:tcPr>
            <w:tcW w:w="3120" w:type="dxa"/>
          </w:tcPr>
          <w:p>
            <w:pPr>
              <w:pStyle w:val="TableCell"/>
            </w:pPr>
            <w:r>
              <w:rPr>
                <w:b/>
              </w:rPr>
              <w:t xml:space="preserve">priced</w:t>
            </w:r>
          </w:p>
        </w:tc>
        <w:tc>
          <w:tcPr>
            <w:tcW w:w="3120" w:type="dxa"/>
          </w:tcPr>
          <w:p>
            <w:pPr>
              <w:pStyle w:val="TableCell"/>
            </w:pPr>
            <w:r>
              <w:t xml:space="preserve">Korea 1950; the Gulf Wars; 2022 — priced, and dynamically</w:t>
            </w:r>
          </w:p>
        </w:tc>
      </w:tr>
      <w:tr>
        <w:tc>
          <w:tcPr>
            <w:tcW w:w="3120" w:type="dxa"/>
          </w:tcPr>
          <w:p>
            <w:pPr>
              <w:pStyle w:val="TableCell"/>
            </w:pPr>
            <w:r>
              <w:t xml:space="preserve">Existential</w:t>
            </w:r>
          </w:p>
        </w:tc>
        <w:tc>
          <w:tcPr>
            <w:tcW w:w="3120" w:type="dxa"/>
          </w:tcPr>
          <w:p>
            <w:pPr>
              <w:pStyle w:val="TableCell"/>
            </w:pPr>
            <w:r>
              <w:rPr>
                <w:b/>
              </w:rPr>
              <w:t xml:space="preserve">un-priceable</w:t>
            </w:r>
          </w:p>
        </w:tc>
        <w:tc>
          <w:tcPr>
            <w:tcW w:w="3120" w:type="dxa"/>
          </w:tcPr>
          <w:p>
            <w:pPr>
              <w:pStyle w:val="TableCell"/>
            </w:pPr>
            <w:r>
              <w:t xml:space="preserve">Cuba 1962; Berlin 1961 — the limit (below)</w:t>
            </w:r>
          </w:p>
        </w:tc>
      </w:tr>
    </w:tbl>
    <w:p>
      <w:r>
        <w:t xml:space="preserve">Korea is the case the pre-war data was too thin to show: a single war repriced </w:t>
      </w:r>
      <w:r>
        <w:rPr>
          <w:i/>
        </w:rPr>
        <w:t xml:space="preserve">up and down</w:t>
      </w:r>
      <w:r>
        <w:t xml:space="preserve"> on one continuous series as its probability of going general rose and fell. It broke roughly thirteen per cent on the June 1950 invasion — feared, in that summer, as the opening of a third world war — recovered its whole loss once Inchon made the war look contained, broke again when China's entry revived the general-war fear, and made new highs once the thing settled into a limited war. The market was never pricing "a war." It was pricing the probability of </w:t>
      </w:r>
      <w:r>
        <w:rPr>
          <w:i/>
        </w:rPr>
        <w:t xml:space="preserve">the</w:t>
      </w:r>
      <w:r>
        <w:t xml:space="preserve"> war, exactly as Stockholm and Copenhagen were in 1912. And the outbreak of the Second World War makes the same point from the opposite side: the American market </w:t>
      </w:r>
      <w:r>
        <w:rPr>
          <w:i/>
        </w:rPr>
        <w:t xml:space="preserve">rose</w:t>
      </w:r>
      <w:r>
        <w:t xml:space="preserve"> twenty-one per cent on the invasion of Poland — the war a neutral supplier could profit from — and did not crash until the fall of France eight months later turned a distant boom into a systemic threat. Same war; repriced when its character changed.</w:t>
      </w:r>
    </w:p>
    <w:p>
      <w:pPr>
        <w:pStyle w:val="Heading4"/>
      </w:pPr>
      <w:r>
        <w:t xml:space="preserve">Anticipation and resolution — and why Chapter V is the ur-case</w:t>
      </w:r>
    </w:p>
    <w:p>
      <w:r>
        <w:t xml:space="preserve">The century sharpens the book's most important qualification into a general finding, and it is worth stating plainly because it is the sentence a reader will carry out of the whole project:</w:t>
      </w:r>
    </w:p>
    <w:p>
      <w:pPr>
        <w:pStyle w:val="Quote"/>
      </w:pPr>
      <w:r>
        <w:t xml:space="preserve">Markets are poor at anticipating whether a war will happen, and good at pricing its consequences once the decision is taken.</w:t>
      </w:r>
    </w:p>
    <w:p>
      <w:r>
        <w:t xml:space="preserve">Chapter V is the origin of this, not an application of it. The July 1914 money market said nothing before the ultimatum because it had nothing to price — the decision was private on the fifth and invisible until the twenty-third — and then it seized within the week. That is the two-channel finding in its first and clearest form: a </w:t>
      </w:r>
      <w:r>
        <w:rPr>
          <w:b/>
        </w:rPr>
        <w:t xml:space="preserve">weak anticipation channel</w:t>
      </w:r>
      <w:r>
        <w:t xml:space="preserve"> (the market cannot price a decision that has not been made, and discounts the war-talk that has cried wolf before) and a </w:t>
      </w:r>
      <w:r>
        <w:rPr>
          <w:b/>
        </w:rPr>
        <w:t xml:space="preserve">strong resolution channel</w:t>
      </w:r>
      <w:r>
        <w:t xml:space="preserve"> (once the decision becomes visible, the repricing is fast, large, and correct). Everything forward confirms it. Munich cried wolf and then rallied on the accord. Pearl Harbor, a genuine surprise, drew only a modest first-day fall because a surprise offers nothing to anticipate and the war was already half in the price. The oil premium of 1990 collapsed thirty per cent in a single day when Desert Storm began — not because the war ended but because the </w:t>
      </w:r>
      <w:r>
        <w:rPr>
          <w:i/>
        </w:rPr>
        <w:t xml:space="preserve">uncertainty</w:t>
      </w:r>
      <w:r>
        <w:t xml:space="preserve"> did, and a central bank said as much in its own bulletin that quarter. The market's talent is not prophecy. It is the pricing of a taken decision.</w:t>
      </w:r>
    </w:p>
    <w:p>
      <w:r>
        <w:t xml:space="preserve">This is also the disciplined answer to the objection that this book merely restates that markets are war-averse. The anticipation channel is where war-aversion would live, and it is the market's </w:t>
      </w:r>
      <w:r>
        <w:rPr>
          <w:i/>
        </w:rPr>
        <w:t xml:space="preserve">weak</w:t>
      </w:r>
      <w:r>
        <w:t xml:space="preserve"> channel — mild, selective, and, in the cases that follow, repeatedly overridden. What the market does well is not advocacy. It is arithmetic on a decision already made.</w:t>
      </w:r>
    </w:p>
    <w:p>
      <w:pPr>
        <w:pStyle w:val="Heading4"/>
      </w:pPr>
      <w:r>
        <w:t xml:space="preserve">The instrument problem, confirmed</w:t>
      </w:r>
    </w:p>
    <w:p>
      <w:r>
        <w:t xml:space="preserve">"The Instrument Problem" argued that the signal lives in whichever instrument is exposed, and that the instrument carrying the signal is the channel through which the signal reaches the decision. The century is a catalogue of the same mechanism with the instrument changed. In 1905 the exposure was a sovereign bond and the signal was in the </w:t>
      </w:r>
      <w:r>
        <w:rPr>
          <w:i/>
        </w:rPr>
        <w:t xml:space="preserve">fonds russes</w:t>
      </w:r>
      <w:r>
        <w:t xml:space="preserve">. In 1911 and at Suez it was the exchange and the reserve. In the Gulf, in 2022, and over Iran it is </w:t>
      </w:r>
      <w:r>
        <w:rPr>
          <w:b/>
        </w:rPr>
        <w:t xml:space="preserve">oil</w:t>
      </w:r>
      <w:r>
        <w:t xml:space="preserve"> — the modern discount market, the place where the risk of the </w:t>
      </w:r>
      <w:r>
        <w:rPr>
          <w:i/>
        </w:rPr>
        <w:t xml:space="preserve">next barrel</w:t>
      </w:r>
      <w:r>
        <w:t xml:space="preserve"> is priced the way the risk of the next month's bills once was. The lesson is unchanged: read the exposed instrument, and read the resolution, not the ambient level. The economist Roberto Rigobon and the central banker Brian Sack measured exactly this for the 2003 Iraq war — a "war-risk factor" that raised oil and lowered equities — by the same heteroskedasticity identification this project uses to read Berlin in 1911. That two independent efforts reach the same estimator across a century is the strongest evidence that the method is about structure, not period.</w:t>
      </w:r>
    </w:p>
    <w:p>
      <w:pPr>
        <w:pStyle w:val="Heading4"/>
      </w:pPr>
      <w:r>
        <w:t xml:space="preserve">The one addition — finance as a weapon</w:t>
      </w:r>
    </w:p>
    <w:p>
      <w:r>
        <w:t xml:space="preserve">Here the modern record adds something the book's discipline was right to withhold from 1905–1914. The pre-war formulation was that finance was </w:t>
      </w:r>
      <w:r>
        <w:rPr>
          <w:i/>
        </w:rPr>
        <w:t xml:space="preserve">the substrate and the lever</w:t>
      </w:r>
      <w:r>
        <w:t xml:space="preserve"> — never the constraint unless a decision demonstrably turned on it. That discipline holds for the nine years. But the twentieth-century state learned to wield finance as an outright </w:t>
      </w:r>
      <w:r>
        <w:rPr>
          <w:i/>
        </w:rPr>
        <w:t xml:space="preserve">weapon</w:t>
      </w:r>
      <w:r>
        <w:t xml:space="preserve">, and the evidence for it is documentary in a way the pre-war squeeze never was. The lineage is three freezes: the American freeze of Japanese assets in 1941, which cornered Japan toward war; the American denial of sterling support at Suez in 1956, which forced a great power to abort a war it was winning; and the freezing of Russian reserves in 2022, which punished without halting. One weapon, three outcomes — provoked, coerced, punished — and the effect turns on whether the target has a survivable alternative. The discipline of Chapter III applies unchanged: the </w:t>
      </w:r>
      <w:r>
        <w:rPr>
          <w:i/>
        </w:rPr>
        <w:t xml:space="preserve">effect</w:t>
      </w:r>
      <w:r>
        <w:t xml:space="preserve"> is documented in every case; the </w:t>
      </w:r>
      <w:r>
        <w:rPr>
          <w:i/>
        </w:rPr>
        <w:t xml:space="preserve">decisiveness</w:t>
      </w:r>
      <w:r>
        <w:t xml:space="preserve"> must be argued, never assumed. This is the friendly amendment the modern record makes to the book, and the one place the story grows a face the pre-war chapters do not show.</w:t>
      </w:r>
    </w:p>
    <w:p>
      <w:pPr>
        <w:pStyle w:val="Heading4"/>
      </w:pPr>
      <w:r>
        <w:t xml:space="preserve">The limit — the risk that cannot be priced</w:t>
      </w:r>
    </w:p>
    <w:p>
      <w:r>
        <w:t xml:space="preserve">And a limit, at the top of the ladder, that closes the method honestly. In October 1962 the American market fell only a few per cent through the most dangerous fortnight in human history, and its low came </w:t>
      </w:r>
      <w:r>
        <w:rPr>
          <w:i/>
        </w:rPr>
        <w:t xml:space="preserve">before</w:t>
      </w:r>
      <w:r>
        <w:t xml:space="preserve"> the most dangerous days; it rose on the morning the blockade was enforced. The reason is not that the market judged the risk small. It is that there is no state of the world in which selling paid off — a claim on a future that, in the catastrophic branch, does not exist. </w:t>
      </w:r>
      <w:r>
        <w:rPr>
          <w:b/>
        </w:rPr>
        <w:t xml:space="preserve">You cannot price a catastrophe you will not survive to collect on.</w:t>
      </w:r>
      <w:r>
        <w:t xml:space="preserve"> The discrimination test has a ceiling, and existential risk sits above it, unpriced not because it is improbable but because the instrument cannot represent it. The absence of a premium is not the absence of a danger. That is the last thing the method has to say, and it is a warning, not a null.</w:t>
      </w:r>
    </w:p>
    <w:p>
      <w:pPr>
        <w:pBdr>
          <w:bottom w:val="single" w:sz="6" w:space="1" w:color="CCCCCC"/>
        </w:pBdr>
      </w:pPr>
    </w:p>
    <w:p>
      <w:pPr>
        <w:pStyle w:val="Heading3"/>
      </w:pPr>
      <w:r>
        <w:t xml:space="preserve">NOT THIS YEAR, AGAIN — a closing note written to the week</w:t>
      </w:r>
    </w:p>
    <w:p>
      <w:r>
        <w:t xml:space="preserve">This book takes its title from the answer the money question received in every crisis from 1905 to 1913: not this year. It is being finished in a year when the question is live again, and the honest thing is to let the method speak to it under its own discipline rather than to end on the safety of the past.</w:t>
      </w:r>
    </w:p>
    <w:p>
      <w:r>
        <w:t xml:space="preserve">As these pages go to press, in the late summer of 2026, there is a war between Iran on one side and the United States and Israel on the other, a fragile and repeatedly violated ceasefire, and a Strait of Hormuz that has already been closed once this year and may be again. When it was closed, in the spring, oil ran from the high fifties to a hundred and fourteen dollars and held above a hundred for two months — the tail </w:t>
      </w:r>
      <w:r>
        <w:rPr>
          <w:i/>
        </w:rPr>
        <w:t xml:space="preserve">materialising</w:t>
      </w:r>
      <w:r>
        <w:t xml:space="preserve">, where a year earlier, in June 2025, the same strait was only threatened and oil spiked and fell back below its starting point within days. The instrument behaved exactly as the method says it should: the size and the </w:t>
      </w:r>
      <w:r>
        <w:rPr>
          <w:i/>
        </w:rPr>
        <w:t xml:space="preserve">duration</w:t>
      </w:r>
      <w:r>
        <w:t xml:space="preserve"> of the move discriminated a real closure from a scare, and equities, through all of it, treated a Middle Eastern war as an energy shock and made new highs — pricing whether the </w:t>
      </w:r>
      <w:r>
        <w:rPr>
          <w:i/>
        </w:rPr>
        <w:t xml:space="preserve">system</w:t>
      </w:r>
      <w:r>
        <w:t xml:space="preserve"> would hold, not who would fight, precisely as Europe's money market did in 1912.</w:t>
      </w:r>
    </w:p>
    <w:p>
      <w:r>
        <w:t xml:space="preserve">Two things about this moment the pre-war economist could not have had. The first is that the </w:t>
      </w:r>
      <w:r>
        <w:rPr>
          <w:i/>
        </w:rPr>
        <w:t xml:space="preserve">anticipation</w:t>
      </w:r>
      <w:r>
        <w:t xml:space="preserve"> channel — the market's weak one, the one that failed in July 1914 — is for the first time directly observable. Prediction markets now price the decision itself: as this is written, the crowd puts American forces entering Iran by year's end near ninety per cent and normal traffic through Hormuz by September at under half, with tens of millions of dollars staked. For the first time one can </w:t>
      </w:r>
      <w:r>
        <w:rPr>
          <w:i/>
        </w:rPr>
        <w:t xml:space="preserve">decompose</w:t>
      </w:r>
      <w:r>
        <w:t xml:space="preserve"> the oil price — the probability of disruption read off the prediction market, the size read off the futures curve — and in the spring the odds of a reopening moved first and the oil price followed. The century-old blind spot has an instrument pointed at it. The second thing is a caution the book has earned the right to give: that instrument is thin and manipulable, the prediction market can cry wolf as loudly as any rumour ever did, and the resolution channel still dominates — the clean repricing is at the actual closure or the durable ceasefire, not in today's oscillating price or today's odds.</w:t>
      </w:r>
    </w:p>
    <w:p>
      <w:r>
        <w:t xml:space="preserve">So the method declines, on principle, to tell you how it ends. What it will say is structural and it is enough. The tradeable tail is Hormuz; it is survivable and collectable, so unlike the nuclear tail the market </w:t>
      </w:r>
      <w:r>
        <w:rPr>
          <w:i/>
        </w:rPr>
        <w:t xml:space="preserve">can</w:t>
      </w:r>
      <w:r>
        <w:t xml:space="preserve"> price it, and it will hold a large premium only while the strait is actually shut. A calm oil price is not a forecast of peace — it is the market declining to handicap a decision no one has yet made, which is the exact error a generation of observers made in the summer of 1914. The book's whole argument is that the money question is a step at which things can fail, and that somebody has to be in the room to ask it. The market cannot ask it for you. It can only price the answer once you have given one.</w:t>
      </w:r>
    </w:p>
    <w:p>
      <w:r>
        <w:t xml:space="preserve">Not this year, the century keeps saying, until the year it doesn't.</w:t>
      </w:r>
    </w:p>
    <w:p>
      <w:pPr>
        <w:pBdr>
          <w:bottom w:val="single" w:sz="6" w:space="1" w:color="CCCCCC"/>
        </w:pBdr>
      </w:pPr>
    </w:p>
    <w:p>
      <w:r>
        <w:rPr>
          <w:b/>
        </w:rPr>
        <w:t xml:space="preserve">[REGISTER — for the editor.</w:t>
      </w:r>
      <w:r>
        <w:t xml:space="preserve"> </w:t>
      </w:r>
      <w:r>
        <w:rPr>
          <w:i/>
        </w:rPr>
        <w:t xml:space="preserve">This afterword should be set apart from the five chapters — a coda, a second part, or an appendix — and never cited inside the 1905–1914 argument as if the modern cases corroborated the pre-war ones. They corroborate the</w:t>
      </w:r>
      <w:r>
        <w:t xml:space="preserve"> method</w:t>
      </w:r>
      <w:r>
        <w:rPr>
          <w:i/>
        </w:rPr>
        <w:t xml:space="preserve">, not the history. The seam is real and the book is stronger for marking it than for blurring it.]</w:t>
      </w:r>
    </w:p>
    <w:p>
      <w:r>
        <w:rPr>
          <w:b/>
        </w:rPr>
        <w:t xml:space="preserve">[VERIFY — the 2026 material is contemporary and moving.</w:t>
      </w:r>
      <w:r>
        <w:t xml:space="preserve"> </w:t>
      </w:r>
      <w:r>
        <w:rPr>
          <w:i/>
        </w:rPr>
        <w:t xml:space="preserve">Every 2026 figure (the oil path, the prediction-market odds, the sequence of ceasefire violations) is drawn from press reporting as the book closes and must be dated precisely and re-checked at proof stage; the automated watch in `war_premia/iran_watch.py` keeps the series current between now and press. The June-2025 and Gulf-War numbers are from FRED and reproducible; the Bank of England and Rigobon–Sack citations are fixed.]</w:t>
      </w:r>
    </w:p>
    <w:p>
      <w:pPr>
        <w:pStyle w:val="Heading1"/>
        <w:pageBreakBefore/>
      </w:pPr>
      <w:r>
        <w:t xml:space="preserve">Part II — The Later Risk Episodes, 1938–2026</w:t>
      </w:r>
    </w:p>
    <w:p>
      <w:pPr>
        <w:pStyle w:val="Heading2"/>
        <w:pageBreakBefore/>
      </w:pPr>
      <w:r>
        <w:t xml:space="preserve">The Modern Arc — Companion</w:t>
      </w:r>
    </w:p>
    <w:p>
      <w:r>
        <w:t xml:space="preserve">The war-risk-premium framework carried forward from Fraktur OCR to the live tape. The same four tests — discrimination, instrument, exposure-vs-constraint, press attribution — run unchanged from Agadir 1911 to the reserve freeze of 2022. (Shareable page: see the published Artifact link in the handoff; this is the durable repo copy.)</w:t>
      </w:r>
    </w:p>
    <w:p>
      <w:r>
        <w:rPr>
          <w:b/>
        </w:rPr>
        <w:t xml:space="preserve">Thesis.</w:t>
      </w:r>
      <w:r>
        <w:t xml:space="preserve"> The market prices the probability of a </w:t>
      </w:r>
      <w:r>
        <w:rPr>
          <w:i/>
        </w:rPr>
        <w:t xml:space="preserve">general</w:t>
      </w:r>
      <w:r>
        <w:t xml:space="preserve"> war — and only the risks it could </w:t>
      </w:r>
      <w:r>
        <w:rPr>
          <w:i/>
        </w:rPr>
        <w:t xml:space="preserve">survive to collect on</w:t>
      </w:r>
      <w:r>
        <w:t xml:space="preserve">. That single rule sorts every case: it ignores localized wars, discounts great-power scares it judges unlikely, prices the ones that threaten to go systemic, and falls silent before the catastrophe it cannot survive.</w:t>
      </w:r>
    </w:p>
    <w:p>
      <w:pPr>
        <w:pStyle w:val="Heading3"/>
      </w:pPr>
      <w:r>
        <w:t xml:space="preserve">The discrimination ladder (ordered by systemic probability)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Rung</w:t>
            </w:r>
          </w:p>
        </w:tc>
        <w:tc>
          <w:tcPr>
            <w:tcW w:w="3120" w:type="dxa"/>
            <w:shd w:val="clear" w:fill="EEEEF6"/>
          </w:tcPr>
          <w:p>
            <w:pPr>
              <w:pStyle w:val="TableCell"/>
            </w:pPr>
            <w:r>
              <w:rPr>
                <w:b/>
              </w:rPr>
              <w:t xml:space="preserve">Verdict</w:t>
            </w:r>
          </w:p>
        </w:tc>
        <w:tc>
          <w:tcPr>
            <w:tcW w:w="3120" w:type="dxa"/>
            <w:shd w:val="clear" w:fill="EEEEF6"/>
          </w:tcPr>
          <w:p>
            <w:pPr>
              <w:pStyle w:val="TableCell"/>
            </w:pPr>
            <w:r>
              <w:rPr>
                <w:b/>
              </w:rPr>
              <w:t xml:space="preserve">Cases</w:t>
            </w:r>
          </w:p>
        </w:tc>
      </w:tr>
      <w:tr>
        <w:tc>
          <w:tcPr>
            <w:tcW w:w="3120" w:type="dxa"/>
          </w:tcPr>
          <w:p>
            <w:pPr>
              <w:pStyle w:val="TableCell"/>
            </w:pPr>
            <w:r>
              <w:rPr>
                <w:b/>
              </w:rPr>
              <w:t xml:space="preserve">Existential</w:t>
            </w:r>
          </w:p>
        </w:tc>
        <w:tc>
          <w:tcPr>
            <w:tcW w:w="3120" w:type="dxa"/>
          </w:tcPr>
          <w:p>
            <w:pPr>
              <w:pStyle w:val="TableCell"/>
            </w:pPr>
            <w:r>
              <w:rPr>
                <w:b/>
              </w:rPr>
              <w:t xml:space="preserve">Un-priceable</w:t>
            </w:r>
          </w:p>
        </w:tc>
        <w:tc>
          <w:tcPr>
            <w:tcW w:w="3120" w:type="dxa"/>
          </w:tcPr>
          <w:p>
            <w:pPr>
              <w:pStyle w:val="TableCell"/>
            </w:pPr>
            <w:r>
              <w:t xml:space="preserve">Berlin 1961 (flat through the tank standoff); Cuba 1962 (low </w:t>
            </w:r>
            <w:r>
              <w:rPr>
                <w:i/>
              </w:rPr>
              <w:t xml:space="preserve">before</w:t>
            </w:r>
            <w:r>
              <w:t xml:space="preserve"> the most dangerous days; rose through them).</w:t>
            </w:r>
          </w:p>
        </w:tc>
      </w:tr>
      <w:tr>
        <w:tc>
          <w:tcPr>
            <w:tcW w:w="3120" w:type="dxa"/>
          </w:tcPr>
          <w:p>
            <w:pPr>
              <w:pStyle w:val="TableCell"/>
            </w:pPr>
            <w:r>
              <w:rPr>
                <w:b/>
              </w:rPr>
              <w:t xml:space="preserve">General &amp; survivable</w:t>
            </w:r>
          </w:p>
        </w:tc>
        <w:tc>
          <w:tcPr>
            <w:tcW w:w="3120" w:type="dxa"/>
          </w:tcPr>
          <w:p>
            <w:pPr>
              <w:pStyle w:val="TableCell"/>
            </w:pPr>
            <w:r>
              <w:rPr>
                <w:b/>
              </w:rPr>
              <w:t xml:space="preserve">Priced</w:t>
            </w:r>
          </w:p>
        </w:tc>
        <w:tc>
          <w:tcPr>
            <w:tcW w:w="3120" w:type="dxa"/>
          </w:tcPr>
          <w:p>
            <w:pPr>
              <w:pStyle w:val="TableCell"/>
            </w:pPr>
            <w:r>
              <w:t xml:space="preserve">Korea 1950 (−13% invasion → Inchon recovery → −6.5% on China → new highs); Agadir 1911 &amp; Munich 1938 (relief rallies); 2022 (energy channel, Brent +34%).</w:t>
            </w:r>
          </w:p>
        </w:tc>
      </w:tr>
      <w:tr>
        <w:tc>
          <w:tcPr>
            <w:tcW w:w="3120" w:type="dxa"/>
          </w:tcPr>
          <w:p>
            <w:pPr>
              <w:pStyle w:val="TableCell"/>
            </w:pPr>
            <w:r>
              <w:rPr>
                <w:b/>
              </w:rPr>
              <w:t xml:space="preserve">General, judged unlikely</w:t>
            </w:r>
          </w:p>
        </w:tc>
        <w:tc>
          <w:tcPr>
            <w:tcW w:w="3120" w:type="dxa"/>
          </w:tcPr>
          <w:p>
            <w:pPr>
              <w:pStyle w:val="TableCell"/>
            </w:pPr>
            <w:r>
              <w:rPr>
                <w:b/>
              </w:rPr>
              <w:t xml:space="preserve">Discounted</w:t>
            </w:r>
          </w:p>
        </w:tc>
        <w:tc>
          <w:tcPr>
            <w:tcW w:w="3120" w:type="dxa"/>
          </w:tcPr>
          <w:p>
            <w:pPr>
              <w:pStyle w:val="TableCell"/>
            </w:pPr>
            <w:r>
              <w:t xml:space="preserve">Berlin Airlift 1948 (+21% </w:t>
            </w:r>
            <w:r>
              <w:rPr>
                <w:i/>
              </w:rPr>
              <w:t xml:space="preserve">through</w:t>
            </w:r>
            <w:r>
              <w:t xml:space="preserve"> the scare; −1% at the blockade). Pre-nuclear-parity, so priceable — just judged improbable.</w:t>
            </w:r>
          </w:p>
        </w:tc>
      </w:tr>
      <w:tr>
        <w:tc>
          <w:tcPr>
            <w:tcW w:w="3120" w:type="dxa"/>
          </w:tcPr>
          <w:p>
            <w:pPr>
              <w:pStyle w:val="TableCell"/>
            </w:pPr>
            <w:r>
              <w:rPr>
                <w:b/>
              </w:rPr>
              <w:t xml:space="preserve">Localized</w:t>
            </w:r>
          </w:p>
        </w:tc>
        <w:tc>
          <w:tcPr>
            <w:tcW w:w="3120" w:type="dxa"/>
          </w:tcPr>
          <w:p>
            <w:pPr>
              <w:pStyle w:val="TableCell"/>
            </w:pPr>
            <w:r>
              <w:rPr>
                <w:b/>
              </w:rPr>
              <w:t xml:space="preserve">Ignored</w:t>
            </w:r>
          </w:p>
        </w:tc>
        <w:tc>
          <w:tcPr>
            <w:tcW w:w="3120" w:type="dxa"/>
          </w:tcPr>
          <w:p>
            <w:pPr>
              <w:pStyle w:val="TableCell"/>
            </w:pPr>
            <w:r>
              <w:t xml:space="preserve">Second Balkan 1913; Falklands 1982 — real wars the great markets discounted.</w:t>
            </w:r>
          </w:p>
        </w:tc>
      </w:tr>
    </w:tbl>
    <w:p>
      <w:r>
        <w:t xml:space="preserve">The premium appears only on the middle rungs and vanishes at both ends, for opposite reasons.</w:t>
      </w:r>
    </w:p>
    <w:p>
      <w:r>
        <w:rPr>
          <w:b/>
        </w:rPr>
        <w:t xml:space="preserve">The relief-rally diagnostic.</w:t>
      </w:r>
      <w:r>
        <w:t xml:space="preserve"> Resolution rallies </w:t>
      </w:r>
      <w:r>
        <w:rPr>
          <w:i/>
        </w:rPr>
        <w:t xml:space="preserve">only</w:t>
      </w:r>
      <w:r>
        <w:t xml:space="preserve"> where the war was priced (Munich, Agadir). The Berlin Airlift's end passed unremarked because the war was never in the price — the negative control that proves the rally is a signature of prior pricing.</w:t>
      </w:r>
    </w:p>
    <w:p>
      <w:pPr>
        <w:pStyle w:val="Heading3"/>
      </w:pPr>
      <w:r>
        <w:t xml:space="preserve">The freeze lineage — one weapon, three outcomes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Case</w:t>
            </w:r>
          </w:p>
        </w:tc>
        <w:tc>
          <w:tcPr>
            <w:tcW w:w="2340" w:type="dxa"/>
            <w:shd w:val="clear" w:fill="EEEEF6"/>
          </w:tcPr>
          <w:p>
            <w:pPr>
              <w:pStyle w:val="TableCell"/>
            </w:pPr>
            <w:r>
              <w:rPr>
                <w:b/>
              </w:rPr>
              <w:t xml:space="preserve">Weapon</w:t>
            </w:r>
          </w:p>
        </w:tc>
        <w:tc>
          <w:tcPr>
            <w:tcW w:w="2340" w:type="dxa"/>
            <w:shd w:val="clear" w:fill="EEEEF6"/>
          </w:tcPr>
          <w:p>
            <w:pPr>
              <w:pStyle w:val="TableCell"/>
            </w:pPr>
            <w:r>
              <w:rPr>
                <w:b/>
              </w:rPr>
              <w:t xml:space="preserve">Footprint</w:t>
            </w:r>
          </w:p>
        </w:tc>
        <w:tc>
          <w:tcPr>
            <w:tcW w:w="2340" w:type="dxa"/>
            <w:shd w:val="clear" w:fill="EEEEF6"/>
          </w:tcPr>
          <w:p>
            <w:pPr>
              <w:pStyle w:val="TableCell"/>
            </w:pPr>
            <w:r>
              <w:rPr>
                <w:b/>
              </w:rPr>
              <w:t xml:space="preserve">Outcome</w:t>
            </w:r>
          </w:p>
        </w:tc>
      </w:tr>
      <w:tr>
        <w:tc>
          <w:tcPr>
            <w:tcW w:w="2340" w:type="dxa"/>
          </w:tcPr>
          <w:p>
            <w:pPr>
              <w:pStyle w:val="TableCell"/>
            </w:pPr>
            <w:r>
              <w:rPr>
                <w:b/>
              </w:rPr>
              <w:t xml:space="preserve">1941</w:t>
            </w:r>
          </w:p>
        </w:tc>
        <w:tc>
          <w:tcPr>
            <w:tcW w:w="2340" w:type="dxa"/>
          </w:tcPr>
          <w:p>
            <w:pPr>
              <w:pStyle w:val="TableCell"/>
            </w:pPr>
            <w:r>
              <w:t xml:space="preserve">US freeze of Japanese assets + oil embargo</w:t>
            </w:r>
          </w:p>
        </w:tc>
        <w:tc>
          <w:tcPr>
            <w:tcW w:w="2340" w:type="dxa"/>
          </w:tcPr>
          <w:p>
            <w:pPr>
              <w:pStyle w:val="TableCell"/>
            </w:pPr>
            <w:r>
              <w:t xml:space="preserve">Invisible in the US tape</w:t>
            </w:r>
          </w:p>
        </w:tc>
        <w:tc>
          <w:tcPr>
            <w:tcW w:w="2340" w:type="dxa"/>
          </w:tcPr>
          <w:p>
            <w:pPr>
              <w:pStyle w:val="TableCell"/>
            </w:pPr>
            <w:r>
              <w:rPr>
                <w:b/>
              </w:rPr>
              <w:t xml:space="preserve">Provoked war</w:t>
            </w:r>
            <w:r>
              <w:t xml:space="preserve"> (cornered Japan)</w:t>
            </w:r>
          </w:p>
        </w:tc>
      </w:tr>
      <w:tr>
        <w:tc>
          <w:tcPr>
            <w:tcW w:w="2340" w:type="dxa"/>
          </w:tcPr>
          <w:p>
            <w:pPr>
              <w:pStyle w:val="TableCell"/>
            </w:pPr>
            <w:r>
              <w:rPr>
                <w:b/>
              </w:rPr>
              <w:t xml:space="preserve">1956 · Suez</w:t>
            </w:r>
          </w:p>
        </w:tc>
        <w:tc>
          <w:tcPr>
            <w:tcW w:w="2340" w:type="dxa"/>
          </w:tcPr>
          <w:p>
            <w:pPr>
              <w:pStyle w:val="TableCell"/>
            </w:pPr>
            <w:r>
              <w:t xml:space="preserve">US denies IMF access; sterling run</w:t>
            </w:r>
          </w:p>
        </w:tc>
        <w:tc>
          <w:tcPr>
            <w:tcW w:w="2340" w:type="dxa"/>
          </w:tcPr>
          <w:p>
            <w:pPr>
              <w:pStyle w:val="TableCell"/>
            </w:pPr>
            <w:r>
              <w:t xml:space="preserve">~$279m reserve drain (pegged FX)</w:t>
            </w:r>
          </w:p>
        </w:tc>
        <w:tc>
          <w:tcPr>
            <w:tcW w:w="2340" w:type="dxa"/>
          </w:tcPr>
          <w:p>
            <w:pPr>
              <w:pStyle w:val="TableCell"/>
            </w:pPr>
            <w:r>
              <w:rPr>
                <w:b/>
              </w:rPr>
              <w:t xml:space="preserve">Forced a retreat</w:t>
            </w:r>
            <w:r>
              <w:t xml:space="preserve"> (Britain aborted)</w:t>
            </w:r>
          </w:p>
        </w:tc>
      </w:tr>
      <w:tr>
        <w:tc>
          <w:tcPr>
            <w:tcW w:w="2340" w:type="dxa"/>
          </w:tcPr>
          <w:p>
            <w:pPr>
              <w:pStyle w:val="TableCell"/>
            </w:pPr>
            <w:r>
              <w:rPr>
                <w:b/>
              </w:rPr>
              <w:t xml:space="preserve">2022</w:t>
            </w:r>
          </w:p>
        </w:tc>
        <w:tc>
          <w:tcPr>
            <w:tcW w:w="2340" w:type="dxa"/>
          </w:tcPr>
          <w:p>
            <w:pPr>
              <w:pStyle w:val="TableCell"/>
            </w:pPr>
            <w:r>
              <w:t xml:space="preserve">G7 freezes ~$300bn reserves; SWIFT</w:t>
            </w:r>
          </w:p>
        </w:tc>
        <w:tc>
          <w:tcPr>
            <w:tcW w:w="2340" w:type="dxa"/>
          </w:tcPr>
          <w:p>
            <w:pPr>
              <w:pStyle w:val="TableCell"/>
            </w:pPr>
            <w:r>
              <w:t xml:space="preserve">The target's market took it; West priced energy</w:t>
            </w:r>
          </w:p>
        </w:tc>
        <w:tc>
          <w:tcPr>
            <w:tcW w:w="2340" w:type="dxa"/>
          </w:tcPr>
          <w:p>
            <w:pPr>
              <w:pStyle w:val="TableCell"/>
            </w:pPr>
            <w:r>
              <w:rPr>
                <w:b/>
              </w:rPr>
              <w:t xml:space="preserve">Punished, didn't halt</w:t>
            </w:r>
          </w:p>
        </w:tc>
      </w:tr>
    </w:tbl>
    <w:p>
      <w:r>
        <w:t xml:space="preserve">Provoked, coerced, punished — "finance is a weapon" disciplined: a weapon with </w:t>
      </w:r>
      <w:r>
        <w:rPr>
          <w:i/>
        </w:rPr>
        <w:t xml:space="preserve">contingent</w:t>
      </w:r>
      <w:r>
        <w:t xml:space="preserve"> effects, not a lever that always pulls the same way. Effect documented in all three; decisiveness argued case by case.</w:t>
      </w:r>
    </w:p>
    <w:p>
      <w:pPr>
        <w:pStyle w:val="Heading3"/>
      </w:pPr>
      <w:r>
        <w:t xml:space="preserve">The ledger</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Case</w:t>
            </w:r>
          </w:p>
        </w:tc>
        <w:tc>
          <w:tcPr>
            <w:tcW w:w="3120" w:type="dxa"/>
            <w:shd w:val="clear" w:fill="EEEEF6"/>
          </w:tcPr>
          <w:p>
            <w:pPr>
              <w:pStyle w:val="TableCell"/>
            </w:pPr>
            <w:r>
              <w:rPr>
                <w:b/>
              </w:rPr>
              <w:t xml:space="preserve">Key move</w:t>
            </w:r>
          </w:p>
        </w:tc>
        <w:tc>
          <w:tcPr>
            <w:tcW w:w="3120" w:type="dxa"/>
            <w:shd w:val="clear" w:fill="EEEEF6"/>
          </w:tcPr>
          <w:p>
            <w:pPr>
              <w:pStyle w:val="TableCell"/>
            </w:pPr>
            <w:r>
              <w:rPr>
                <w:b/>
              </w:rPr>
              <w:t xml:space="preserve">Reading</w:t>
            </w:r>
          </w:p>
        </w:tc>
      </w:tr>
      <w:tr>
        <w:tc>
          <w:tcPr>
            <w:tcW w:w="3120" w:type="dxa"/>
          </w:tcPr>
          <w:p>
            <w:pPr>
              <w:pStyle w:val="TableCell"/>
            </w:pPr>
            <w:r>
              <w:t xml:space="preserve">Pearl Harbor 1941</w:t>
            </w:r>
          </w:p>
        </w:tc>
        <w:tc>
          <w:tcPr>
            <w:tcW w:w="3120" w:type="dxa"/>
          </w:tcPr>
          <w:p>
            <w:pPr>
              <w:pStyle w:val="TableCell"/>
            </w:pPr>
            <w:r>
              <w:t xml:space="preserve">−3.8%</w:t>
            </w:r>
          </w:p>
        </w:tc>
        <w:tc>
          <w:tcPr>
            <w:tcW w:w="3120" w:type="dxa"/>
          </w:tcPr>
          <w:p>
            <w:pPr>
              <w:pStyle w:val="TableCell"/>
            </w:pPr>
            <w:r>
              <w:t xml:space="preserve">Surprise → no scare to price; modest because half-priced and survivable.</w:t>
            </w:r>
          </w:p>
        </w:tc>
      </w:tr>
      <w:tr>
        <w:tc>
          <w:tcPr>
            <w:tcW w:w="3120" w:type="dxa"/>
          </w:tcPr>
          <w:p>
            <w:pPr>
              <w:pStyle w:val="TableCell"/>
            </w:pPr>
            <w:r>
              <w:t xml:space="preserve">Berlin Airlift 1948</w:t>
            </w:r>
          </w:p>
        </w:tc>
        <w:tc>
          <w:tcPr>
            <w:tcW w:w="3120" w:type="dxa"/>
          </w:tcPr>
          <w:p>
            <w:pPr>
              <w:pStyle w:val="TableCell"/>
            </w:pPr>
            <w:r>
              <w:t xml:space="preserve">+21%</w:t>
            </w:r>
          </w:p>
        </w:tc>
        <w:tc>
          <w:tcPr>
            <w:tcW w:w="3120" w:type="dxa"/>
          </w:tcPr>
          <w:p>
            <w:pPr>
              <w:pStyle w:val="TableCell"/>
            </w:pPr>
            <w:r>
              <w:t xml:space="preserve">Rallied through the scare; no relief rally on the lift.</w:t>
            </w:r>
          </w:p>
        </w:tc>
      </w:tr>
      <w:tr>
        <w:tc>
          <w:tcPr>
            <w:tcW w:w="3120" w:type="dxa"/>
          </w:tcPr>
          <w:p>
            <w:pPr>
              <w:pStyle w:val="TableCell"/>
            </w:pPr>
            <w:r>
              <w:t xml:space="preserve">Korea 1950–51</w:t>
            </w:r>
          </w:p>
        </w:tc>
        <w:tc>
          <w:tcPr>
            <w:tcW w:w="3120" w:type="dxa"/>
          </w:tcPr>
          <w:p>
            <w:pPr>
              <w:pStyle w:val="TableCell"/>
            </w:pPr>
            <w:r>
              <w:t xml:space="preserve">−13% / −6.5%</w:t>
            </w:r>
          </w:p>
        </w:tc>
        <w:tc>
          <w:tcPr>
            <w:tcW w:w="3120" w:type="dxa"/>
          </w:tcPr>
          <w:p>
            <w:pPr>
              <w:pStyle w:val="TableCell"/>
            </w:pPr>
            <w:r>
              <w:t xml:space="preserve">Same war repriced up and down — discrimination </w:t>
            </w:r>
            <w:r>
              <w:rPr>
                <w:i/>
              </w:rPr>
              <w:t xml:space="preserve">in motion</w:t>
            </w:r>
            <w:r>
              <w:t xml:space="preserve"> (keystone).</w:t>
            </w:r>
          </w:p>
        </w:tc>
      </w:tr>
      <w:tr>
        <w:tc>
          <w:tcPr>
            <w:tcW w:w="3120" w:type="dxa"/>
          </w:tcPr>
          <w:p>
            <w:pPr>
              <w:pStyle w:val="TableCell"/>
            </w:pPr>
            <w:r>
              <w:t xml:space="preserve">Gulf War 1990–91</w:t>
            </w:r>
          </w:p>
        </w:tc>
        <w:tc>
          <w:tcPr>
            <w:tcW w:w="3120" w:type="dxa"/>
          </w:tcPr>
          <w:p>
            <w:pPr>
              <w:pStyle w:val="TableCell"/>
            </w:pPr>
            <w:r>
              <w:t xml:space="preserve">oil +90% → −30%</w:t>
            </w:r>
          </w:p>
        </w:tc>
        <w:tc>
          <w:tcPr>
            <w:tcW w:w="3120" w:type="dxa"/>
          </w:tcPr>
          <w:p>
            <w:pPr>
              <w:pStyle w:val="TableCell"/>
            </w:pPr>
            <w:r>
              <w:t xml:space="preserve">Priced through </w:t>
            </w:r>
            <w:r>
              <w:rPr>
                <w:b/>
              </w:rPr>
              <w:t xml:space="preserve">oil</w:t>
            </w:r>
            <w:r>
              <w:t xml:space="preserve">; the inversion when Desert Storm began (stocks +~4%, oil −~30% in a day).</w:t>
            </w:r>
          </w:p>
        </w:tc>
      </w:tr>
      <w:tr>
        <w:tc>
          <w:tcPr>
            <w:tcW w:w="3120" w:type="dxa"/>
          </w:tcPr>
          <w:p>
            <w:pPr>
              <w:pStyle w:val="TableCell"/>
            </w:pPr>
            <w:r>
              <w:t xml:space="preserve">Suez 1956</w:t>
            </w:r>
          </w:p>
        </w:tc>
        <w:tc>
          <w:tcPr>
            <w:tcW w:w="3120" w:type="dxa"/>
          </w:tcPr>
          <w:p>
            <w:pPr>
              <w:pStyle w:val="TableCell"/>
            </w:pPr>
            <w:r>
              <w:t xml:space="preserve">~$279m</w:t>
            </w:r>
          </w:p>
        </w:tc>
        <w:tc>
          <w:tcPr>
            <w:tcW w:w="3120" w:type="dxa"/>
          </w:tcPr>
          <w:p>
            <w:pPr>
              <w:pStyle w:val="TableCell"/>
            </w:pPr>
            <w:r>
              <w:t xml:space="preserve">Documentary. Reserve drain + IMF denial forced the ceasefire — constraint pole.</w:t>
            </w:r>
          </w:p>
        </w:tc>
      </w:tr>
      <w:tr>
        <w:tc>
          <w:tcPr>
            <w:tcW w:w="3120" w:type="dxa"/>
          </w:tcPr>
          <w:p>
            <w:pPr>
              <w:pStyle w:val="TableCell"/>
            </w:pPr>
            <w:r>
              <w:t xml:space="preserve">Berlin 1961</w:t>
            </w:r>
          </w:p>
        </w:tc>
        <w:tc>
          <w:tcPr>
            <w:tcW w:w="3120" w:type="dxa"/>
          </w:tcPr>
          <w:p>
            <w:pPr>
              <w:pStyle w:val="TableCell"/>
            </w:pPr>
            <w:r>
              <w:t xml:space="preserve">−0.2%</w:t>
            </w:r>
          </w:p>
        </w:tc>
        <w:tc>
          <w:tcPr>
            <w:tcW w:w="3120" w:type="dxa"/>
          </w:tcPr>
          <w:p>
            <w:pPr>
              <w:pStyle w:val="TableCell"/>
            </w:pPr>
            <w:r>
              <w:t xml:space="preserve">Flat through the standoff — un-priceable.</w:t>
            </w:r>
          </w:p>
        </w:tc>
      </w:tr>
      <w:tr>
        <w:tc>
          <w:tcPr>
            <w:tcW w:w="3120" w:type="dxa"/>
          </w:tcPr>
          <w:p>
            <w:pPr>
              <w:pStyle w:val="TableCell"/>
            </w:pPr>
            <w:r>
              <w:t xml:space="preserve">Cuba 1962</w:t>
            </w:r>
          </w:p>
        </w:tc>
        <w:tc>
          <w:tcPr>
            <w:tcW w:w="3120" w:type="dxa"/>
          </w:tcPr>
          <w:p>
            <w:pPr>
              <w:pStyle w:val="TableCell"/>
            </w:pPr>
            <w:r>
              <w:t xml:space="preserve">−3.8%</w:t>
            </w:r>
          </w:p>
        </w:tc>
        <w:tc>
          <w:tcPr>
            <w:tcW w:w="3120" w:type="dxa"/>
          </w:tcPr>
          <w:p>
            <w:pPr>
              <w:pStyle w:val="TableCell"/>
            </w:pPr>
            <w:r>
              <w:t xml:space="preserve">Low preceded peak danger; rose through it — the ceiling.</w:t>
            </w:r>
          </w:p>
        </w:tc>
      </w:tr>
      <w:tr>
        <w:tc>
          <w:tcPr>
            <w:tcW w:w="3120" w:type="dxa"/>
          </w:tcPr>
          <w:p>
            <w:pPr>
              <w:pStyle w:val="TableCell"/>
            </w:pPr>
            <w:r>
              <w:t xml:space="preserve">Iraq War 2003</w:t>
            </w:r>
          </w:p>
        </w:tc>
        <w:tc>
          <w:tcPr>
            <w:tcW w:w="3120" w:type="dxa"/>
          </w:tcPr>
          <w:p>
            <w:pPr>
              <w:pStyle w:val="TableCell"/>
            </w:pPr>
            <w:r>
              <w:t xml:space="preserve">S&amp;P +9% / oil −$7</w:t>
            </w:r>
          </w:p>
        </w:tc>
        <w:tc>
          <w:tcPr>
            <w:tcW w:w="3120" w:type="dxa"/>
          </w:tcPr>
          <w:p>
            <w:pPr>
              <w:pStyle w:val="TableCell"/>
            </w:pPr>
            <w:r>
              <w:t xml:space="preserve">Rigobon–Sack's own case; the "war factor" in oil, resolved on invasion.</w:t>
            </w:r>
          </w:p>
        </w:tc>
      </w:tr>
      <w:tr>
        <w:tc>
          <w:tcPr>
            <w:tcW w:w="3120" w:type="dxa"/>
          </w:tcPr>
          <w:p>
            <w:pPr>
              <w:pStyle w:val="TableCell"/>
            </w:pPr>
            <w:r>
              <w:t xml:space="preserve">Russia–Ukraine 2022</w:t>
            </w:r>
          </w:p>
        </w:tc>
        <w:tc>
          <w:tcPr>
            <w:tcW w:w="3120" w:type="dxa"/>
          </w:tcPr>
          <w:p>
            <w:pPr>
              <w:pStyle w:val="TableCell"/>
            </w:pPr>
            <w:r>
              <w:t xml:space="preserve">Brent +34%</w:t>
            </w:r>
          </w:p>
        </w:tc>
        <w:tc>
          <w:tcPr>
            <w:tcW w:w="3120" w:type="dxa"/>
          </w:tcPr>
          <w:p>
            <w:pPr>
              <w:pStyle w:val="TableCell"/>
            </w:pPr>
            <w:r>
              <w:t xml:space="preserve">Equity up on invasion day; priced as energy shock, not systemic war; weapon in full.</w:t>
            </w:r>
          </w:p>
        </w:tc>
      </w:tr>
    </w:tbl>
    <w:p>
      <w:r>
        <w:rPr>
          <w:b/>
        </w:rPr>
        <w:t xml:space="preserve">The oil lineage (parallel to the freeze lineage).</w:t>
      </w:r>
      <w:r>
        <w:t xml:space="preserve"> Gulf 1990 → Iraq 2003 → 2022 — three wars the market priced through the barrel. </w:t>
      </w:r>
      <w:r>
        <w:rPr>
          <w:i/>
        </w:rPr>
        <w:t xml:space="preserve">Which instrument carries the risk</w:t>
      </w:r>
      <w:r>
        <w:t xml:space="preserve"> is a property of the crisis: 1905 → sovereign bonds (the </w:t>
      </w:r>
      <w:r>
        <w:rPr>
          <w:i/>
        </w:rPr>
        <w:t xml:space="preserve">fonds russes</w:t>
      </w:r>
      <w:r>
        <w:t xml:space="preserve">); 1911/1956 → the exchange/reserves; the Gulf Wars &amp; 2022 → </w:t>
      </w:r>
      <w:r>
        <w:rPr>
          <w:b/>
        </w:rPr>
        <w:t xml:space="preserve">oil</w:t>
      </w:r>
      <w:r>
        <w:t xml:space="preserve">. Sack &amp; Rigobon (2005) measured the 2003 oil "war factor" by the same heteroskedasticity ID this book uses for 1911.</w:t>
      </w:r>
    </w:p>
    <w:p>
      <w:r>
        <w:rPr>
          <w:b/>
        </w:rPr>
        <w:t xml:space="preserve">The contemporaneous layer.</w:t>
      </w:r>
      <w:r>
        <w:t xml:space="preserve"> Each rung needs a contemporary voice naming what was priced — the BoE Quarterly Bulletin on the 1991 oil-premium collapse, Rigobon–Sack on the 2003 factor, the St. Louis Fed on the 2022 energy channel; the </w:t>
      </w:r>
      <w:r>
        <w:rPr>
          <w:i/>
        </w:rPr>
        <w:t xml:space="preserve">NYT</w:t>
      </w:r>
      <w:r>
        <w:t xml:space="preserve">/</w:t>
      </w:r>
      <w:r>
        <w:rPr>
          <w:i/>
        </w:rPr>
        <w:t xml:space="preserve">Chronicle</w:t>
      </w:r>
      <w:r>
        <w:t xml:space="preserve">/</w:t>
      </w:r>
      <w:r>
        <w:rPr>
          <w:i/>
        </w:rPr>
        <w:t xml:space="preserve">Economist</w:t>
      </w:r>
      <w:r>
        <w:t xml:space="preserve"> pointers for the mid-century cases are mapped in </w:t>
      </w:r>
      <w:r>
        <w:rPr>
          <w:rFonts w:ascii="Consolas" w:hAnsi="Consolas"/>
          <w:sz w:val="18"/>
        </w:rPr>
        <w:t xml:space="preserve">docs/modern_contemporaneous_sources.md</w:t>
      </w:r>
      <w:r>
        <w:t xml:space="preserve">. Without it the charts are suggestive series; with it each is a triangulated claim.</w:t>
      </w:r>
    </w:p>
    <w:p>
      <w:pPr>
        <w:pStyle w:val="Heading3"/>
      </w:pPr>
      <w:r>
        <w:t xml:space="preserve">The discipline</w:t>
      </w:r>
    </w:p>
    <w:p>
      <w:pPr>
        <w:pStyle w:val="ListParagraph"/>
        <w:ind w:left="360" w:hanging="360"/>
      </w:pPr>
      <w:r>
        <w:t xml:space="preserve">•  </w:t>
      </w:r>
      <w:r>
        <w:rPr>
          <w:b/>
        </w:rPr>
        <w:t xml:space="preserve">Effect vs. decisiveness.</w:t>
      </w:r>
      <w:r>
        <w:t xml:space="preserve"> A price move shows the market </w:t>
      </w:r>
      <w:r>
        <w:rPr>
          <w:i/>
        </w:rPr>
        <w:t xml:space="preserve">reacted</w:t>
      </w:r>
      <w:r>
        <w:t xml:space="preserve">, not that finance *changed</w:t>
      </w:r>
    </w:p>
    <w:p>
      <w:r>
        <w:t xml:space="preserve">  the outcome*. "Decisive lever by the actors' own accounts" (Suez), not "finance ended Suez."</w:t>
      </w:r>
    </w:p>
    <w:p>
      <w:pPr>
        <w:pStyle w:val="ListParagraph"/>
        <w:ind w:left="360" w:hanging="360"/>
      </w:pPr>
      <w:r>
        <w:t xml:space="preserve">•  </w:t>
      </w:r>
      <w:r>
        <w:rPr>
          <w:b/>
        </w:rPr>
        <w:t xml:space="preserve">Charted vs. cited.</w:t>
      </w:r>
      <w:r>
        <w:t xml:space="preserve"> Tape series are reproducible; Suez reserves and the 2022 Russian-side</w:t>
      </w:r>
    </w:p>
    <w:p>
      <w:r>
        <w:t xml:space="preserve">  figures carry [VERIFY]. And twice over: the 1948–49 and June-2022 declines were the </w:t>
      </w:r>
      <w:r>
        <w:rPr>
          <w:i/>
        </w:rPr>
        <w:t xml:space="preserve">cycle</w:t>
      </w:r>
      <w:r>
        <w:t xml:space="preserve">   (recession; the Fed), not the war.</w:t>
      </w:r>
    </w:p>
    <w:p>
      <w:pPr>
        <w:pStyle w:val="Heading3"/>
      </w:pPr>
      <w:r>
        <w:t xml:space="preserve">Against Kirshner</w:t>
      </w:r>
    </w:p>
    <w:p>
      <w:r>
        <w:t xml:space="preserve">A </w:t>
      </w:r>
      <w:r>
        <w:rPr>
          <w:i/>
        </w:rPr>
        <w:t xml:space="preserve">pricing</w:t>
      </w:r>
      <w:r>
        <w:t xml:space="preserve"> result, not a preference claim. It </w:t>
      </w:r>
      <w:r>
        <w:rPr>
          <w:b/>
        </w:rPr>
        <w:t xml:space="preserve">measures</w:t>
      </w:r>
      <w:r>
        <w:t xml:space="preserve"> what he asserts — the caution was selective (only the general-war rungs) and modest — and adds the face his dove frame omits: finance as the </w:t>
      </w:r>
      <w:r>
        <w:rPr>
          <w:b/>
        </w:rPr>
        <w:t xml:space="preserve">weapon</w:t>
      </w:r>
      <w:r>
        <w:t xml:space="preserve"> (the freeze lineage), contingent, not automatic.</w:t>
      </w:r>
    </w:p>
    <w:p>
      <w:r>
        <w:rPr>
          <w:i/>
        </w:rPr>
        <w:t xml:space="preserve">Data: S&amp;P 500 daily via Yahoo `^GSPC` (back to 1928); FRED for 2022. Full write-ups: `docs/modern_</w:t>
      </w:r>
      <w:r>
        <w:t xml:space="preserve">.md</w:t>
      </w:r>
      <w:r>
        <w:rPr>
          <w:rFonts w:ascii="Consolas" w:hAnsi="Consolas"/>
          <w:sz w:val="18"/>
        </w:rPr>
        <w:t xml:space="preserve">. Charts: </w:t>
      </w:r>
      <w:r>
        <w:t xml:space="preserve">war_premia/results/`.*</w:t>
      </w:r>
    </w:p>
    <w:p>
      <w:pPr>
        <w:pStyle w:val="Heading2"/>
        <w:pageBreakBefore/>
      </w:pPr>
      <w:r>
        <w:t xml:space="preserve">Munich, 1938</w:t>
      </w:r>
    </w:p>
    <w:p>
      <w:r>
        <w:t xml:space="preserve">A proof-of-concept that the framework travels forward twenty-seven years, on the exact </w:t>
      </w:r>
      <w:r>
        <w:rPr>
          <w:b/>
        </w:rPr>
        <w:t xml:space="preserve">Le Temps / Gallica</w:t>
      </w:r>
      <w:r>
        <w:t xml:space="preserve"> pipeline we built for 1905–14. Munich is the interwar's canonical "cried wolf" crisis — and it sits on Kirshner's home turf (appeasement), so pricing it is the sharpest way to show what his argument looks like when you actually </w:t>
      </w:r>
      <w:r>
        <w:rPr>
          <w:i/>
        </w:rPr>
        <w:t xml:space="preserve">measure</w:t>
      </w:r>
      <w:r>
        <w:t xml:space="preserve"> it.</w:t>
      </w:r>
    </w:p>
    <w:p>
      <w:pPr>
        <w:pStyle w:val="Heading3"/>
      </w:pPr>
      <w:r>
        <w:t xml:space="preserve">The full Sept–Oct arc (upgraded from the two-point sketch)</w:t>
      </w:r>
    </w:p>
    <w:p>
      <w:r>
        <w:t xml:space="preserve">Rather than two snapshots, the run now brackets the whole crisis: twelve dated </w:t>
      </w:r>
      <w:r>
        <w:rPr>
          <w:i/>
        </w:rPr>
        <w:t xml:space="preserve">Bulletin financier</w:t>
      </w:r>
      <w:r>
        <w:t xml:space="preserve"> reports pulled from Gallica, of which four carry a datable market-tone verdict. The arc has the textbook cried-wolf shape — </w:t>
      </w:r>
      <w:r>
        <w:rPr>
          <w:b/>
        </w:rPr>
        <w:t xml:space="preserve">build → hope → relief rally → settle</w:t>
      </w:r>
      <w:r>
        <w:t xml:space="preserve"> — with the finance column naming the war-or-peace news each time.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Date</w:t>
            </w:r>
          </w:p>
        </w:tc>
        <w:tc>
          <w:tcPr>
            <w:tcW w:w="2340" w:type="dxa"/>
            <w:shd w:val="clear" w:fill="EEEEF6"/>
          </w:tcPr>
          <w:p>
            <w:pPr>
              <w:pStyle w:val="TableCell"/>
            </w:pPr>
            <w:r>
              <w:rPr>
                <w:b/>
              </w:rPr>
              <w:t xml:space="preserve">Phase</w:t>
            </w:r>
          </w:p>
        </w:tc>
        <w:tc>
          <w:tcPr>
            <w:tcW w:w="2340" w:type="dxa"/>
            <w:shd w:val="clear" w:fill="EEEEF6"/>
          </w:tcPr>
          <w:p>
            <w:pPr>
              <w:pStyle w:val="TableCell"/>
            </w:pPr>
            <w:r>
              <w:rPr>
                <w:b/>
              </w:rPr>
              <w:t xml:space="preserve">Driver</w:t>
            </w:r>
          </w:p>
        </w:tc>
        <w:tc>
          <w:tcPr>
            <w:tcW w:w="2340" w:type="dxa"/>
            <w:shd w:val="clear" w:fill="EEEEF6"/>
          </w:tcPr>
          <w:p>
            <w:pPr>
              <w:pStyle w:val="TableCell"/>
            </w:pPr>
            <w:r>
              <w:rPr>
                <w:b/>
              </w:rPr>
              <w:t xml:space="preserve">Market tone (Le Temps)</w:t>
            </w:r>
          </w:p>
        </w:tc>
      </w:tr>
      <w:tr>
        <w:tc>
          <w:tcPr>
            <w:tcW w:w="2340" w:type="dxa"/>
          </w:tcPr>
          <w:p>
            <w:pPr>
              <w:pStyle w:val="TableCell"/>
            </w:pPr>
            <w:r>
              <w:rPr>
                <w:b/>
              </w:rPr>
              <w:t xml:space="preserve">17 Sep 1938</w:t>
            </w:r>
          </w:p>
        </w:tc>
        <w:tc>
          <w:tcPr>
            <w:tcW w:w="2340" w:type="dxa"/>
          </w:tcPr>
          <w:p>
            <w:pPr>
              <w:pStyle w:val="TableCell"/>
            </w:pPr>
            <w:r>
              <w:t xml:space="preserve">build</w:t>
            </w:r>
          </w:p>
        </w:tc>
        <w:tc>
          <w:tcPr>
            <w:tcW w:w="2340" w:type="dxa"/>
          </w:tcPr>
          <w:p>
            <w:pPr>
              <w:pStyle w:val="TableCell"/>
            </w:pPr>
            <w:r>
              <w:t xml:space="preserve">Chamberlain's abrupt return from Berchtesgaden; Henlein's proclamation</w:t>
            </w:r>
          </w:p>
        </w:tc>
        <w:tc>
          <w:tcPr>
            <w:tcW w:w="2340" w:type="dxa"/>
          </w:tcPr>
          <w:p>
            <w:pPr>
              <w:pStyle w:val="TableCell"/>
            </w:pPr>
            <w:r>
              <w:rPr>
                <w:i/>
              </w:rPr>
              <w:t xml:space="preserve">"déception évidente"</w:t>
            </w:r>
            <w:r>
              <w:t xml:space="preserve"> — the talks had </w:t>
            </w:r>
            <w:r>
              <w:rPr>
                <w:i/>
              </w:rPr>
              <w:t xml:space="preserve">"fait apparaître des difficultés sérieuses"</w:t>
            </w:r>
          </w:p>
        </w:tc>
      </w:tr>
      <w:tr>
        <w:tc>
          <w:tcPr>
            <w:tcW w:w="2340" w:type="dxa"/>
          </w:tcPr>
          <w:p>
            <w:pPr>
              <w:pStyle w:val="TableCell"/>
            </w:pPr>
            <w:r>
              <w:rPr>
                <w:b/>
              </w:rPr>
              <w:t xml:space="preserve">28 Sep 1938</w:t>
            </w:r>
          </w:p>
        </w:tc>
        <w:tc>
          <w:tcPr>
            <w:tcW w:w="2340" w:type="dxa"/>
          </w:tcPr>
          <w:p>
            <w:pPr>
              <w:pStyle w:val="TableCell"/>
            </w:pPr>
            <w:r>
              <w:t xml:space="preserve">trough / turn</w:t>
            </w:r>
          </w:p>
        </w:tc>
        <w:tc>
          <w:tcPr>
            <w:tcW w:w="2340" w:type="dxa"/>
          </w:tcPr>
          <w:p>
            <w:pPr>
              <w:pStyle w:val="TableCell"/>
            </w:pPr>
            <w:r>
              <w:t xml:space="preserve">Hitler's Sportpalast speech (27 Sep), parsed overnight</w:t>
            </w:r>
          </w:p>
        </w:tc>
        <w:tc>
          <w:tcPr>
            <w:tcW w:w="2340" w:type="dxa"/>
          </w:tcPr>
          <w:p>
            <w:pPr>
              <w:pStyle w:val="TableCell"/>
            </w:pPr>
            <w:r>
              <w:rPr>
                <w:i/>
              </w:rPr>
              <w:t xml:space="preserve">"plus calme, quoique très irrégulière"</w:t>
            </w:r>
            <w:r>
              <w:t xml:space="preserve"> — the speech </w:t>
            </w:r>
            <w:r>
              <w:rPr>
                <w:i/>
              </w:rPr>
              <w:t xml:space="preserve">"ne contenait rien d'irréparable,"</w:t>
            </w:r>
            <w:r>
              <w:t xml:space="preserve"> leaving hope of </w:t>
            </w:r>
            <w:r>
              <w:rPr>
                <w:i/>
              </w:rPr>
              <w:t xml:space="preserve">"une solution pacifique du problème des Sudètes"</w:t>
            </w:r>
          </w:p>
        </w:tc>
      </w:tr>
      <w:tr>
        <w:tc>
          <w:tcPr>
            <w:tcW w:w="2340" w:type="dxa"/>
          </w:tcPr>
          <w:p>
            <w:pPr>
              <w:pStyle w:val="TableCell"/>
            </w:pPr>
            <w:r>
              <w:rPr>
                <w:b/>
              </w:rPr>
              <w:t xml:space="preserve">30 Sep 1938</w:t>
            </w:r>
          </w:p>
        </w:tc>
        <w:tc>
          <w:tcPr>
            <w:tcW w:w="2340" w:type="dxa"/>
          </w:tcPr>
          <w:p>
            <w:pPr>
              <w:pStyle w:val="TableCell"/>
            </w:pPr>
            <w:r>
              <w:rPr>
                <w:b/>
              </w:rPr>
              <w:t xml:space="preserve">relief rally</w:t>
            </w:r>
          </w:p>
        </w:tc>
        <w:tc>
          <w:tcPr>
            <w:tcW w:w="2340" w:type="dxa"/>
          </w:tcPr>
          <w:p>
            <w:pPr>
              <w:pStyle w:val="TableCell"/>
            </w:pPr>
            <w:r>
              <w:t xml:space="preserve">Munich Agreement, signed in the early hours of 30 Sep</w:t>
            </w:r>
          </w:p>
        </w:tc>
        <w:tc>
          <w:tcPr>
            <w:tcW w:w="2340" w:type="dxa"/>
          </w:tcPr>
          <w:p>
            <w:pPr>
              <w:pStyle w:val="TableCell"/>
            </w:pPr>
            <w:r>
              <w:rPr>
                <w:i/>
              </w:rPr>
              <w:t xml:space="preserve">"a manifesté avec éclat un optimisme"</w:t>
            </w:r>
            <w:r>
              <w:t xml:space="preserve"> never </w:t>
            </w:r>
            <w:r>
              <w:rPr>
                <w:i/>
              </w:rPr>
              <w:t xml:space="preserve">"complètement abandonné"</w:t>
            </w:r>
            <w:r>
              <w:t xml:space="preserve">; the </w:t>
            </w:r>
            <w:r>
              <w:rPr>
                <w:b/>
              </w:rPr>
              <w:t xml:space="preserve">franc rallied</w:t>
            </w:r>
            <w:r>
              <w:t xml:space="preserve"> on the accord</w:t>
            </w:r>
          </w:p>
        </w:tc>
      </w:tr>
      <w:tr>
        <w:tc>
          <w:tcPr>
            <w:tcW w:w="2340" w:type="dxa"/>
          </w:tcPr>
          <w:p>
            <w:pPr>
              <w:pStyle w:val="TableCell"/>
            </w:pPr>
            <w:r>
              <w:rPr>
                <w:b/>
              </w:rPr>
              <w:t xml:space="preserve">8 Oct 1938</w:t>
            </w:r>
          </w:p>
        </w:tc>
        <w:tc>
          <w:tcPr>
            <w:tcW w:w="2340" w:type="dxa"/>
          </w:tcPr>
          <w:p>
            <w:pPr>
              <w:pStyle w:val="TableCell"/>
            </w:pPr>
            <w:r>
              <w:t xml:space="preserve">settle</w:t>
            </w:r>
          </w:p>
        </w:tc>
        <w:tc>
          <w:tcPr>
            <w:tcW w:w="2340" w:type="dxa"/>
          </w:tcPr>
          <w:p>
            <w:pPr>
              <w:pStyle w:val="TableCell"/>
            </w:pPr>
            <w:r>
              <w:t xml:space="preserve">post-Munich calm; awaiting Daladier's financial measures</w:t>
            </w:r>
          </w:p>
        </w:tc>
        <w:tc>
          <w:tcPr>
            <w:tcW w:w="2340" w:type="dxa"/>
          </w:tcPr>
          <w:p>
            <w:pPr>
              <w:pStyle w:val="TableCell"/>
            </w:pPr>
            <w:r>
              <w:rPr>
                <w:i/>
              </w:rPr>
              <w:t xml:space="preserve">"séance calme… la plupart des valeurs ont légèrement fléchi,"</w:t>
            </w:r>
            <w:r>
              <w:t xml:space="preserve"> the market </w:t>
            </w:r>
            <w:r>
              <w:rPr>
                <w:i/>
              </w:rPr>
              <w:t xml:space="preserve">"se conformant aux recommandations de M. Daladier"</w:t>
            </w:r>
          </w:p>
        </w:tc>
      </w:tr>
    </w:tbl>
    <w:p>
      <w:pPr>
        <w:pStyle w:val="ListParagraph"/>
        <w:ind w:left="360" w:hanging="360"/>
      </w:pPr>
      <w:r>
        <w:t xml:space="preserve">•  </w:t>
      </w:r>
      <w:r>
        <w:rPr>
          <w:b/>
        </w:rPr>
        <w:t xml:space="preserve">The one quantitative anchor</w:t>
      </w:r>
      <w:r>
        <w:t xml:space="preserve"> is the 30 September exchange move: the franc firmed on the</w:t>
      </w:r>
    </w:p>
    <w:p>
      <w:r>
        <w:t xml:space="preserve">  relief — the pound easing from </w:t>
      </w:r>
      <w:r>
        <w:rPr>
          <w:b/>
        </w:rPr>
        <w:t xml:space="preserve">178.90 → 178.51 fr</w:t>
      </w:r>
      <w:r>
        <w:t xml:space="preserve"> and the dollar from </w:t>
      </w:r>
      <w:r>
        <w:rPr>
          <w:b/>
        </w:rPr>
        <w:t xml:space="preserve">38.90 → 37.55 fr</w:t>
      </w:r>
      <w:r>
        <w:t xml:space="preserve">   in the day's </w:t>
      </w:r>
      <w:r>
        <w:rPr>
          <w:i/>
        </w:rPr>
        <w:t xml:space="preserve">Changes</w:t>
      </w:r>
      <w:r>
        <w:t xml:space="preserve"> table </w:t>
      </w:r>
      <w:r>
        <w:rPr>
          <w:i/>
        </w:rPr>
        <w:t xml:space="preserve">[OCR — verify against the page image]</w:t>
      </w:r>
      <w:r>
        <w:t xml:space="preserve">. Everything else in the   arc is the qualitative report, not yet a price series.</w:t>
      </w:r>
    </w:p>
    <w:p>
      <w:r>
        <w:t xml:space="preserve">Chart: </w:t>
      </w:r>
      <w:r>
        <w:rPr>
          <w:rFonts w:ascii="Consolas" w:hAnsi="Consolas"/>
          <w:sz w:val="18"/>
        </w:rPr>
        <w:t xml:space="preserve">war_premia/results/munich_1938_arc.svg</w:t>
      </w:r>
      <w:r>
        <w:t xml:space="preserve"> (a schematic of the reported daily tone — build, turn, relief, settle — explicitly </w:t>
      </w:r>
      <w:r>
        <w:rPr>
          <w:i/>
        </w:rPr>
        <w:t xml:space="preserve">not</w:t>
      </w:r>
      <w:r>
        <w:t xml:space="preserve"> a price line). Data: </w:t>
      </w:r>
      <w:r>
        <w:rPr>
          <w:rFonts w:ascii="Consolas" w:hAnsi="Consolas"/>
          <w:sz w:val="18"/>
        </w:rPr>
        <w:t xml:space="preserve">war_premia/data/munich_1938_arc.csv</w:t>
      </w:r>
      <w:r>
        <w:t xml:space="preserve">.</w:t>
      </w:r>
    </w:p>
    <w:p>
      <w:pPr>
        <w:pStyle w:val="Heading3"/>
      </w:pPr>
      <w:r>
        <w:t xml:space="preserve">Why the arc matters (beyond the two-point version)</w:t>
      </w:r>
    </w:p>
    <w:p>
      <w:r>
        <w:t xml:space="preserve">The two snapshots showed a scare and a relief rally. The </w:t>
      </w:r>
      <w:r>
        <w:rPr>
          <w:b/>
        </w:rPr>
        <w:t xml:space="preserve">arc</w:t>
      </w:r>
      <w:r>
        <w:t xml:space="preserve"> shows the market </w:t>
      </w:r>
      <w:r>
        <w:rPr>
          <w:i/>
        </w:rPr>
        <w:t xml:space="preserve">working the news day by day</w:t>
      </w:r>
      <w:r>
        <w:t xml:space="preserve">: it fell on the Berchtesgaden breakdown (17 Sep), found its floor by reading Hitler's speech as leaving a door open (28 Sep), broke sharply higher the moment the Agreement was signed (30 Sep), and settled back into ordinary business within a week (8 Oct). That is the same anatomy as </w:t>
      </w:r>
      <w:r>
        <w:rPr>
          <w:b/>
        </w:rPr>
        <w:t xml:space="preserve">Agadir 1911</w:t>
      </w:r>
      <w:r>
        <w:t xml:space="preserve"> (the 4 Nov relief: </w:t>
      </w:r>
      <w:r>
        <w:rPr>
          <w:i/>
        </w:rPr>
        <w:t xml:space="preserve">"la cote retrouve toute sa fermeté"</w:t>
      </w:r>
      <w:r>
        <w:t xml:space="preserve">), replayed with far cleaner, better-dated interwar data — the press naming the crisis at every step. The framework — press-attributed price signal + the cried-wolf structure — travels cleanly into the interwar.</w:t>
      </w:r>
    </w:p>
    <w:p>
      <w:r>
        <w:rPr>
          <w:b/>
        </w:rPr>
        <w:t xml:space="preserve">Why it matters against Kirshner.</w:t>
      </w:r>
      <w:r>
        <w:t xml:space="preserve"> Munich is his thesis-case (financial caution → appeasement) but his empirics are France/Japan, not the British/French </w:t>
      </w:r>
      <w:r>
        <w:rPr>
          <w:i/>
        </w:rPr>
        <w:t xml:space="preserve">markets</w:t>
      </w:r>
      <w:r>
        <w:t xml:space="preserve">, and his evidence is stated </w:t>
      </w:r>
      <w:r>
        <w:rPr>
          <w:i/>
        </w:rPr>
        <w:t xml:space="preserve">preference</w:t>
      </w:r>
      <w:r>
        <w:t xml:space="preserve">, not </w:t>
      </w:r>
      <w:r>
        <w:rPr>
          <w:i/>
        </w:rPr>
        <w:t xml:space="preserve">priced</w:t>
      </w:r>
      <w:r>
        <w:t xml:space="preserve"> risk. This run supplies the </w:t>
      </w:r>
      <w:r>
        <w:rPr>
          <w:b/>
        </w:rPr>
        <w:t xml:space="preserve">price counterpart he asserts but never measures</w:t>
      </w:r>
      <w:r>
        <w:t xml:space="preserve">: the 17 Sep slide and the 30 Sep relief rally </w:t>
      </w:r>
      <w:r>
        <w:rPr>
          <w:i/>
        </w:rPr>
        <w:t xml:space="preserve">are</w:t>
      </w:r>
      <w:r>
        <w:t xml:space="preserve"> the financial community's war-aversion, made quantitative and dated. A full study would add the London and (post-Anschluss) German markets, a quantified rente/equity series rather than the text report, and the </w:t>
      </w:r>
      <w:r>
        <w:rPr>
          <w:i/>
        </w:rPr>
        <w:t xml:space="preserve">Economist</w:t>
      </w:r>
      <w:r>
        <w:t xml:space="preserve">/FT alongside Le Temps — but the proof of concept holds.</w:t>
      </w:r>
    </w:p>
    <w:p>
      <w:r>
        <w:rPr>
          <w:i/>
        </w:rPr>
        <w:t xml:space="preserve">Caveats: OCR (verify against the page image); this is the qualitative market report plus a single-day FX anchor, not yet a continuous price series; the 22/24/27 Sep and 2/15 Oct issues did not surface a datable "La Bourse a…" report opening on the finance page and are omitted rather than guessed at.</w:t>
      </w:r>
    </w:p>
    <w:p>
      <w:pPr>
        <w:pStyle w:val="Heading3"/>
      </w:pPr>
      <w:r>
        <w:t xml:space="preserve">Reproduce</w:t>
      </w:r>
    </w:p>
    <w:p>
      <w:pPr>
        <w:pStyle w:val="Code"/>
      </w:pPr>
      <w:r>
        <w:rPr>
          <w:rFonts w:ascii="Consolas" w:hAnsi="Consolas"/>
          <w:sz w:val="18"/>
        </w:rPr>
        <w:t xml:space="preserve">## Le Temps Bulletin financier across the Munich arc (finance section ~p5-7):</w:t>
      </w:r>
    </w:p>
    <w:p>
      <w:pPr>
        <w:pStyle w:val="Code"/>
      </w:pPr>
      <w:r>
        <w:rPr>
          <w:rFonts w:ascii="Consolas" w:hAnsi="Consolas"/>
          <w:sz w:val="18"/>
        </w:rPr>
        <w:t xml:space="preserve">UA='Mozilla/5.0 (Windows NT 10.0) Chrome/120.0 Safari/537.36'</w:t>
      </w:r>
    </w:p>
    <w:p>
      <w:pPr>
        <w:pStyle w:val="Code"/>
      </w:pPr>
      <w:r>
        <w:rPr>
          <w:rFonts w:ascii="Consolas" w:hAnsi="Consolas"/>
          <w:sz w:val="18"/>
        </w:rPr>
        <w:t xml:space="preserve">for D in 19380917 19380928 19380930 19381008; do</w:t>
      </w:r>
    </w:p>
    <w:p>
      <w:pPr>
        <w:pStyle w:val="Code"/>
      </w:pPr>
      <w:r>
        <w:rPr>
          <w:rFonts w:ascii="Consolas" w:hAnsi="Consolas"/>
          <w:sz w:val="18"/>
        </w:rPr>
        <w:t xml:space="preserve">  ARK=$(curl -sS -A "$UA" -o /dev/null -w '%{redirect_url}' \</w:t>
      </w:r>
    </w:p>
    <w:p>
      <w:pPr>
        <w:pStyle w:val="Code"/>
      </w:pPr>
      <w:r>
        <w:rPr>
          <w:rFonts w:ascii="Consolas" w:hAnsi="Consolas"/>
          <w:sz w:val="18"/>
        </w:rPr>
        <w:t xml:space="preserve">    "https://gallica.bnf.fr/ark:/12148/cb34431794k/date$D" | grep -oE 'bpt6k[0-9a-z]+')</w:t>
      </w:r>
    </w:p>
    <w:p>
      <w:pPr>
        <w:pStyle w:val="Code"/>
      </w:pPr>
      <w:r>
        <w:rPr>
          <w:rFonts w:ascii="Consolas" w:hAnsi="Consolas"/>
          <w:sz w:val="18"/>
        </w:rPr>
        <w:t xml:space="preserve">  for P in 5 6 7; do</w:t>
      </w:r>
    </w:p>
    <w:p>
      <w:pPr>
        <w:pStyle w:val="Code"/>
      </w:pPr>
      <w:r>
        <w:rPr>
          <w:rFonts w:ascii="Consolas" w:hAnsi="Consolas"/>
          <w:sz w:val="18"/>
        </w:rPr>
        <w:t xml:space="preserve">    curl -sS -A "$UA" "https://gallica.bnf.fr/RequestDigitalElement?O=ark:/12148/$ARK&amp;E=ALTO&amp;Deb=$P" \</w:t>
      </w:r>
    </w:p>
    <w:p>
      <w:pPr>
        <w:pStyle w:val="Code"/>
      </w:pPr>
      <w:r>
        <w:rPr>
          <w:rFonts w:ascii="Consolas" w:hAnsi="Consolas"/>
          <w:sz w:val="18"/>
        </w:rPr>
        <w:t xml:space="preserve">      | grep -oE 'CONTENT="[^"]*"' | sed 's/CONTENT=//' | tr '\n' ' '</w:t>
      </w:r>
    </w:p>
    <w:p>
      <w:pPr>
        <w:pStyle w:val="Code"/>
      </w:pPr>
      <w:r>
        <w:rPr>
          <w:rFonts w:ascii="Consolas" w:hAnsi="Consolas"/>
          <w:sz w:val="18"/>
        </w:rPr>
        <w:t xml:space="preserve">  done</w:t>
      </w:r>
    </w:p>
    <w:p>
      <w:pPr>
        <w:pStyle w:val="Code"/>
      </w:pPr>
      <w:r>
        <w:rPr>
          <w:rFonts w:ascii="Consolas" w:hAnsi="Consolas"/>
          <w:sz w:val="18"/>
        </w:rPr>
        <w:t xml:space="preserve">done</w:t>
      </w:r>
    </w:p>
    <w:p>
      <w:pPr>
        <w:pStyle w:val="Heading2"/>
        <w:pageBreakBefore/>
      </w:pPr>
      <w:r>
        <w:t xml:space="preserve">The Outbreak of WWII, 1939–1940</w:t>
      </w:r>
    </w:p>
    <w:p>
      <w:r>
        <w:rPr>
          <w:i/>
        </w:rPr>
        <w:t xml:space="preserve">Answering the direct question: how did the US market react to the 1939–40 news from Europe, and did it price the catastrophe in advance? Short answer: it rose on the outbreak of the war and was blindsided by the fall of France — the anticipation failure in its purest form, and a textbook discrimination result.</w:t>
      </w:r>
    </w:p>
    <w:p>
      <w:pPr>
        <w:pStyle w:val="Heading3"/>
      </w:pPr>
      <w:r>
        <w:t xml:space="preserve">What happened (S&amp;P 500 daily, Yahoo ^GSPC)</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Moment</w:t>
            </w:r>
          </w:p>
        </w:tc>
        <w:tc>
          <w:tcPr>
            <w:tcW w:w="3120" w:type="dxa"/>
            <w:shd w:val="clear" w:fill="EEEEF6"/>
          </w:tcPr>
          <w:p>
            <w:pPr>
              <w:pStyle w:val="TableCell"/>
            </w:pPr>
            <w:r>
              <w:rPr>
                <w:b/>
              </w:rPr>
              <w:t xml:space="preserve">Move</w:t>
            </w:r>
          </w:p>
        </w:tc>
        <w:tc>
          <w:tcPr>
            <w:tcW w:w="3120" w:type="dxa"/>
            <w:shd w:val="clear" w:fill="EEEEF6"/>
          </w:tcPr>
          <w:p>
            <w:pPr>
              <w:pStyle w:val="TableCell"/>
            </w:pPr>
            <w:r>
              <w:rPr>
                <w:b/>
              </w:rPr>
              <w:t xml:space="preserve">Reading</w:t>
            </w:r>
          </w:p>
        </w:tc>
      </w:tr>
      <w:tr>
        <w:tc>
          <w:tcPr>
            <w:tcW w:w="3120" w:type="dxa"/>
          </w:tcPr>
          <w:p>
            <w:pPr>
              <w:pStyle w:val="TableCell"/>
            </w:pPr>
            <w:r>
              <w:rPr>
                <w:b/>
              </w:rPr>
              <w:t xml:space="preserve">Germany invades Poland, 1 Sept 1939</w:t>
            </w:r>
          </w:p>
        </w:tc>
        <w:tc>
          <w:tcPr>
            <w:tcW w:w="3120" w:type="dxa"/>
          </w:tcPr>
          <w:p>
            <w:pPr>
              <w:pStyle w:val="TableCell"/>
            </w:pPr>
            <w:r>
              <w:rPr>
                <w:b/>
              </w:rPr>
              <w:t xml:space="preserve">+21%</w:t>
            </w:r>
            <w:r>
              <w:t xml:space="preserve"> to the mid-Sept peak (10.89 → 13.17)</w:t>
            </w:r>
          </w:p>
        </w:tc>
        <w:tc>
          <w:tcPr>
            <w:tcW w:w="3120" w:type="dxa"/>
          </w:tcPr>
          <w:p>
            <w:pPr>
              <w:pStyle w:val="TableCell"/>
            </w:pPr>
            <w:r>
              <w:t xml:space="preserve">The </w:t>
            </w:r>
            <w:r>
              <w:rPr>
                <w:b/>
              </w:rPr>
              <w:t xml:space="preserve">"war boom."</w:t>
            </w:r>
            <w:r>
              <w:t xml:space="preserve"> The US market </w:t>
            </w:r>
            <w:r>
              <w:rPr>
                <w:i/>
              </w:rPr>
              <w:t xml:space="preserve">rose</w:t>
            </w:r>
            <w:r>
              <w:t xml:space="preserve"> on the outbreak of the largest war in history — war orders for neutral American industry. It priced the war it could </w:t>
            </w:r>
            <w:r>
              <w:rPr>
                <w:b/>
              </w:rPr>
              <w:t xml:space="preserve">profit from</w:t>
            </w:r>
            <w:r>
              <w:t xml:space="preserve">, not war-as-catastrophe.</w:t>
            </w:r>
          </w:p>
        </w:tc>
      </w:tr>
      <w:tr>
        <w:tc>
          <w:tcPr>
            <w:tcW w:w="3120" w:type="dxa"/>
          </w:tcPr>
          <w:p>
            <w:pPr>
              <w:pStyle w:val="TableCell"/>
            </w:pPr>
            <w:r>
              <w:rPr>
                <w:b/>
              </w:rPr>
              <w:t xml:space="preserve">The Phoney War, Oct 1939 – Apr 1940</w:t>
            </w:r>
          </w:p>
        </w:tc>
        <w:tc>
          <w:tcPr>
            <w:tcW w:w="3120" w:type="dxa"/>
          </w:tcPr>
          <w:p>
            <w:pPr>
              <w:pStyle w:val="TableCell"/>
            </w:pPr>
            <w:r>
              <w:t xml:space="preserve">drifted (~12.5)</w:t>
            </w:r>
          </w:p>
        </w:tc>
        <w:tc>
          <w:tcPr>
            <w:tcW w:w="3120" w:type="dxa"/>
          </w:tcPr>
          <w:p>
            <w:pPr>
              <w:pStyle w:val="TableCell"/>
            </w:pPr>
            <w:r>
              <w:t xml:space="preserve">Eight quiet months. The market did </w:t>
            </w:r>
            <w:r>
              <w:rPr>
                <w:b/>
              </w:rPr>
              <w:t xml:space="preserve">not</w:t>
            </w:r>
            <w:r>
              <w:t xml:space="preserve"> price the possibility that France might fall.</w:t>
            </w:r>
          </w:p>
        </w:tc>
      </w:tr>
      <w:tr>
        <w:tc>
          <w:tcPr>
            <w:tcW w:w="3120" w:type="dxa"/>
          </w:tcPr>
          <w:p>
            <w:pPr>
              <w:pStyle w:val="TableCell"/>
            </w:pPr>
            <w:r>
              <w:rPr>
                <w:b/>
              </w:rPr>
              <w:t xml:space="preserve">Blitzkrieg west, 10–21 May 1940</w:t>
            </w:r>
          </w:p>
        </w:tc>
        <w:tc>
          <w:tcPr>
            <w:tcW w:w="3120" w:type="dxa"/>
          </w:tcPr>
          <w:p>
            <w:pPr>
              <w:pStyle w:val="TableCell"/>
            </w:pPr>
            <w:r>
              <w:rPr>
                <w:b/>
              </w:rPr>
              <w:t xml:space="preserve">−22% in eleven days</w:t>
            </w:r>
            <w:r>
              <w:t xml:space="preserve"> (11.76 → 9.14)</w:t>
            </w:r>
          </w:p>
        </w:tc>
        <w:tc>
          <w:tcPr>
            <w:tcW w:w="3120" w:type="dxa"/>
          </w:tcPr>
          <w:p>
            <w:pPr>
              <w:pStyle w:val="TableCell"/>
            </w:pPr>
            <w:r>
              <w:t xml:space="preserve">The fall of France repriced the market violently — Germany dominant, the US position endangered, entry looming. The </w:t>
            </w:r>
            <w:r>
              <w:rPr>
                <w:b/>
              </w:rPr>
              <w:t xml:space="preserve">speed shocked it</w:t>
            </w:r>
            <w:r>
              <w:t xml:space="preserve">: a surprise, not a priced-in event.</w:t>
            </w:r>
          </w:p>
        </w:tc>
      </w:tr>
      <w:tr>
        <w:tc>
          <w:tcPr>
            <w:tcW w:w="3120" w:type="dxa"/>
          </w:tcPr>
          <w:p>
            <w:pPr>
              <w:pStyle w:val="TableCell"/>
            </w:pPr>
            <w:r>
              <w:rPr>
                <w:b/>
              </w:rPr>
              <w:t xml:space="preserve">France falls / armistice, June 1940</w:t>
            </w:r>
          </w:p>
        </w:tc>
        <w:tc>
          <w:tcPr>
            <w:tcW w:w="3120" w:type="dxa"/>
          </w:tcPr>
          <w:p>
            <w:pPr>
              <w:pStyle w:val="TableCell"/>
            </w:pPr>
            <w:r>
              <w:rPr>
                <w:b/>
              </w:rPr>
              <w:t xml:space="preserve">−29%</w:t>
            </w:r>
            <w:r>
              <w:t xml:space="preserve"> from April</w:t>
            </w:r>
          </w:p>
        </w:tc>
        <w:tc>
          <w:tcPr>
            <w:tcW w:w="3120" w:type="dxa"/>
          </w:tcPr>
          <w:p>
            <w:pPr>
              <w:pStyle w:val="TableCell"/>
            </w:pPr>
            <w:r>
              <w:t xml:space="preserve">One of the sharpest US crashes ever — the war had changed character from distant boom to systemic danger.</w:t>
            </w:r>
          </w:p>
        </w:tc>
      </w:tr>
    </w:tbl>
    <w:p>
      <w:r>
        <w:t xml:space="preserve">Chart: </w:t>
      </w:r>
      <w:r>
        <w:rPr>
          <w:rFonts w:ascii="Consolas" w:hAnsi="Consolas"/>
          <w:sz w:val="18"/>
        </w:rPr>
        <w:t xml:space="preserve">war_premia/results/wwii_outbreak_1939_1940.svg</w:t>
      </w:r>
      <w:r>
        <w:t xml:space="preserve">.</w:t>
      </w:r>
    </w:p>
    <w:p>
      <w:pPr>
        <w:pStyle w:val="Heading3"/>
      </w:pPr>
      <w:r>
        <w:t xml:space="preserve">Did it price it in before? No — twice over.</w:t>
      </w:r>
    </w:p>
    <w:p>
      <w:pPr>
        <w:pStyle w:val="ListParagraph"/>
        <w:ind w:left="360" w:hanging="360"/>
      </w:pPr>
      <w:r>
        <w:t xml:space="preserve">1.  </w:t>
      </w:r>
      <w:r>
        <w:rPr>
          <w:b/>
        </w:rPr>
        <w:t xml:space="preserve">It priced the wrong sign in 1939.</w:t>
      </w:r>
      <w:r>
        <w:t xml:space="preserve"> With eight months' warning that a European war was coming,</w:t>
      </w:r>
    </w:p>
    <w:p>
      <w:r>
        <w:t xml:space="preserve">   the market's frame at the actual outbreak was </w:t>
      </w:r>
      <w:r>
        <w:rPr>
          <w:i/>
        </w:rPr>
        <w:t xml:space="preserve">boom</w:t>
      </w:r>
      <w:r>
        <w:t xml:space="preserve">, not catastrophe. It </w:t>
      </w:r>
      <w:r>
        <w:rPr>
          <w:b/>
        </w:rPr>
        <w:t xml:space="preserve">rallied</w:t>
      </w:r>
      <w:r>
        <w:t xml:space="preserve"> on the    invasion of Poland. A market pricing the coming disaster does not rise 21% into it.</w:t>
      </w:r>
    </w:p>
    <w:p>
      <w:pPr>
        <w:pStyle w:val="ListParagraph"/>
        <w:ind w:left="360" w:hanging="360"/>
      </w:pPr>
      <w:r>
        <w:t xml:space="preserve">2.  </w:t>
      </w:r>
      <w:r>
        <w:rPr>
          <w:b/>
        </w:rPr>
        <w:t xml:space="preserve">The 1940 crash was unanticipated.</w:t>
      </w:r>
      <w:r>
        <w:t xml:space="preserve"> The Phoney War lulled it; the market had every chance,</w:t>
      </w:r>
    </w:p>
    <w:p>
      <w:r>
        <w:t xml:space="preserve">   from September 1939 to May 1940, to discount the risk that France might collapse, and it </w:t>
      </w:r>
      <w:r>
        <w:rPr>
          <w:b/>
        </w:rPr>
        <w:t xml:space="preserve">did    not</w:t>
      </w:r>
      <w:r>
        <w:t xml:space="preserve">. It took the actual blitzkrieg to force the repricing — and a −22% move in eleven trading    days is the signature of a surprise being absorbed, not a risk that was already in the price.</w:t>
      </w:r>
    </w:p>
    <w:p>
      <w:pPr>
        <w:pStyle w:val="Heading3"/>
      </w:pPr>
      <w:r>
        <w:t xml:space="preserve">Why this is a keystone for the anticipation-vs-resolution split</w:t>
      </w:r>
    </w:p>
    <w:p>
      <w:r>
        <w:t xml:space="preserve">This is the clearest single case that </w:t>
      </w:r>
      <w:r>
        <w:rPr>
          <w:b/>
        </w:rPr>
        <w:t xml:space="preserve">markets are poor at anticipating a political-military decision and fast at pricing its consequences once taken.</w:t>
      </w:r>
    </w:p>
    <w:p>
      <w:pPr>
        <w:pStyle w:val="ListParagraph"/>
        <w:ind w:left="360" w:hanging="360"/>
      </w:pPr>
      <w:r>
        <w:t xml:space="preserve">•  </w:t>
      </w:r>
      <w:r>
        <w:rPr>
          <w:b/>
        </w:rPr>
        <w:t xml:space="preserve">Discrimination, again.</w:t>
      </w:r>
      <w:r>
        <w:t xml:space="preserve"> The market did not price "war = bad." It distinguished the **distant,</w:t>
      </w:r>
    </w:p>
    <w:p>
      <w:r>
        <w:t xml:space="preserve">  profitable</w:t>
      </w:r>
      <w:r>
        <w:rPr>
          <w:b/>
        </w:rPr>
        <w:t xml:space="preserve"> war (1939, neutral America as arms supplier) from the </w:t>
      </w:r>
      <w:r>
        <w:t xml:space="preserve">systemic*</w:t>
      </w:r>
      <w:r>
        <w:rPr>
          <w:i/>
        </w:rPr>
        <w:t xml:space="preserve"> war (1940, the   European balance collapsing and the US endangered). </w:t>
      </w:r>
      <w:r>
        <w:t xml:space="preserve">Same war, repriced as its character changed*   — the WWII twin of Korea repricing on general-war probability.</w:t>
      </w:r>
    </w:p>
    <w:p>
      <w:pPr>
        <w:pStyle w:val="ListParagraph"/>
        <w:ind w:left="360" w:hanging="360"/>
      </w:pPr>
      <w:r>
        <w:t xml:space="preserve">•  </w:t>
      </w:r>
      <w:r>
        <w:rPr>
          <w:b/>
        </w:rPr>
        <w:t xml:space="preserve">Anticipation failed both times</w:t>
      </w:r>
      <w:r>
        <w:t xml:space="preserve"> — wrong sign in '39, blindsided in '40 — because the outcome</w:t>
      </w:r>
    </w:p>
    <w:p>
      <w:r>
        <w:t xml:space="preserve">  hung on contingent decisions (would France hold? would Hitler strike west, and how fast?) that   the market could not handicap.</w:t>
      </w:r>
    </w:p>
    <w:p>
      <w:pPr>
        <w:pStyle w:val="ListParagraph"/>
        <w:ind w:left="360" w:hanging="360"/>
      </w:pPr>
      <w:r>
        <w:t xml:space="preserve">•  </w:t>
      </w:r>
      <w:r>
        <w:rPr>
          <w:b/>
        </w:rPr>
        <w:t xml:space="preserve">Resolution worked.</w:t>
      </w:r>
      <w:r>
        <w:t xml:space="preserve"> Once the blitzkrieg's reality was undeniable, the market repriced the new</w:t>
      </w:r>
    </w:p>
    <w:p>
      <w:r>
        <w:t xml:space="preserve">  strategic world </w:t>
      </w:r>
      <w:r>
        <w:rPr>
          <w:b/>
        </w:rPr>
        <w:t xml:space="preserve">quickly and correctly</w:t>
      </w:r>
      <w:r>
        <w:t xml:space="preserve"> — the −29% was the market getting the answer </w:t>
      </w:r>
      <w:r>
        <w:rPr>
          <w:i/>
        </w:rPr>
        <w:t xml:space="preserve">right</w:t>
      </w:r>
      <w:r>
        <w:t xml:space="preserve">,   fast, at the moment the decision resolved.</w:t>
      </w:r>
    </w:p>
    <w:p>
      <w:r>
        <w:t xml:space="preserve">It also sets up Pearl Harbor: by December 1941 the market had </w:t>
      </w:r>
      <w:r>
        <w:rPr>
          <w:b/>
        </w:rPr>
        <w:t xml:space="preserve">learned</w:t>
      </w:r>
      <w:r>
        <w:t xml:space="preserve"> from 1940 that this war could reach America — which is why 1941 shows a −10% autumn drift (war being priced in aggregate) before the attack, where 1939 showed a boom. The frame shifted from "distant profit" to "our war" between the fall of France and Pearl Harbor.</w:t>
      </w:r>
    </w:p>
    <w:p>
      <w:pPr>
        <w:pStyle w:val="Heading3"/>
      </w:pPr>
      <w:r>
        <w:t xml:space="preserve">Reproduce</w:t>
      </w:r>
    </w:p>
    <w:p>
      <w:pPr>
        <w:pStyle w:val="Code"/>
      </w:pPr>
      <w:r>
        <w:rPr>
          <w:rFonts w:ascii="Consolas" w:hAnsi="Consolas"/>
          <w:sz w:val="18"/>
        </w:rPr>
        <w:t xml:space="preserve">python3 -c "import datetime as d;print(int(d.datetime(1939,6,1).timestamp()),int(d.datetime(1940,8,1).timestamp()))"</w:t>
      </w:r>
    </w:p>
    <w:p>
      <w:pPr>
        <w:pStyle w:val="Code"/>
      </w:pPr>
      <w:r>
        <w:rPr>
          <w:rFonts w:ascii="Consolas" w:hAnsi="Consolas"/>
          <w:sz w:val="18"/>
        </w:rPr>
        <w:t xml:space="preserve">curl -sS -A "Mozilla/5.0" "https://query1.finance.yahoo.com/v8/finance/chart/%5EGSPC?period1=&lt;P1&gt;&amp;period2=&lt;P2&gt;&amp;interval=1d"</w:t>
      </w:r>
    </w:p>
    <w:p>
      <w:pPr>
        <w:pStyle w:val="Code"/>
      </w:pPr>
      <w:r>
        <w:rPr>
          <w:rFonts w:ascii="Consolas" w:hAnsi="Consolas"/>
          <w:sz w:val="18"/>
        </w:rPr>
        <w:t xml:space="preserve">## Poland invaded 1 Sept 1939; blitzkrieg west 10 May 1940; France falls mid-June 1940.</w:t>
      </w:r>
    </w:p>
    <w:p>
      <w:r>
        <w:rPr>
          <w:i/>
        </w:rPr>
        <w:t xml:space="preserve">Caveat: ^GSPC daily index levels; verify against a second source, and cite the contemporaneous market commentary (NYT/WSJ, Sept 1939 &amp; May 1940) for the "war boom" and the fall-of-France crash.</w:t>
      </w:r>
    </w:p>
    <w:p>
      <w:pPr>
        <w:pStyle w:val="Heading2"/>
        <w:pageBreakBefore/>
      </w:pPr>
      <w:r>
        <w:t xml:space="preserve">Pearl Harbor &amp; the 1941 Freeze</w:t>
      </w:r>
    </w:p>
    <w:p>
      <w:r>
        <w:t xml:space="preserve">Two events, one year, two distinct lessons — and the anchor of the </w:t>
      </w:r>
      <w:r>
        <w:rPr>
          <w:b/>
        </w:rPr>
        <w:t xml:space="preserve">freeze lineage</w:t>
      </w:r>
      <w:r>
        <w:t xml:space="preserve"> (1941 → Suez 1956 → 2022). The </w:t>
      </w:r>
      <w:r>
        <w:rPr>
          <w:b/>
        </w:rPr>
        <w:t xml:space="preserve">July 1941 asset freeze</w:t>
      </w:r>
      <w:r>
        <w:t xml:space="preserve"> is finance-as-weapon in its most consequential form; </w:t>
      </w:r>
      <w:r>
        <w:rPr>
          <w:b/>
        </w:rPr>
        <w:t xml:space="preserve">Pearl Harbor</w:t>
      </w:r>
      <w:r>
        <w:t xml:space="preserve"> is the framework's limiting case on the </w:t>
      </w:r>
      <w:r>
        <w:rPr>
          <w:i/>
        </w:rPr>
        <w:t xml:space="preserve">anticipation</w:t>
      </w:r>
      <w:r>
        <w:t xml:space="preserve"> side — a genuine surprise, where there was no war scare to price in advance.</w:t>
      </w:r>
    </w:p>
    <w:p>
      <w:pPr>
        <w:pStyle w:val="Heading3"/>
      </w:pPr>
      <w:r>
        <w:t xml:space="preserve">Part 1 — the freeze (the weapon), 26 July 1941</w:t>
      </w:r>
    </w:p>
    <w:p>
      <w:r>
        <w:t xml:space="preserve">FDR froze Japanese assets in the US and imposed a de facto oil embargo — the financial strangulation that historians credit with </w:t>
      </w:r>
      <w:r>
        <w:rPr>
          <w:b/>
        </w:rPr>
        <w:t xml:space="preserve">cornering Japan toward war</w:t>
      </w:r>
      <w:r>
        <w:t xml:space="preserve">. The US market's reaction:</w:t>
      </w:r>
    </w:p>
    <w:p>
      <w:pPr>
        <w:pStyle w:val="ListParagraph"/>
        <w:ind w:left="360" w:hanging="360"/>
      </w:pPr>
      <w:r>
        <w:t xml:space="preserve">•  </w:t>
      </w:r>
      <w:r>
        <w:rPr>
          <w:b/>
        </w:rPr>
        <w:t xml:space="preserve">Flat.</w:t>
      </w:r>
      <w:r>
        <w:t xml:space="preserve"> 10.34 → 10.36 across the fortnight. The single most consequential act of American</w:t>
      </w:r>
    </w:p>
    <w:p>
      <w:r>
        <w:t xml:space="preserve">  financial coercion of the century was </w:t>
      </w:r>
      <w:r>
        <w:rPr>
          <w:b/>
        </w:rPr>
        <w:t xml:space="preserve">invisible in the tape</w:t>
      </w:r>
      <w:r>
        <w:t xml:space="preserve">.</w:t>
      </w:r>
    </w:p>
    <w:p>
      <w:r>
        <w:t xml:space="preserve">Why it matters: the market </w:t>
      </w:r>
      <w:r>
        <w:rPr>
          <w:b/>
        </w:rPr>
        <w:t xml:space="preserve">did not price the consequence of its own government's weapon.</w:t>
      </w:r>
      <w:r>
        <w:t xml:space="preserve"> The freeze's damage fell on Japan, not on US assets, and no one connected the embargo to the war it would provoke five months later. This is the </w:t>
      </w:r>
      <w:r>
        <w:rPr>
          <w:b/>
        </w:rPr>
        <w:t xml:space="preserve">coercive edge, state-wielded</w:t>
      </w:r>
      <w:r>
        <w:t xml:space="preserve"> — but with the outcome that separates it from Suez: the 1941 freeze </w:t>
      </w:r>
      <w:r>
        <w:rPr>
          <w:i/>
        </w:rPr>
        <w:t xml:space="preserve">worked</w:t>
      </w:r>
      <w:r>
        <w:t xml:space="preserve"> (it strangled Japan) and thereby </w:t>
      </w:r>
      <w:r>
        <w:rPr>
          <w:b/>
        </w:rPr>
        <w:t xml:space="preserve">backfired into war</w:t>
      </w:r>
      <w:r>
        <w:t xml:space="preserve">, where the 1956 freeze </w:t>
      </w:r>
      <w:r>
        <w:rPr>
          <w:i/>
        </w:rPr>
        <w:t xml:space="preserve">worked</w:t>
      </w:r>
      <w:r>
        <w:t xml:space="preserve"> and forced a </w:t>
      </w:r>
      <w:r>
        <w:rPr>
          <w:b/>
        </w:rPr>
        <w:t xml:space="preserve">retreat</w:t>
      </w:r>
      <w:r>
        <w:t xml:space="preserve">. Same weapon, opposite results — see the lineage below.</w:t>
      </w:r>
    </w:p>
    <w:p>
      <w:pPr>
        <w:pStyle w:val="Heading3"/>
      </w:pPr>
      <w:r>
        <w:t xml:space="preserve">Part 2 — Pearl Harbor (the surprise), 7–8 December 1941</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Moment</w:t>
            </w:r>
          </w:p>
        </w:tc>
        <w:tc>
          <w:tcPr>
            <w:tcW w:w="3120" w:type="dxa"/>
            <w:shd w:val="clear" w:fill="EEEEF6"/>
          </w:tcPr>
          <w:p>
            <w:pPr>
              <w:pStyle w:val="TableCell"/>
            </w:pPr>
            <w:r>
              <w:rPr>
                <w:b/>
              </w:rPr>
              <w:t xml:space="preserve">Move</w:t>
            </w:r>
          </w:p>
        </w:tc>
        <w:tc>
          <w:tcPr>
            <w:tcW w:w="3120" w:type="dxa"/>
            <w:shd w:val="clear" w:fill="EEEEF6"/>
          </w:tcPr>
          <w:p>
            <w:pPr>
              <w:pStyle w:val="TableCell"/>
            </w:pPr>
            <w:r>
              <w:rPr>
                <w:b/>
              </w:rPr>
              <w:t xml:space="preserve">Reading</w:t>
            </w:r>
          </w:p>
        </w:tc>
      </w:tr>
      <w:tr>
        <w:tc>
          <w:tcPr>
            <w:tcW w:w="3120" w:type="dxa"/>
          </w:tcPr>
          <w:p>
            <w:pPr>
              <w:pStyle w:val="TableCell"/>
            </w:pPr>
            <w:r>
              <w:rPr>
                <w:b/>
              </w:rPr>
              <w:t xml:space="preserve">Pre-war drift</w:t>
            </w:r>
            <w:r>
              <w:t xml:space="preserve"> (Jul → Dec 1941)</w:t>
            </w:r>
          </w:p>
        </w:tc>
        <w:tc>
          <w:tcPr>
            <w:tcW w:w="3120" w:type="dxa"/>
          </w:tcPr>
          <w:p>
            <w:pPr>
              <w:pStyle w:val="TableCell"/>
            </w:pPr>
            <w:r>
              <w:rPr>
                <w:b/>
              </w:rPr>
              <w:t xml:space="preserve">−10%</w:t>
            </w:r>
          </w:p>
        </w:tc>
        <w:tc>
          <w:tcPr>
            <w:tcW w:w="3120" w:type="dxa"/>
          </w:tcPr>
          <w:p>
            <w:pPr>
              <w:pStyle w:val="TableCell"/>
            </w:pPr>
            <w:r>
              <w:t xml:space="preserve">War risk was </w:t>
            </w:r>
            <w:r>
              <w:rPr>
                <w:b/>
              </w:rPr>
              <w:t xml:space="preserve">already being priced in aggregate</w:t>
            </w:r>
            <w:r>
              <w:t xml:space="preserve"> — the market slid from 10.34 to 9.32 through autumn on the European war and the Japan crisis.</w:t>
            </w:r>
          </w:p>
        </w:tc>
      </w:tr>
      <w:tr>
        <w:tc>
          <w:tcPr>
            <w:tcW w:w="3120" w:type="dxa"/>
          </w:tcPr>
          <w:p>
            <w:pPr>
              <w:pStyle w:val="TableCell"/>
            </w:pPr>
            <w:r>
              <w:rPr>
                <w:b/>
              </w:rPr>
              <w:t xml:space="preserve">Pearl Harbor</w:t>
            </w:r>
            <w:r>
              <w:t xml:space="preserve"> (first trading day, 8 Dec)</w:t>
            </w:r>
          </w:p>
        </w:tc>
        <w:tc>
          <w:tcPr>
            <w:tcW w:w="3120" w:type="dxa"/>
          </w:tcPr>
          <w:p>
            <w:pPr>
              <w:pStyle w:val="TableCell"/>
            </w:pPr>
            <w:r>
              <w:rPr>
                <w:b/>
              </w:rPr>
              <w:t xml:space="preserve">−3.8%</w:t>
            </w:r>
            <w:r>
              <w:t xml:space="preserve">; −6.9% by day two</w:t>
            </w:r>
          </w:p>
        </w:tc>
        <w:tc>
          <w:tcPr>
            <w:tcW w:w="3120" w:type="dxa"/>
          </w:tcPr>
          <w:p>
            <w:pPr>
              <w:pStyle w:val="TableCell"/>
            </w:pPr>
            <w:r>
              <w:t xml:space="preserve">A genuine </w:t>
            </w:r>
            <w:r>
              <w:rPr>
                <w:b/>
              </w:rPr>
              <w:t xml:space="preserve">surprise attack</w:t>
            </w:r>
            <w:r>
              <w:t xml:space="preserve"> — no scare to price in advance — yet the day-one drop was </w:t>
            </w:r>
            <w:r>
              <w:rPr>
                <w:b/>
              </w:rPr>
              <w:t xml:space="preserve">modest for US entry into a world war</w:t>
            </w:r>
            <w:r>
              <w:t xml:space="preserve">.</w:t>
            </w:r>
          </w:p>
        </w:tc>
      </w:tr>
      <w:tr>
        <w:tc>
          <w:tcPr>
            <w:tcW w:w="3120" w:type="dxa"/>
          </w:tcPr>
          <w:p>
            <w:pPr>
              <w:pStyle w:val="TableCell"/>
            </w:pPr>
            <w:r>
              <w:rPr>
                <w:b/>
              </w:rPr>
              <w:t xml:space="preserve">Wartime low</w:t>
            </w:r>
            <w:r>
              <w:t xml:space="preserve"> (28 Apr 1942)</w:t>
            </w:r>
          </w:p>
        </w:tc>
        <w:tc>
          <w:tcPr>
            <w:tcW w:w="3120" w:type="dxa"/>
          </w:tcPr>
          <w:p>
            <w:pPr>
              <w:pStyle w:val="TableCell"/>
            </w:pPr>
            <w:r>
              <w:rPr>
                <w:b/>
              </w:rPr>
              <w:t xml:space="preserve">−20%</w:t>
            </w:r>
            <w:r>
              <w:t xml:space="preserve"> from pre-Pearl</w:t>
            </w:r>
          </w:p>
        </w:tc>
        <w:tc>
          <w:tcPr>
            <w:tcW w:w="3120" w:type="dxa"/>
          </w:tcPr>
          <w:p>
            <w:pPr>
              <w:pStyle w:val="TableCell"/>
            </w:pPr>
            <w:r>
              <w:t xml:space="preserve">Ground lower through the dark months (Bataan, Singapore, U-boats off the coast), bottoming at the point of maximum Axis advance — and turning </w:t>
            </w:r>
            <w:r>
              <w:rPr>
                <w:i/>
              </w:rPr>
              <w:t xml:space="preserve">before</w:t>
            </w:r>
            <w:r>
              <w:t xml:space="preserve"> Midway.</w:t>
            </w:r>
          </w:p>
        </w:tc>
      </w:tr>
    </w:tbl>
    <w:p>
      <w:r>
        <w:t xml:space="preserve">Two framework points:</w:t>
      </w:r>
    </w:p>
    <w:p>
      <w:pPr>
        <w:pStyle w:val="ListParagraph"/>
        <w:ind w:left="360" w:hanging="360"/>
      </w:pPr>
      <w:r>
        <w:t xml:space="preserve">1.  </w:t>
      </w:r>
      <w:r>
        <w:rPr>
          <w:b/>
        </w:rPr>
        <w:t xml:space="preserve">A surprise has no anticipation to measure.</w:t>
      </w:r>
      <w:r>
        <w:t xml:space="preserve"> The book's press-triangulation and cried-wolf</w:t>
      </w:r>
    </w:p>
    <w:p>
      <w:r>
        <w:t xml:space="preserve">   machinery needs a </w:t>
      </w:r>
      <w:r>
        <w:rPr>
          <w:i/>
        </w:rPr>
        <w:t xml:space="preserve">build-up</w:t>
      </w:r>
      <w:r>
        <w:t xml:space="preserve"> — the market pricing a rising probability. Pearl Harbor had none:    the attack was a discontinuity. So the −3.8% is not a "war premium" building; it is the market    </w:t>
      </w:r>
      <w:r>
        <w:rPr>
          <w:b/>
        </w:rPr>
        <w:t xml:space="preserve">repricing instantly</w:t>
      </w:r>
      <w:r>
        <w:t xml:space="preserve"> to a fact it could not have discounted. The limiting case that defines    what the anticipation tests </w:t>
      </w:r>
      <w:r>
        <w:rPr>
          <w:i/>
        </w:rPr>
        <w:t xml:space="preserve">can</w:t>
      </w:r>
      <w:r>
        <w:t xml:space="preserve"> and </w:t>
      </w:r>
      <w:r>
        <w:rPr>
          <w:i/>
        </w:rPr>
        <w:t xml:space="preserve">cannot</w:t>
      </w:r>
      <w:r>
        <w:t xml:space="preserve"> see.</w:t>
      </w:r>
    </w:p>
    <w:p>
      <w:pPr>
        <w:pStyle w:val="ListParagraph"/>
        <w:ind w:left="360" w:hanging="360"/>
      </w:pPr>
      <w:r>
        <w:t xml:space="preserve">2.  </w:t>
      </w:r>
      <w:r>
        <w:rPr>
          <w:b/>
        </w:rPr>
        <w:t xml:space="preserve">Modest — because half-priced and survivable.</w:t>
      </w:r>
      <w:r>
        <w:t xml:space="preserve"> −3.8% for entry into WWII is strikingly</w:t>
      </w:r>
    </w:p>
    <w:p>
      <w:r>
        <w:t xml:space="preserve">   contained next to Korea's −5.4% for a far smaller war. Two reasons the framework supplies:    (a) </w:t>
      </w:r>
      <w:r>
        <w:rPr>
          <w:b/>
        </w:rPr>
        <w:t xml:space="preserve">war risk was already in the price</w:t>
      </w:r>
      <w:r>
        <w:t xml:space="preserve"> (the −10% autumn drift), so only the </w:t>
      </w:r>
      <w:r>
        <w:rPr>
          <w:i/>
        </w:rPr>
        <w:t xml:space="preserve">residual</w:t>
      </w:r>
      <w:r>
        <w:t xml:space="preserve">    surprise repriced on 8 December; (b) US entry, however catastrophic, was </w:t>
      </w:r>
      <w:r>
        <w:rPr>
          <w:b/>
        </w:rPr>
        <w:t xml:space="preserve">survivable and    collectable</w:t>
      </w:r>
      <w:r>
        <w:t xml:space="preserve"> — the homeland was not at risk and war production promised an eventual boom, so    this was priceable, not the Cuba-'62 un-priceable ceiling. The deeper −20% low tracked the    </w:t>
      </w:r>
      <w:r>
        <w:rPr>
          <w:i/>
        </w:rPr>
        <w:t xml:space="preserve">military</w:t>
      </w:r>
      <w:r>
        <w:t xml:space="preserve"> tide, not the day of the attack.</w:t>
      </w:r>
    </w:p>
    <w:p>
      <w:r>
        <w:t xml:space="preserve">Chart: </w:t>
      </w:r>
      <w:r>
        <w:rPr>
          <w:rFonts w:ascii="Consolas" w:hAnsi="Consolas"/>
          <w:sz w:val="18"/>
        </w:rPr>
        <w:t xml:space="preserve">war_premia/results/pearl_harbor_1941.svg</w:t>
      </w:r>
      <w:r>
        <w:t xml:space="preserve">.</w:t>
      </w:r>
    </w:p>
    <w:p>
      <w:pPr>
        <w:pStyle w:val="Heading3"/>
      </w:pPr>
      <w:r>
        <w:t xml:space="preserve">The freeze lineage — 1941 → 1956 → 2022 (the "also 2022" thread)</w:t>
      </w:r>
    </w:p>
    <w:p>
      <w:r>
        <w:t xml:space="preserve">The three cleanest cases of the </w:t>
      </w:r>
      <w:r>
        <w:rPr>
          <w:b/>
        </w:rPr>
        <w:t xml:space="preserve">state-wielded coercive freeze</w:t>
      </w:r>
      <w:r>
        <w:t xml:space="preserve">, and they sort by </w:t>
      </w:r>
      <w:r>
        <w:rPr>
          <w:i/>
        </w:rPr>
        <w:t xml:space="preserve">outcome</w:t>
      </w:r>
      <w:r>
        <w:t xml:space="preserve"> — the taxonomy the book should draw:</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Case</w:t>
            </w:r>
          </w:p>
        </w:tc>
        <w:tc>
          <w:tcPr>
            <w:tcW w:w="2340" w:type="dxa"/>
            <w:shd w:val="clear" w:fill="EEEEF6"/>
          </w:tcPr>
          <w:p>
            <w:pPr>
              <w:pStyle w:val="TableCell"/>
            </w:pPr>
            <w:r>
              <w:rPr>
                <w:b/>
              </w:rPr>
              <w:t xml:space="preserve">The weapon</w:t>
            </w:r>
          </w:p>
        </w:tc>
        <w:tc>
          <w:tcPr>
            <w:tcW w:w="2340" w:type="dxa"/>
            <w:shd w:val="clear" w:fill="EEEEF6"/>
          </w:tcPr>
          <w:p>
            <w:pPr>
              <w:pStyle w:val="TableCell"/>
            </w:pPr>
            <w:r>
              <w:rPr>
                <w:b/>
              </w:rPr>
              <w:t xml:space="preserve">Market footprint</w:t>
            </w:r>
          </w:p>
        </w:tc>
        <w:tc>
          <w:tcPr>
            <w:tcW w:w="2340" w:type="dxa"/>
            <w:shd w:val="clear" w:fill="EEEEF6"/>
          </w:tcPr>
          <w:p>
            <w:pPr>
              <w:pStyle w:val="TableCell"/>
            </w:pPr>
            <w:r>
              <w:rPr>
                <w:b/>
              </w:rPr>
              <w:t xml:space="preserve">Outcome of the squeeze</w:t>
            </w:r>
          </w:p>
        </w:tc>
      </w:tr>
      <w:tr>
        <w:tc>
          <w:tcPr>
            <w:tcW w:w="2340" w:type="dxa"/>
          </w:tcPr>
          <w:p>
            <w:pPr>
              <w:pStyle w:val="TableCell"/>
            </w:pPr>
            <w:r>
              <w:rPr>
                <w:b/>
              </w:rPr>
              <w:t xml:space="preserve">1941</w:t>
            </w:r>
            <w:r>
              <w:t xml:space="preserve"> — US freeze of Japanese assets + oil embargo</w:t>
            </w:r>
          </w:p>
        </w:tc>
        <w:tc>
          <w:tcPr>
            <w:tcW w:w="2340" w:type="dxa"/>
          </w:tcPr>
          <w:p>
            <w:pPr>
              <w:pStyle w:val="TableCell"/>
            </w:pPr>
            <w:r>
              <w:t xml:space="preserve">Strangle an adversary's dollar/oil access</w:t>
            </w:r>
          </w:p>
        </w:tc>
        <w:tc>
          <w:tcPr>
            <w:tcW w:w="2340" w:type="dxa"/>
          </w:tcPr>
          <w:p>
            <w:pPr>
              <w:pStyle w:val="TableCell"/>
            </w:pPr>
            <w:r>
              <w:rPr>
                <w:b/>
              </w:rPr>
              <w:t xml:space="preserve">Invisible</w:t>
            </w:r>
            <w:r>
              <w:t xml:space="preserve"> in the US tape (fell on Japan)</w:t>
            </w:r>
          </w:p>
        </w:tc>
        <w:tc>
          <w:tcPr>
            <w:tcW w:w="2340" w:type="dxa"/>
          </w:tcPr>
          <w:p>
            <w:pPr>
              <w:pStyle w:val="TableCell"/>
            </w:pPr>
            <w:r>
              <w:rPr>
                <w:b/>
              </w:rPr>
              <w:t xml:space="preserve">Provoked war</w:t>
            </w:r>
            <w:r>
              <w:t xml:space="preserve"> — the corner left Japan choosing between climb-down and attack</w:t>
            </w:r>
          </w:p>
        </w:tc>
      </w:tr>
      <w:tr>
        <w:tc>
          <w:tcPr>
            <w:tcW w:w="2340" w:type="dxa"/>
          </w:tcPr>
          <w:p>
            <w:pPr>
              <w:pStyle w:val="TableCell"/>
            </w:pPr>
            <w:r>
              <w:rPr>
                <w:b/>
              </w:rPr>
              <w:t xml:space="preserve">1956</w:t>
            </w:r>
            <w:r>
              <w:t xml:space="preserve"> — US denies IMF access; sterling run</w:t>
            </w:r>
          </w:p>
        </w:tc>
        <w:tc>
          <w:tcPr>
            <w:tcW w:w="2340" w:type="dxa"/>
          </w:tcPr>
          <w:p>
            <w:pPr>
              <w:pStyle w:val="TableCell"/>
            </w:pPr>
            <w:r>
              <w:t xml:space="preserve">Withhold reserves/credit from an </w:t>
            </w:r>
            <w:r>
              <w:rPr>
                <w:i/>
              </w:rPr>
              <w:t xml:space="preserve">ally</w:t>
            </w:r>
          </w:p>
        </w:tc>
        <w:tc>
          <w:tcPr>
            <w:tcW w:w="2340" w:type="dxa"/>
          </w:tcPr>
          <w:p>
            <w:pPr>
              <w:pStyle w:val="TableCell"/>
            </w:pPr>
            <w:r>
              <w:t xml:space="preserve">Reserves, not a price series (pegged FX)</w:t>
            </w:r>
          </w:p>
        </w:tc>
        <w:tc>
          <w:tcPr>
            <w:tcW w:w="2340" w:type="dxa"/>
          </w:tcPr>
          <w:p>
            <w:pPr>
              <w:pStyle w:val="TableCell"/>
            </w:pPr>
            <w:r>
              <w:rPr>
                <w:b/>
              </w:rPr>
              <w:t xml:space="preserve">Forced a retreat</w:t>
            </w:r>
            <w:r>
              <w:t xml:space="preserve"> — Britain aborted Suez</w:t>
            </w:r>
          </w:p>
        </w:tc>
      </w:tr>
      <w:tr>
        <w:tc>
          <w:tcPr>
            <w:tcW w:w="2340" w:type="dxa"/>
          </w:tcPr>
          <w:p>
            <w:pPr>
              <w:pStyle w:val="TableCell"/>
            </w:pPr>
            <w:r>
              <w:rPr>
                <w:b/>
              </w:rPr>
              <w:t xml:space="preserve">2022</w:t>
            </w:r>
            <w:r>
              <w:t xml:space="preserve"> — G7 freezes ~$300bn of reserves; SWIFT</w:t>
            </w:r>
          </w:p>
        </w:tc>
        <w:tc>
          <w:tcPr>
            <w:tcW w:w="2340" w:type="dxa"/>
          </w:tcPr>
          <w:p>
            <w:pPr>
              <w:pStyle w:val="TableCell"/>
            </w:pPr>
            <w:r>
              <w:t xml:space="preserve">Immobilize an adversary's war chest</w:t>
            </w:r>
          </w:p>
        </w:tc>
        <w:tc>
          <w:tcPr>
            <w:tcW w:w="2340" w:type="dxa"/>
          </w:tcPr>
          <w:p>
            <w:pPr>
              <w:pStyle w:val="TableCell"/>
            </w:pPr>
            <w:r>
              <w:t xml:space="preserve">The </w:t>
            </w:r>
            <w:r>
              <w:rPr>
                <w:i/>
              </w:rPr>
              <w:t xml:space="preserve">target's</w:t>
            </w:r>
            <w:r>
              <w:t xml:space="preserve"> market took it (ruble, MOEX, default); the West priced only the </w:t>
            </w:r>
            <w:r>
              <w:rPr>
                <w:b/>
              </w:rPr>
              <w:t xml:space="preserve">energy channel</w:t>
            </w:r>
          </w:p>
        </w:tc>
        <w:tc>
          <w:tcPr>
            <w:tcW w:w="2340" w:type="dxa"/>
          </w:tcPr>
          <w:p>
            <w:pPr>
              <w:pStyle w:val="TableCell"/>
            </w:pPr>
            <w:r>
              <w:rPr>
                <w:b/>
              </w:rPr>
              <w:t xml:space="preserve">Punished, did not halt</w:t>
            </w:r>
            <w:r>
              <w:t xml:space="preserve"> — the invasion continued</w:t>
            </w:r>
          </w:p>
        </w:tc>
      </w:tr>
    </w:tbl>
    <w:p>
      <w:r>
        <w:t xml:space="preserve">Three deployments of the same instrument, three outcomes: </w:t>
      </w:r>
      <w:r>
        <w:rPr>
          <w:b/>
        </w:rPr>
        <w:t xml:space="preserve">provoked (1941), coerced a retreat (1956), punished without stopping (2022).</w:t>
      </w:r>
      <w:r>
        <w:t xml:space="preserve"> The freeze is not one thing — its effect depends on whether the target has a survivable alternative (Japan didn't; Britain did; Russia chose to absorb it). That is the disciplined version of "finance is a weapon": </w:t>
      </w:r>
      <w:r>
        <w:rPr>
          <w:i/>
        </w:rPr>
        <w:t xml:space="preserve">a weapon with contingent effects, not a lever that always pulls the same way.</w:t>
      </w:r>
      <w:r>
        <w:t xml:space="preserve"> Effect documented in all three; </w:t>
      </w:r>
      <w:r>
        <w:rPr>
          <w:b/>
        </w:rPr>
        <w:t xml:space="preserve">decisiveness varies and must be argued case by case</w:t>
      </w:r>
      <w:r>
        <w:t xml:space="preserve">, never assumed.</w:t>
      </w:r>
    </w:p>
    <w:p>
      <w:pPr>
        <w:pStyle w:val="Heading3"/>
      </w:pPr>
      <w:r>
        <w:t xml:space="preserve">Where these sit in the book</w:t>
      </w:r>
    </w:p>
    <w:p>
      <w:pPr>
        <w:pStyle w:val="ListParagraph"/>
        <w:ind w:left="360" w:hanging="360"/>
      </w:pPr>
      <w:r>
        <w:t xml:space="preserve">•  </w:t>
      </w:r>
      <w:r>
        <w:rPr>
          <w:b/>
        </w:rPr>
        <w:t xml:space="preserve">Pearl Harbor</w:t>
      </w:r>
      <w:r>
        <w:t xml:space="preserve"> = the </w:t>
      </w:r>
      <w:r>
        <w:rPr>
          <w:i/>
        </w:rPr>
        <w:t xml:space="preserve">anticipation</w:t>
      </w:r>
      <w:r>
        <w:t xml:space="preserve"> boundary: what the cried-wolf/press-triangulation method</w:t>
      </w:r>
    </w:p>
    <w:p>
      <w:r>
        <w:t xml:space="preserve">  cannot see (a true surprise), and why a modest reaction can coexist with a catastrophic event   (pre-pricing + survivability).</w:t>
      </w:r>
    </w:p>
    <w:p>
      <w:pPr>
        <w:pStyle w:val="ListParagraph"/>
        <w:ind w:left="360" w:hanging="360"/>
      </w:pPr>
      <w:r>
        <w:t xml:space="preserve">•  </w:t>
      </w:r>
      <w:r>
        <w:rPr>
          <w:b/>
        </w:rPr>
        <w:t xml:space="preserve">The freeze lineage</w:t>
      </w:r>
      <w:r>
        <w:t xml:space="preserve"> = the spine of the finance-as-weapon chapter — 1941/1956/2022 as the</w:t>
      </w:r>
    </w:p>
    <w:p>
      <w:r>
        <w:t xml:space="preserve">  coercive edge with three different endings, disciplined by the effect-vs-decisiveness rule.</w:t>
      </w:r>
    </w:p>
    <w:p>
      <w:pPr>
        <w:pStyle w:val="Heading3"/>
      </w:pPr>
      <w:r>
        <w:t xml:space="preserve">Reproduce</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"https://query1.finance.yahoo.com/v8/finance/chart/%5EGSPC?period1=-900500000&amp;period2=-872000000&amp;interval=1d"</w:t>
      </w:r>
    </w:p>
    <w:p>
      <w:pPr>
        <w:pStyle w:val="Code"/>
      </w:pPr>
      <w:r>
        <w:rPr>
          <w:rFonts w:ascii="Consolas" w:hAnsi="Consolas"/>
          <w:sz w:val="18"/>
        </w:rPr>
        <w:t xml:space="preserve">## freeze 26 Jul 1941; Pearl Harbor 7 Dec 1941 (first trading day 8 Dec).</w:t>
      </w:r>
    </w:p>
    <w:p>
      <w:r>
        <w:rPr>
          <w:i/>
        </w:rPr>
        <w:t xml:space="preserve">Caveat: ^GSPC daily index levels; verify crisis-window values and event datings against a second source before publication. The 1941-freeze → Japan-war causal link is standard historiography (the oil embargo cornered Japan) but should be cited (e.g. Sagan; Utley) rather than asserted.</w:t>
      </w:r>
    </w:p>
    <w:p>
      <w:pPr>
        <w:pStyle w:val="Heading2"/>
        <w:pageBreakBefore/>
      </w:pPr>
      <w:r>
        <w:t xml:space="preserve">The Berlin Airlift, 1948</w:t>
      </w:r>
    </w:p>
    <w:p>
      <w:r>
        <w:t xml:space="preserve">The first great Cold War confrontation, and a valuable rung on the discrimination ladder because of </w:t>
      </w:r>
      <w:r>
        <w:rPr>
          <w:i/>
        </w:rPr>
        <w:t xml:space="preserve">where</w:t>
      </w:r>
      <w:r>
        <w:t xml:space="preserve"> it sits: a prolonged US–USSR standoff (Soviet blockade of West Berlin, </w:t>
      </w:r>
      <w:r>
        <w:rPr>
          <w:b/>
        </w:rPr>
        <w:t xml:space="preserve">24 June 1948</w:t>
      </w:r>
      <w:r>
        <w:t xml:space="preserve">; airlift June 1948 – May 1949; blockade </w:t>
      </w:r>
      <w:r>
        <w:rPr>
          <w:b/>
        </w:rPr>
        <w:t xml:space="preserve">lifted 12 May 1949</w:t>
      </w:r>
      <w:r>
        <w:t xml:space="preserve">) that carried real great-power-war risk — but </w:t>
      </w:r>
      <w:r>
        <w:rPr>
          <w:b/>
        </w:rPr>
        <w:t xml:space="preserve">before nuclear parity</w:t>
      </w:r>
      <w:r>
        <w:t xml:space="preserve">. The US still held the atomic monopoly (the USSR did not test until August 1949), so a 1948 war, however terrible, was </w:t>
      </w:r>
      <w:r>
        <w:rPr>
          <w:i/>
        </w:rPr>
        <w:t xml:space="preserve">not</w:t>
      </w:r>
      <w:r>
        <w:t xml:space="preserve"> existential-for- America the way Cuba 1962 was. The market therefore </w:t>
      </w:r>
      <w:r>
        <w:rPr>
          <w:i/>
        </w:rPr>
        <w:t xml:space="preserve">could</w:t>
      </w:r>
      <w:r>
        <w:t xml:space="preserve"> price it. That removes the un-priceability confound and turns Berlin 1948 into a </w:t>
      </w:r>
      <w:r>
        <w:rPr>
          <w:b/>
        </w:rPr>
        <w:t xml:space="preserve">clean discrimination test</w:t>
      </w:r>
      <w:r>
        <w:t xml:space="preserve">: did the market price this as a probable general war, or discount it?</w:t>
      </w:r>
    </w:p>
    <w:p>
      <w:r>
        <w:t xml:space="preserve">It discounted it — and did so with unusual clarity.</w:t>
      </w:r>
    </w:p>
    <w:p>
      <w:pPr>
        <w:pStyle w:val="Heading3"/>
      </w:pPr>
      <w:r>
        <w:t xml:space="preserve">The evidence (S&amp;P 500 daily, Yahoo ^GSPC)</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Phase</w:t>
            </w:r>
          </w:p>
        </w:tc>
        <w:tc>
          <w:tcPr>
            <w:tcW w:w="3120" w:type="dxa"/>
            <w:shd w:val="clear" w:fill="EEEEF6"/>
          </w:tcPr>
          <w:p>
            <w:pPr>
              <w:pStyle w:val="TableCell"/>
            </w:pPr>
            <w:r>
              <w:rPr>
                <w:b/>
              </w:rPr>
              <w:t xml:space="preserve">Move</w:t>
            </w:r>
          </w:p>
        </w:tc>
        <w:tc>
          <w:tcPr>
            <w:tcW w:w="3120" w:type="dxa"/>
            <w:shd w:val="clear" w:fill="EEEEF6"/>
          </w:tcPr>
          <w:p>
            <w:pPr>
              <w:pStyle w:val="TableCell"/>
            </w:pPr>
            <w:r>
              <w:rPr>
                <w:b/>
              </w:rPr>
              <w:t xml:space="preserve">What it shows</w:t>
            </w:r>
          </w:p>
        </w:tc>
      </w:tr>
      <w:tr>
        <w:tc>
          <w:tcPr>
            <w:tcW w:w="3120" w:type="dxa"/>
          </w:tcPr>
          <w:p>
            <w:pPr>
              <w:pStyle w:val="TableCell"/>
            </w:pPr>
            <w:r>
              <w:rPr>
                <w:b/>
              </w:rPr>
              <w:t xml:space="preserve">War-scare buildup</w:t>
            </w:r>
            <w:r>
              <w:t xml:space="preserve"> (Czech coup 25 Feb → June)</w:t>
            </w:r>
          </w:p>
        </w:tc>
        <w:tc>
          <w:tcPr>
            <w:tcW w:w="3120" w:type="dxa"/>
          </w:tcPr>
          <w:p>
            <w:pPr>
              <w:pStyle w:val="TableCell"/>
            </w:pPr>
            <w:r>
              <w:rPr>
                <w:b/>
              </w:rPr>
              <w:t xml:space="preserve">+21%</w:t>
            </w:r>
            <w:r>
              <w:t xml:space="preserve"> (14.07 → 17.06)</w:t>
            </w:r>
          </w:p>
        </w:tc>
        <w:tc>
          <w:tcPr>
            <w:tcW w:w="3120" w:type="dxa"/>
          </w:tcPr>
          <w:p>
            <w:pPr>
              <w:pStyle w:val="TableCell"/>
            </w:pPr>
            <w:r>
              <w:t xml:space="preserve">The market </w:t>
            </w:r>
            <w:r>
              <w:rPr>
                <w:b/>
              </w:rPr>
              <w:t xml:space="preserve">rallied through</w:t>
            </w:r>
            <w:r>
              <w:t xml:space="preserve"> the Czech coup, the March-1948 "war scare," and the Marshall Plan tensions. Recovery optimism dominated; war was priced as low-probability.</w:t>
            </w:r>
          </w:p>
        </w:tc>
      </w:tr>
      <w:tr>
        <w:tc>
          <w:tcPr>
            <w:tcW w:w="3120" w:type="dxa"/>
          </w:tcPr>
          <w:p>
            <w:pPr>
              <w:pStyle w:val="TableCell"/>
            </w:pPr>
            <w:r>
              <w:rPr>
                <w:b/>
              </w:rPr>
              <w:t xml:space="preserve">Blockade onset</w:t>
            </w:r>
            <w:r>
              <w:t xml:space="preserve"> (24 June 1948)</w:t>
            </w:r>
          </w:p>
        </w:tc>
        <w:tc>
          <w:tcPr>
            <w:tcW w:w="3120" w:type="dxa"/>
          </w:tcPr>
          <w:p>
            <w:pPr>
              <w:pStyle w:val="TableCell"/>
            </w:pPr>
            <w:r>
              <w:rPr>
                <w:b/>
              </w:rPr>
              <w:t xml:space="preserve">−1.0%</w:t>
            </w:r>
          </w:p>
        </w:tc>
        <w:tc>
          <w:tcPr>
            <w:tcW w:w="3120" w:type="dxa"/>
          </w:tcPr>
          <w:p>
            <w:pPr>
              <w:pStyle w:val="TableCell"/>
            </w:pPr>
            <w:r>
              <w:t xml:space="preserve">A shrug. The blockade began with the S&amp;P within 1% of its high.</w:t>
            </w:r>
          </w:p>
        </w:tc>
      </w:tr>
      <w:tr>
        <w:tc>
          <w:tcPr>
            <w:tcW w:w="3120" w:type="dxa"/>
          </w:tcPr>
          <w:p>
            <w:pPr>
              <w:pStyle w:val="TableCell"/>
            </w:pPr>
            <w:r>
              <w:rPr>
                <w:b/>
              </w:rPr>
              <w:t xml:space="preserve">Airlift period</w:t>
            </w:r>
            <w:r>
              <w:t xml:space="preserve"> (June 1948 → May 1949)</w:t>
            </w:r>
          </w:p>
        </w:tc>
        <w:tc>
          <w:tcPr>
            <w:tcW w:w="3120" w:type="dxa"/>
          </w:tcPr>
          <w:p>
            <w:pPr>
              <w:pStyle w:val="TableCell"/>
            </w:pPr>
            <w:r>
              <w:t xml:space="preserve">−13%</w:t>
            </w:r>
          </w:p>
        </w:tc>
        <w:tc>
          <w:tcPr>
            <w:tcW w:w="3120" w:type="dxa"/>
          </w:tcPr>
          <w:p>
            <w:pPr>
              <w:pStyle w:val="TableCell"/>
            </w:pPr>
            <w:r>
              <w:t xml:space="preserve">A real decline — but it tracked the </w:t>
            </w:r>
            <w:r>
              <w:rPr>
                <w:b/>
              </w:rPr>
              <w:t xml:space="preserve">November-1948 NBER recession</w:t>
            </w:r>
            <w:r>
              <w:t xml:space="preserve"> and the </w:t>
            </w:r>
            <w:r>
              <w:rPr>
                <w:b/>
              </w:rPr>
              <w:t xml:space="preserve">surprise Truman re-election</w:t>
            </w:r>
            <w:r>
              <w:t xml:space="preserve"> (business feared his program), </w:t>
            </w:r>
            <w:r>
              <w:rPr>
                <w:b/>
              </w:rPr>
              <w:t xml:space="preserve">not</w:t>
            </w:r>
            <w:r>
              <w:t xml:space="preserve"> Berlin war fear.</w:t>
            </w:r>
          </w:p>
        </w:tc>
      </w:tr>
      <w:tr>
        <w:tc>
          <w:tcPr>
            <w:tcW w:w="3120" w:type="dxa"/>
          </w:tcPr>
          <w:p>
            <w:pPr>
              <w:pStyle w:val="TableCell"/>
            </w:pPr>
            <w:r>
              <w:rPr>
                <w:b/>
              </w:rPr>
              <w:t xml:space="preserve">Blockade lifted</w:t>
            </w:r>
            <w:r>
              <w:t xml:space="preserve"> (12 May 1949)</w:t>
            </w:r>
          </w:p>
        </w:tc>
        <w:tc>
          <w:tcPr>
            <w:tcW w:w="3120" w:type="dxa"/>
          </w:tcPr>
          <w:p>
            <w:pPr>
              <w:pStyle w:val="TableCell"/>
            </w:pPr>
            <w:r>
              <w:rPr>
                <w:b/>
              </w:rPr>
              <w:t xml:space="preserve">no relief rally</w:t>
            </w:r>
          </w:p>
        </w:tc>
        <w:tc>
          <w:tcPr>
            <w:tcW w:w="3120" w:type="dxa"/>
          </w:tcPr>
          <w:p>
            <w:pPr>
              <w:pStyle w:val="TableCell"/>
            </w:pPr>
            <w:r>
              <w:t xml:space="preserve">The market was near its lows and </w:t>
            </w:r>
            <w:r>
              <w:rPr>
                <w:b/>
              </w:rPr>
              <w:t xml:space="preserve">did not rally</w:t>
            </w:r>
            <w:r>
              <w:t xml:space="preserve"> on the lift — it fell </w:t>
            </w:r>
            <w:r>
              <w:rPr>
                <w:i/>
              </w:rPr>
              <w:t xml:space="preserve">further</w:t>
            </w:r>
            <w:r>
              <w:t xml:space="preserve"> (to 13.55 by mid-June) before the great 1949 bull market began.</w:t>
            </w:r>
          </w:p>
        </w:tc>
      </w:tr>
    </w:tbl>
    <w:p>
      <w:r>
        <w:t xml:space="preserve">Chart: </w:t>
      </w:r>
      <w:r>
        <w:rPr>
          <w:rFonts w:ascii="Consolas" w:hAnsi="Consolas"/>
          <w:sz w:val="18"/>
        </w:rPr>
        <w:t xml:space="preserve">war_premia/results/berlin_airlift_1948.svg</w:t>
      </w:r>
      <w:r>
        <w:t xml:space="preserve">.</w:t>
      </w:r>
    </w:p>
    <w:p>
      <w:pPr>
        <w:pStyle w:val="Heading3"/>
      </w:pPr>
      <w:r>
        <w:t xml:space="preserve">The elegant part — the missing relief rally</w:t>
      </w:r>
    </w:p>
    <w:p>
      <w:r>
        <w:t xml:space="preserve">This case supplies the framework's cleanest internal-consistency check. In the crises the market </w:t>
      </w:r>
      <w:r>
        <w:rPr>
          <w:b/>
        </w:rPr>
        <w:t xml:space="preserve">did</w:t>
      </w:r>
      <w:r>
        <w:t xml:space="preserve"> price — </w:t>
      </w:r>
      <w:r>
        <w:rPr>
          <w:b/>
        </w:rPr>
        <w:t xml:space="preserve">Agadir 1911</w:t>
      </w:r>
      <w:r>
        <w:t xml:space="preserve"> (</w:t>
      </w:r>
      <w:r>
        <w:rPr>
          <w:i/>
        </w:rPr>
        <w:t xml:space="preserve">"la cote retrouve toute sa fermeté"</w:t>
      </w:r>
      <w:r>
        <w:t xml:space="preserve">) and </w:t>
      </w:r>
      <w:r>
        <w:rPr>
          <w:b/>
        </w:rPr>
        <w:t xml:space="preserve">Munich 1938</w:t>
      </w:r>
      <w:r>
        <w:t xml:space="preserve"> (the </w:t>
      </w:r>
      <w:r>
        <w:rPr>
          <w:i/>
        </w:rPr>
        <w:t xml:space="preserve">"optimisme… avec éclat"</w:t>
      </w:r>
      <w:r>
        <w:t xml:space="preserve"> on the accord) — the </w:t>
      </w:r>
      <w:r>
        <w:rPr>
          <w:i/>
        </w:rPr>
        <w:t xml:space="preserve">resolution</w:t>
      </w:r>
      <w:r>
        <w:t xml:space="preserve"> produced a </w:t>
      </w:r>
      <w:r>
        <w:rPr>
          <w:b/>
        </w:rPr>
        <w:t xml:space="preserve">relief rally</w:t>
      </w:r>
      <w:r>
        <w:t xml:space="preserve">. Berlin 1948 produced </w:t>
      </w:r>
      <w:r>
        <w:rPr>
          <w:b/>
        </w:rPr>
        <w:t xml:space="preserve">none</w:t>
      </w:r>
      <w:r>
        <w:t xml:space="preserve">: the blockade's end passed unremarked because the war it might have caused was never in the price to begin with.</w:t>
      </w:r>
    </w:p>
    <w:p>
      <w:r>
        <w:t xml:space="preserve">So the </w:t>
      </w:r>
      <w:r>
        <w:rPr>
          <w:b/>
        </w:rPr>
        <w:t xml:space="preserve">presence or absence of a relief rally is itself a diagnostic</w:t>
      </w:r>
      <w:r>
        <w:t xml:space="preserve"> of whether a war scare was being priced. Munich rallied because the market had been pricing the danger; Berlin didn't because it hadn't. Same test, opposite outcome — and the contrast is the evidence.</w:t>
      </w:r>
    </w:p>
    <w:p>
      <w:pPr>
        <w:pStyle w:val="Heading3"/>
      </w:pPr>
      <w:r>
        <w:t xml:space="preserve">Reading it correctly</w:t>
      </w:r>
    </w:p>
    <w:p>
      <w:pPr>
        <w:pStyle w:val="ListParagraph"/>
        <w:ind w:left="360" w:hanging="360"/>
      </w:pPr>
      <w:r>
        <w:t xml:space="preserve">•  </w:t>
      </w:r>
      <w:r>
        <w:rPr>
          <w:b/>
        </w:rPr>
        <w:t xml:space="preserve">The −13% is not Berlin.</w:t>
      </w:r>
      <w:r>
        <w:t xml:space="preserve"> Attributing the airlift-period slide to the blockade would be the</w:t>
      </w:r>
    </w:p>
    <w:p>
      <w:r>
        <w:t xml:space="preserve">  classic cause-vs-cover error. The 1948–49 recession and the Truman upset are the drivers; the   blockade's own onset and </w:t>
      </w:r>
      <w:r>
        <w:rPr>
          <w:i/>
        </w:rPr>
        <w:t xml:space="preserve">lifting</w:t>
      </w:r>
      <w:r>
        <w:t xml:space="preserve"> both left the tape unmoved. Disclose this — it is exactly the   discipline the 1905 and 2022 cases demanded.</w:t>
      </w:r>
    </w:p>
    <w:p>
      <w:pPr>
        <w:pStyle w:val="ListParagraph"/>
        <w:ind w:left="360" w:hanging="360"/>
      </w:pPr>
      <w:r>
        <w:t xml:space="preserve">•  </w:t>
      </w:r>
      <w:r>
        <w:rPr>
          <w:b/>
        </w:rPr>
        <w:t xml:space="preserve">Why it matters that it's pre-parity.</w:t>
      </w:r>
      <w:r>
        <w:t xml:space="preserve"> Unlike Berlin '61 and Cuba '62 (where the muted tape is</w:t>
      </w:r>
    </w:p>
    <w:p>
      <w:r>
        <w:t xml:space="preserve">  the </w:t>
      </w:r>
      <w:r>
        <w:rPr>
          <w:i/>
        </w:rPr>
        <w:t xml:space="preserve">un-priceability</w:t>
      </w:r>
      <w:r>
        <w:t xml:space="preserve"> ceiling — you can't price extinction), Berlin '48 was a </w:t>
      </w:r>
      <w:r>
        <w:rPr>
          <w:i/>
        </w:rPr>
        <w:t xml:space="preserve">survivable,   collectable</w:t>
      </w:r>
      <w:r>
        <w:t xml:space="preserve"> risk the market </w:t>
      </w:r>
      <w:r>
        <w:rPr>
          <w:b/>
        </w:rPr>
        <w:t xml:space="preserve">chose</w:t>
      </w:r>
      <w:r>
        <w:t xml:space="preserve"> to discount. So its calm is a genuine </w:t>
      </w:r>
      <w:r>
        <w:rPr>
          <w:b/>
        </w:rPr>
        <w:t xml:space="preserve">discrimination</w:t>
      </w:r>
      <w:r>
        <w:t xml:space="preserve">   result (judged unlikely to go general), not the nuclear limit. The two mechanisms look similar in   the tape but are different in kind, and 1948 vs 1962 is the pair that separates them.</w:t>
      </w:r>
    </w:p>
    <w:p>
      <w:pPr>
        <w:pStyle w:val="Heading3"/>
      </w:pPr>
      <w:r>
        <w:t xml:space="preserve">Where it sits in the book</w:t>
      </w:r>
    </w:p>
    <w:p>
      <w:pPr>
        <w:pStyle w:val="ListParagraph"/>
        <w:ind w:left="360" w:hanging="360"/>
      </w:pPr>
      <w:r>
        <w:t xml:space="preserve">•  </w:t>
      </w:r>
      <w:r>
        <w:t xml:space="preserve">A </w:t>
      </w:r>
      <w:r>
        <w:rPr>
          <w:b/>
        </w:rPr>
        <w:t xml:space="preserve">discrimination data point</w:t>
      </w:r>
      <w:r>
        <w:t xml:space="preserve">: a real great-power confrontation the market judged unlikely to</w:t>
      </w:r>
    </w:p>
    <w:p>
      <w:r>
        <w:t xml:space="preserve">  go general — beside the pre-1914 scares that stayed diplomatic (Bosnia 1908–09).</w:t>
      </w:r>
    </w:p>
    <w:p>
      <w:pPr>
        <w:pStyle w:val="ListParagraph"/>
        <w:ind w:left="360" w:hanging="360"/>
      </w:pPr>
      <w:r>
        <w:t xml:space="preserve">•  </w:t>
      </w:r>
      <w:r>
        <w:t xml:space="preserve">The </w:t>
      </w:r>
      <w:r>
        <w:rPr>
          <w:b/>
        </w:rPr>
        <w:t xml:space="preserve">relief-rally diagnostic</w:t>
      </w:r>
      <w:r>
        <w:t xml:space="preserve">: paired with Munich/Agadir, it shows the relief rally is a</w:t>
      </w:r>
    </w:p>
    <w:p>
      <w:r>
        <w:t xml:space="preserve">  </w:t>
      </w:r>
      <w:r>
        <w:rPr>
          <w:i/>
        </w:rPr>
        <w:t xml:space="preserve">signature of prior pricing</w:t>
      </w:r>
      <w:r>
        <w:t xml:space="preserve">, not a reflex to any good news.</w:t>
      </w:r>
    </w:p>
    <w:p>
      <w:pPr>
        <w:pStyle w:val="ListParagraph"/>
        <w:ind w:left="360" w:hanging="360"/>
      </w:pPr>
      <w:r>
        <w:t xml:space="preserve">•  </w:t>
      </w:r>
      <w:r>
        <w:t xml:space="preserve">With </w:t>
      </w:r>
      <w:r>
        <w:rPr>
          <w:b/>
        </w:rPr>
        <w:t xml:space="preserve">Berlin '61 / Cuba '62</w:t>
      </w:r>
      <w:r>
        <w:t xml:space="preserve">, it forms the Cold-War triptych that **separates discrimination</w:t>
      </w:r>
    </w:p>
    <w:p>
      <w:r>
        <w:t xml:space="preserve">  from un-priceability** — the same calm tape, two different reasons, dated by the arrival of the   Soviet bomb.</w:t>
      </w:r>
    </w:p>
    <w:p>
      <w:pPr>
        <w:pStyle w:val="Heading3"/>
      </w:pPr>
      <w:r>
        <w:t xml:space="preserve">Reproduce</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"https://query1.finance.yahoo.com/v8/finance/chart/%5EGSPC?period1=-695000000&amp;period2=-646000000&amp;interval=1d"</w:t>
      </w:r>
    </w:p>
    <w:p>
      <w:pPr>
        <w:pStyle w:val="Code"/>
      </w:pPr>
      <w:r>
        <w:rPr>
          <w:rFonts w:ascii="Consolas" w:hAnsi="Consolas"/>
          <w:sz w:val="18"/>
        </w:rPr>
        <w:t xml:space="preserve">## parse timestamp + indicators.quote[0].close; blockade 24 Jun 1948, lifted 12 May 1949.</w:t>
      </w:r>
    </w:p>
    <w:p>
      <w:r>
        <w:rPr>
          <w:i/>
        </w:rPr>
        <w:t xml:space="preserve">Caveat: ^GSPC daily index levels; verify crisis-window values against a second source before publication. The recession/Truman attributions are standard (NBER dates the recession from Nov 1948) but should be cited explicitly in the manuscript.</w:t>
      </w:r>
    </w:p>
    <w:p>
      <w:pPr>
        <w:pStyle w:val="Heading2"/>
        <w:pageBreakBefore/>
      </w:pPr>
      <w:r>
        <w:t xml:space="preserve">Korea, 1950</w:t>
      </w:r>
    </w:p>
    <w:p>
      <w:r>
        <w:t xml:space="preserve">The single best </w:t>
      </w:r>
      <w:r>
        <w:rPr>
          <w:i/>
        </w:rPr>
        <w:t xml:space="preserve">dynamic</w:t>
      </w:r>
      <w:r>
        <w:t xml:space="preserve"> demonstration of the whole thesis. Every other case is a snapshot — the market priced a crisis, or it didn't. Korea is the one where the </w:t>
      </w:r>
      <w:r>
        <w:rPr>
          <w:b/>
        </w:rPr>
        <w:t xml:space="preserve">same war was repriced up and down</w:t>
      </w:r>
      <w:r>
        <w:t xml:space="preserve"> as the probability of it going </w:t>
      </w:r>
      <w:r>
        <w:rPr>
          <w:i/>
        </w:rPr>
        <w:t xml:space="preserve">general</w:t>
      </w:r>
      <w:r>
        <w:t xml:space="preserve"> rose and fell — twice up, twice back — so you can watch the discrimination mechanism work in real time on a single instrument.</w:t>
      </w:r>
    </w:p>
    <w:p>
      <w:r>
        <w:t xml:space="preserve">It is also the answer to an obvious challenge: </w:t>
      </w:r>
      <w:r>
        <w:rPr>
          <w:i/>
        </w:rPr>
        <w:t xml:space="preserve">"you say the market ignores wars — but the Korean War moved Wall Street hard."</w:t>
      </w:r>
      <w:r>
        <w:t xml:space="preserve"> Exactly — and </w:t>
      </w:r>
      <w:r>
        <w:rPr>
          <w:b/>
        </w:rPr>
        <w:t xml:space="preserve">why</w:t>
      </w:r>
      <w:r>
        <w:t xml:space="preserve"> it moved is the point. Korea moved markets not because it was a war (the Second Balkan War and the Falklands were wars the market ignored) but because, at two moments, it looked like the opening of a </w:t>
      </w:r>
      <w:r>
        <w:rPr>
          <w:b/>
        </w:rPr>
        <w:t xml:space="preserve">general US–Soviet war</w:t>
      </w:r>
      <w:r>
        <w:t xml:space="preserve">. When it looked limited, the premium vanished. The exception proves the rule.</w:t>
      </w:r>
    </w:p>
    <w:p>
      <w:pPr>
        <w:pStyle w:val="Heading3"/>
      </w:pPr>
      <w:r>
        <w:t xml:space="preserve">The evidence (S&amp;P 500 daily, Yahoo ^GSPC)</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Moment</w:t>
            </w:r>
          </w:p>
        </w:tc>
        <w:tc>
          <w:tcPr>
            <w:tcW w:w="3120" w:type="dxa"/>
            <w:shd w:val="clear" w:fill="EEEEF6"/>
          </w:tcPr>
          <w:p>
            <w:pPr>
              <w:pStyle w:val="TableCell"/>
            </w:pPr>
            <w:r>
              <w:rPr>
                <w:b/>
              </w:rPr>
              <w:t xml:space="preserve">Move</w:t>
            </w:r>
          </w:p>
        </w:tc>
        <w:tc>
          <w:tcPr>
            <w:tcW w:w="3120" w:type="dxa"/>
            <w:shd w:val="clear" w:fill="EEEEF6"/>
          </w:tcPr>
          <w:p>
            <w:pPr>
              <w:pStyle w:val="TableCell"/>
            </w:pPr>
            <w:r>
              <w:rPr>
                <w:b/>
              </w:rPr>
              <w:t xml:space="preserve">What the market was pricing</w:t>
            </w:r>
          </w:p>
        </w:tc>
      </w:tr>
      <w:tr>
        <w:tc>
          <w:tcPr>
            <w:tcW w:w="3120" w:type="dxa"/>
          </w:tcPr>
          <w:p>
            <w:pPr>
              <w:pStyle w:val="TableCell"/>
            </w:pPr>
            <w:r>
              <w:rPr>
                <w:b/>
              </w:rPr>
              <w:t xml:space="preserve">Invasion, 25–26 June 1950</w:t>
            </w:r>
          </w:p>
        </w:tc>
        <w:tc>
          <w:tcPr>
            <w:tcW w:w="3120" w:type="dxa"/>
          </w:tcPr>
          <w:p>
            <w:pPr>
              <w:pStyle w:val="TableCell"/>
            </w:pPr>
            <w:r>
              <w:rPr>
                <w:b/>
              </w:rPr>
              <w:t xml:space="preserve">−5.4% in one day</w:t>
            </w:r>
            <w:r>
              <w:t xml:space="preserve">; </w:t>
            </w:r>
            <w:r>
              <w:rPr>
                <w:b/>
              </w:rPr>
              <w:t xml:space="preserve">−12.9%</w:t>
            </w:r>
            <w:r>
              <w:t xml:space="preserve"> to the 17 July trough</w:t>
            </w:r>
          </w:p>
        </w:tc>
        <w:tc>
          <w:tcPr>
            <w:tcW w:w="3120" w:type="dxa"/>
          </w:tcPr>
          <w:p>
            <w:pPr>
              <w:pStyle w:val="TableCell"/>
            </w:pPr>
            <w:r>
              <w:t xml:space="preserve">Not Korea — the fear that this was </w:t>
            </w:r>
            <w:r>
              <w:rPr>
                <w:b/>
              </w:rPr>
              <w:t xml:space="preserve">the opening move of WWIII</w:t>
            </w:r>
            <w:r>
              <w:t xml:space="preserve"> (a general US–USSR war). The sharpest break since 1946.</w:t>
            </w:r>
          </w:p>
        </w:tc>
      </w:tr>
      <w:tr>
        <w:tc>
          <w:tcPr>
            <w:tcW w:w="3120" w:type="dxa"/>
          </w:tcPr>
          <w:p>
            <w:pPr>
              <w:pStyle w:val="TableCell"/>
            </w:pPr>
            <w:r>
              <w:rPr>
                <w:b/>
              </w:rPr>
              <w:t xml:space="preserve">Inchon, mid-Sept 1950</w:t>
            </w:r>
          </w:p>
        </w:tc>
        <w:tc>
          <w:tcPr>
            <w:tcW w:w="3120" w:type="dxa"/>
          </w:tcPr>
          <w:p>
            <w:pPr>
              <w:pStyle w:val="TableCell"/>
            </w:pPr>
            <w:r>
              <w:t xml:space="preserve">back </w:t>
            </w:r>
            <w:r>
              <w:rPr>
                <w:b/>
              </w:rPr>
              <w:t xml:space="preserve">above</w:t>
            </w:r>
            <w:r>
              <w:t xml:space="preserve"> the pre-invasion level</w:t>
            </w:r>
          </w:p>
        </w:tc>
        <w:tc>
          <w:tcPr>
            <w:tcW w:w="3120" w:type="dxa"/>
          </w:tcPr>
          <w:p>
            <w:pPr>
              <w:pStyle w:val="TableCell"/>
            </w:pPr>
            <w:r>
              <w:t xml:space="preserve">MacArthur's landing; the war looked </w:t>
            </w:r>
            <w:r>
              <w:rPr>
                <w:b/>
              </w:rPr>
              <w:t xml:space="preserve">contained and winnable</w:t>
            </w:r>
            <w:r>
              <w:t xml:space="preserve">. The general-war premium </w:t>
            </w:r>
            <w:r>
              <w:rPr>
                <w:b/>
              </w:rPr>
              <w:t xml:space="preserve">evaporated</w:t>
            </w:r>
            <w:r>
              <w:t xml:space="preserve">.</w:t>
            </w:r>
          </w:p>
        </w:tc>
      </w:tr>
      <w:tr>
        <w:tc>
          <w:tcPr>
            <w:tcW w:w="3120" w:type="dxa"/>
          </w:tcPr>
          <w:p>
            <w:pPr>
              <w:pStyle w:val="TableCell"/>
            </w:pPr>
            <w:r>
              <w:rPr>
                <w:b/>
              </w:rPr>
              <w:t xml:space="preserve">China intervenes, late Nov 1950</w:t>
            </w:r>
          </w:p>
        </w:tc>
        <w:tc>
          <w:tcPr>
            <w:tcW w:w="3120" w:type="dxa"/>
          </w:tcPr>
          <w:p>
            <w:pPr>
              <w:pStyle w:val="TableCell"/>
            </w:pPr>
            <w:r>
              <w:rPr>
                <w:b/>
              </w:rPr>
              <w:t xml:space="preserve">−6.5%</w:t>
            </w:r>
            <w:r>
              <w:t xml:space="preserve"> (20.32 → 19.00)</w:t>
            </w:r>
          </w:p>
        </w:tc>
        <w:tc>
          <w:tcPr>
            <w:tcW w:w="3120" w:type="dxa"/>
          </w:tcPr>
          <w:p>
            <w:pPr>
              <w:pStyle w:val="TableCell"/>
            </w:pPr>
            <w:r>
              <w:t xml:space="preserve">China's massive entry routed UN forces; Truman's </w:t>
            </w:r>
            <w:r>
              <w:rPr>
                <w:b/>
              </w:rPr>
              <w:t xml:space="preserve">30 Nov atomic-bomb remark</w:t>
            </w:r>
            <w:r>
              <w:t xml:space="preserve"> spooked markets and allies. </w:t>
            </w:r>
            <w:r>
              <w:rPr>
                <w:b/>
              </w:rPr>
              <w:t xml:space="preserve">General-war fear returned</w:t>
            </w:r>
            <w:r>
              <w:t xml:space="preserve"> — and the market broke again.</w:t>
            </w:r>
          </w:p>
        </w:tc>
      </w:tr>
      <w:tr>
        <w:tc>
          <w:tcPr>
            <w:tcW w:w="3120" w:type="dxa"/>
          </w:tcPr>
          <w:p>
            <w:pPr>
              <w:pStyle w:val="TableCell"/>
            </w:pPr>
            <w:r>
              <w:rPr>
                <w:b/>
              </w:rPr>
              <w:t xml:space="preserve">Limited war, Jan 1951 →</w:t>
            </w:r>
          </w:p>
        </w:tc>
        <w:tc>
          <w:tcPr>
            <w:tcW w:w="3120" w:type="dxa"/>
          </w:tcPr>
          <w:p>
            <w:pPr>
              <w:pStyle w:val="TableCell"/>
            </w:pPr>
            <w:r>
              <w:rPr>
                <w:b/>
              </w:rPr>
              <w:t xml:space="preserve">new highs</w:t>
            </w:r>
            <w:r>
              <w:t xml:space="preserve"> (21.3)</w:t>
            </w:r>
          </w:p>
        </w:tc>
        <w:tc>
          <w:tcPr>
            <w:tcW w:w="3120" w:type="dxa"/>
          </w:tcPr>
          <w:p>
            <w:pPr>
              <w:pStyle w:val="TableCell"/>
            </w:pPr>
            <w:r>
              <w:t xml:space="preserve">No atomic use; stalemate; MacArthur relieved (Apr 1951). As the war revealed itself as </w:t>
            </w:r>
            <w:r>
              <w:rPr>
                <w:b/>
              </w:rPr>
              <w:t xml:space="preserve">limited</w:t>
            </w:r>
            <w:r>
              <w:t xml:space="preserve">, the premium faded and the bull market resumed.</w:t>
            </w:r>
          </w:p>
        </w:tc>
      </w:tr>
    </w:tbl>
    <w:p>
      <w:r>
        <w:t xml:space="preserve">Chart: </w:t>
      </w:r>
      <w:r>
        <w:rPr>
          <w:rFonts w:ascii="Consolas" w:hAnsi="Consolas"/>
          <w:sz w:val="18"/>
        </w:rPr>
        <w:t xml:space="preserve">war_premia/results/korea_1950.svg</w:t>
      </w:r>
      <w:r>
        <w:t xml:space="preserve"> — the two drops at the two general-war-risk moments, and the two recoveries as the war re-revealed itself as limited.</w:t>
      </w:r>
    </w:p>
    <w:p>
      <w:pPr>
        <w:pStyle w:val="Heading3"/>
      </w:pPr>
      <w:r>
        <w:t xml:space="preserve">Why this is the framework's keystone case</w:t>
      </w:r>
    </w:p>
    <w:p>
      <w:pPr>
        <w:pStyle w:val="ListParagraph"/>
        <w:ind w:left="360" w:hanging="360"/>
      </w:pPr>
      <w:r>
        <w:t xml:space="preserve">•  </w:t>
      </w:r>
      <w:r>
        <w:rPr>
          <w:b/>
        </w:rPr>
        <w:t xml:space="preserve">Discrimination, demonstrated dynamically.</w:t>
      </w:r>
      <w:r>
        <w:t xml:space="preserve"> The pre-1914 finding (the market prices</w:t>
      </w:r>
    </w:p>
    <w:p>
      <w:r>
        <w:t xml:space="preserve">  </w:t>
      </w:r>
      <w:r>
        <w:rPr>
          <w:i/>
        </w:rPr>
        <w:t xml:space="preserve">general</w:t>
      </w:r>
      <w:r>
        <w:t xml:space="preserve">-war probability, not war-as-such) is here shown </w:t>
      </w:r>
      <w:r>
        <w:rPr>
          <w:i/>
        </w:rPr>
        <w:t xml:space="preserve">moving</w:t>
      </w:r>
      <w:r>
        <w:t xml:space="preserve">: the premium tracks the   general-war probability up (June, November) and down (Inchon, 1951) on the </w:t>
      </w:r>
      <w:r>
        <w:rPr>
          <w:i/>
        </w:rPr>
        <w:t xml:space="preserve">same</w:t>
      </w:r>
      <w:r>
        <w:t xml:space="preserve"> conflict. No   cross-sectional comparison needed — the identification is within one war.</w:t>
      </w:r>
    </w:p>
    <w:p>
      <w:pPr>
        <w:pStyle w:val="ListParagraph"/>
        <w:ind w:left="360" w:hanging="360"/>
      </w:pPr>
      <w:r>
        <w:t xml:space="preserve">•  </w:t>
      </w:r>
      <w:r>
        <w:rPr>
          <w:b/>
        </w:rPr>
        <w:t xml:space="preserve">It reconciles the "wars the market ignored" with the "war that moved Wall Street."</w:t>
      </w:r>
      <w:r>
        <w:t xml:space="preserve"> Second</w:t>
      </w:r>
    </w:p>
    <w:p>
      <w:r>
        <w:t xml:space="preserve">  Balkan 1913, Falklands 1982 → ignored (localized). Korea 1950 → priced (looked general). The   divider is not size or bloodshed but </w:t>
      </w:r>
      <w:r>
        <w:rPr>
          <w:b/>
        </w:rPr>
        <w:t xml:space="preserve">the probability of going systemic</w:t>
      </w:r>
      <w:r>
        <w:t xml:space="preserve"> — and Korea sits on   both sides of that line at different dates.</w:t>
      </w:r>
    </w:p>
    <w:p>
      <w:pPr>
        <w:pStyle w:val="ListParagraph"/>
        <w:ind w:left="360" w:hanging="360"/>
      </w:pPr>
      <w:r>
        <w:t xml:space="preserve">•  </w:t>
      </w:r>
      <w:r>
        <w:rPr>
          <w:b/>
        </w:rPr>
        <w:t xml:space="preserve">The atomic dimension, but not un-priceable.</w:t>
      </w:r>
      <w:r>
        <w:t xml:space="preserve"> Unlike Cuba '62, Korea's general-war fear was of</w:t>
      </w:r>
    </w:p>
    <w:p>
      <w:r>
        <w:t xml:space="preserve">  a </w:t>
      </w:r>
      <w:r>
        <w:rPr>
          <w:i/>
        </w:rPr>
        <w:t xml:space="preserve">survivable</w:t>
      </w:r>
      <w:r>
        <w:t xml:space="preserve"> great-power war (the US had a large nuclear lead; the USSR had tested only in Aug   1949). So the market </w:t>
      </w:r>
      <w:r>
        <w:rPr>
          <w:i/>
        </w:rPr>
        <w:t xml:space="preserve">could</w:t>
      </w:r>
      <w:r>
        <w:t xml:space="preserve"> and </w:t>
      </w:r>
      <w:r>
        <w:rPr>
          <w:i/>
        </w:rPr>
        <w:t xml:space="preserve">did</w:t>
      </w:r>
      <w:r>
        <w:t xml:space="preserve"> price it — a −13% and a −6.5% break — rather than hitting   the un-priceability ceiling. Korea is the </w:t>
      </w:r>
      <w:r>
        <w:rPr>
          <w:b/>
        </w:rPr>
        <w:t xml:space="preserve">priceable</w:t>
      </w:r>
      <w:r>
        <w:t xml:space="preserve"> end of the general-war rung; Cuba is the   un-priceable top.</w:t>
      </w:r>
    </w:p>
    <w:p>
      <w:pPr>
        <w:pStyle w:val="Heading3"/>
      </w:pPr>
      <w:r>
        <w:t xml:space="preserve">Reading it correctly</w:t>
      </w:r>
    </w:p>
    <w:p>
      <w:pPr>
        <w:pStyle w:val="ListParagraph"/>
        <w:ind w:left="360" w:hanging="360"/>
      </w:pPr>
      <w:r>
        <w:t xml:space="preserve">•  </w:t>
      </w:r>
      <w:r>
        <w:rPr>
          <w:b/>
        </w:rPr>
        <w:t xml:space="preserve">The 1950 backdrop.</w:t>
      </w:r>
      <w:r>
        <w:t xml:space="preserve"> The market had been rising strongly into June 1950 (postwar bull); the</w:t>
      </w:r>
    </w:p>
    <w:p>
      <w:r>
        <w:t xml:space="preserve">  invasion interrupted a rally. The recoveries are partly that underlying strength reasserting —   but the </w:t>
      </w:r>
      <w:r>
        <w:rPr>
          <w:i/>
        </w:rPr>
        <w:t xml:space="preserve">timing</w:t>
      </w:r>
      <w:r>
        <w:t xml:space="preserve"> of both breaks (day-of-invasion; week-of-China-entry) and both recoveries   (Inchon; post-MacArthur) pins them to the general-war news, not to a coincident cycle. The   cause-vs-cover check passes on the dates.</w:t>
      </w:r>
    </w:p>
    <w:p>
      <w:pPr>
        <w:pStyle w:val="ListParagraph"/>
        <w:ind w:left="360" w:hanging="360"/>
      </w:pPr>
      <w:r>
        <w:t xml:space="preserve">•  </w:t>
      </w:r>
      <w:r>
        <w:rPr>
          <w:b/>
        </w:rPr>
        <w:t xml:space="preserve">Effect, not a claim about policy.</w:t>
      </w:r>
      <w:r>
        <w:t xml:space="preserve"> This is a </w:t>
      </w:r>
      <w:r>
        <w:rPr>
          <w:i/>
        </w:rPr>
        <w:t xml:space="preserve">pricing</w:t>
      </w:r>
      <w:r>
        <w:t xml:space="preserve"> result (what the market discounted),</w:t>
      </w:r>
    </w:p>
    <w:p>
      <w:r>
        <w:t xml:space="preserve">  not a Kirshner-style influence claim. No one argues Wall Street steered Truman; the tape simply   reveals how the war's </w:t>
      </w:r>
      <w:r>
        <w:rPr>
          <w:i/>
        </w:rPr>
        <w:t xml:space="preserve">systemic</w:t>
      </w:r>
      <w:r>
        <w:t xml:space="preserve"> probability was assessed, day by day.</w:t>
      </w:r>
    </w:p>
    <w:p>
      <w:pPr>
        <w:pStyle w:val="Heading3"/>
      </w:pPr>
      <w:r>
        <w:t xml:space="preserve">Where it sits in the book</w:t>
      </w:r>
    </w:p>
    <w:p>
      <w:r>
        <w:t xml:space="preserve">Korea belongs near the </w:t>
      </w:r>
      <w:r>
        <w:rPr>
          <w:b/>
        </w:rPr>
        <w:t xml:space="preserve">center</w:t>
      </w:r>
      <w:r>
        <w:t xml:space="preserve"> of the argument, not in an appendix of data points: it is the cleanest single-instrument proof that the market discriminates by </w:t>
      </w:r>
      <w:r>
        <w:rPr>
          <w:b/>
        </w:rPr>
        <w:t xml:space="preserve">general-war probability</w:t>
      </w:r>
      <w:r>
        <w:t xml:space="preserve">, because it shows the discrimination </w:t>
      </w:r>
      <w:r>
        <w:rPr>
          <w:i/>
        </w:rPr>
        <w:t xml:space="preserve">happening</w:t>
      </w:r>
      <w:r>
        <w:t xml:space="preserve"> — the premium switched on, off, on, and off again in step with the WWIII risk, on one continuous price series.</w:t>
      </w:r>
    </w:p>
    <w:p>
      <w:pPr>
        <w:pStyle w:val="Heading3"/>
      </w:pPr>
      <w:r>
        <w:t xml:space="preserve">Reproduce</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"https://query1.finance.yahoo.com/v8/finance/chart/%5EGSPC?period1=-631500000&amp;period2=-583000000&amp;interval=1d"</w:t>
      </w:r>
    </w:p>
    <w:p>
      <w:pPr>
        <w:pStyle w:val="Code"/>
      </w:pPr>
      <w:r>
        <w:rPr>
          <w:rFonts w:ascii="Consolas" w:hAnsi="Consolas"/>
          <w:sz w:val="18"/>
        </w:rPr>
        <w:t xml:space="preserve">## parse timestamp + indicators.quote[0].close; invasion 25 Jun 1950, China intervenes ~26 Nov 1950.</w:t>
      </w:r>
    </w:p>
    <w:p>
      <w:r>
        <w:rPr>
          <w:i/>
        </w:rPr>
        <w:t xml:space="preserve">Caveat: ^GSPC daily index levels; verify the crisis-window values against a second source before publication. The event datings (Inchon 15 Sep 1950; Chinese intervention 26–28 Nov 1950; MacArthur relieved 11 Apr 1951) are standard but should be cited.</w:t>
      </w:r>
    </w:p>
    <w:p>
      <w:pPr>
        <w:pStyle w:val="Heading2"/>
        <w:pageBreakBefore/>
      </w:pPr>
      <w:r>
        <w:t xml:space="preserve">Suez, 1956</w:t>
      </w:r>
    </w:p>
    <w:p>
      <w:r>
        <w:t xml:space="preserve">The deliberate contrast pair to </w:t>
      </w:r>
      <w:r>
        <w:rPr>
          <w:b/>
        </w:rPr>
        <w:t xml:space="preserve">1905</w:t>
      </w:r>
      <w:r>
        <w:t xml:space="preserve">. There, the honest verdict was </w:t>
      </w:r>
      <w:r>
        <w:rPr>
          <w:i/>
        </w:rPr>
        <w:t xml:space="preserve">finance did </w:t>
      </w:r>
      <w:r>
        <w:rPr>
          <w:i/>
        </w:rPr>
        <w:t xml:space="preserve">not</w:t>
      </w:r>
      <w:r>
        <w:rPr>
          <w:i/>
        </w:rPr>
        <w:t xml:space="preserve"> constrain France</w:t>
      </w:r>
      <w:r>
        <w:t xml:space="preserve"> — Russia's </w:t>
      </w:r>
      <w:r>
        <w:rPr>
          <w:b/>
        </w:rPr>
        <w:t xml:space="preserve">military</w:t>
      </w:r>
      <w:r>
        <w:t xml:space="preserve"> collapse did, and finance was the symptom, not the cause. Suez is the clean opposite pole: the case where </w:t>
      </w:r>
      <w:r>
        <w:rPr>
          <w:b/>
        </w:rPr>
        <w:t xml:space="preserve">finance unambiguously *did* constrain</w:t>
      </w:r>
      <w:r>
        <w:t xml:space="preserve">, and by the participants' own testimony was the </w:t>
      </w:r>
      <w:r>
        <w:rPr>
          <w:i/>
        </w:rPr>
        <w:t xml:space="preserve">decisive</w:t>
      </w:r>
      <w:r>
        <w:t xml:space="preserve"> lever. It anchors the constrained end of the exposure → lever → constraint spectrum, and it keeps the whole taxonomy honest by showing what a </w:t>
      </w:r>
      <w:r>
        <w:rPr>
          <w:i/>
        </w:rPr>
        <w:t xml:space="preserve">real</w:t>
      </w:r>
      <w:r>
        <w:t xml:space="preserve"> constraint looks like, so the label is not applied loosely elsewhere.</w:t>
      </w:r>
    </w:p>
    <w:p>
      <w:pPr>
        <w:pStyle w:val="Heading3"/>
      </w:pPr>
      <w:r>
        <w:t xml:space="preserve">What happened</w:t>
      </w:r>
    </w:p>
    <w:p>
      <w:r>
        <w:t xml:space="preserve">Britain, France, and Israel moved militarily against Nasser's Egypt (Sinai invasion 29 Oct 1956; Anglo-French landings at Port Said 5 Nov). Militarily the operation was succeeding. It was stopped by </w:t>
      </w:r>
      <w:r>
        <w:rPr>
          <w:b/>
        </w:rPr>
        <w:t xml:space="preserve">money</w:t>
      </w:r>
      <w:r>
        <w:t xml:space="preserv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Date</w:t>
            </w:r>
          </w:p>
        </w:tc>
        <w:tc>
          <w:tcPr>
            <w:tcW w:w="3120" w:type="dxa"/>
            <w:shd w:val="clear" w:fill="EEEEF6"/>
          </w:tcPr>
          <w:p>
            <w:pPr>
              <w:pStyle w:val="TableCell"/>
            </w:pPr>
            <w:r>
              <w:rPr>
                <w:b/>
              </w:rPr>
              <w:t xml:space="preserve">Event</w:t>
            </w:r>
          </w:p>
        </w:tc>
        <w:tc>
          <w:tcPr>
            <w:tcW w:w="3120" w:type="dxa"/>
            <w:shd w:val="clear" w:fill="EEEEF6"/>
          </w:tcPr>
          <w:p>
            <w:pPr>
              <w:pStyle w:val="TableCell"/>
            </w:pPr>
            <w:r>
              <w:rPr>
                <w:b/>
              </w:rPr>
              <w:t xml:space="preserve">The financial fact</w:t>
            </w:r>
          </w:p>
        </w:tc>
      </w:tr>
      <w:tr>
        <w:tc>
          <w:tcPr>
            <w:tcW w:w="3120" w:type="dxa"/>
          </w:tcPr>
          <w:p>
            <w:pPr>
              <w:pStyle w:val="TableCell"/>
            </w:pPr>
            <w:r>
              <w:rPr>
                <w:b/>
              </w:rPr>
              <w:t xml:space="preserve">5 Nov 1956</w:t>
            </w:r>
          </w:p>
        </w:tc>
        <w:tc>
          <w:tcPr>
            <w:tcW w:w="3120" w:type="dxa"/>
          </w:tcPr>
          <w:p>
            <w:pPr>
              <w:pStyle w:val="TableCell"/>
            </w:pPr>
            <w:r>
              <w:t xml:space="preserve">Port Said landings</w:t>
            </w:r>
          </w:p>
        </w:tc>
        <w:tc>
          <w:tcPr>
            <w:tcW w:w="3120" w:type="dxa"/>
          </w:tcPr>
          <w:p>
            <w:pPr>
              <w:pStyle w:val="TableCell"/>
            </w:pPr>
            <w:r>
              <w:t xml:space="preserve">A </w:t>
            </w:r>
            <w:r>
              <w:rPr>
                <w:b/>
              </w:rPr>
              <w:t xml:space="preserve">run on sterling</w:t>
            </w:r>
            <w:r>
              <w:t xml:space="preserve">; UK gold/dollar reserves fell </w:t>
            </w:r>
            <w:r>
              <w:rPr>
                <w:b/>
              </w:rPr>
              <w:t xml:space="preserve">~$279m in November</w:t>
            </w:r>
            <w:r>
              <w:t xml:space="preserve"> — ~15% in a month — toward the ~$2bn danger line </w:t>
            </w:r>
            <w:r>
              <w:rPr>
                <w:i/>
              </w:rPr>
              <w:t xml:space="preserve">[VERIFY]</w:t>
            </w:r>
          </w:p>
        </w:tc>
      </w:tr>
      <w:tr>
        <w:tc>
          <w:tcPr>
            <w:tcW w:w="3120" w:type="dxa"/>
          </w:tcPr>
          <w:p>
            <w:pPr>
              <w:pStyle w:val="TableCell"/>
            </w:pPr>
            <w:r>
              <w:rPr>
                <w:b/>
              </w:rPr>
              <w:t xml:space="preserve">6 Nov 1956</w:t>
            </w:r>
          </w:p>
        </w:tc>
        <w:tc>
          <w:tcPr>
            <w:tcW w:w="3120" w:type="dxa"/>
          </w:tcPr>
          <w:p>
            <w:pPr>
              <w:pStyle w:val="TableCell"/>
            </w:pPr>
            <w:r>
              <w:rPr>
                <w:b/>
              </w:rPr>
              <w:t xml:space="preserve">Ceasefire</w:t>
            </w:r>
          </w:p>
        </w:tc>
        <w:tc>
          <w:tcPr>
            <w:tcW w:w="3120" w:type="dxa"/>
          </w:tcPr>
          <w:p>
            <w:pPr>
              <w:pStyle w:val="TableCell"/>
            </w:pPr>
            <w:r>
              <w:t xml:space="preserve">The US (Treasury Secretary </w:t>
            </w:r>
            <w:r>
              <w:rPr>
                <w:b/>
              </w:rPr>
              <w:t xml:space="preserve">George Humphrey</w:t>
            </w:r>
            <w:r>
              <w:t xml:space="preserve">) </w:t>
            </w:r>
            <w:r>
              <w:rPr>
                <w:b/>
              </w:rPr>
              <w:t xml:space="preserve">blocked British access to IMF drawing and US support</w:t>
            </w:r>
            <w:r>
              <w:t xml:space="preserve"> until Britain committed to a ceasefire and withdrawal</w:t>
            </w:r>
          </w:p>
        </w:tc>
      </w:tr>
      <w:tr>
        <w:tc>
          <w:tcPr>
            <w:tcW w:w="3120" w:type="dxa"/>
          </w:tcPr>
          <w:p>
            <w:pPr>
              <w:pStyle w:val="TableCell"/>
            </w:pPr>
            <w:r>
              <w:rPr>
                <w:b/>
              </w:rPr>
              <w:t xml:space="preserve">3 Dec 1956</w:t>
            </w:r>
          </w:p>
        </w:tc>
        <w:tc>
          <w:tcPr>
            <w:tcW w:w="3120" w:type="dxa"/>
          </w:tcPr>
          <w:p>
            <w:pPr>
              <w:pStyle w:val="TableCell"/>
            </w:pPr>
            <w:r>
              <w:t xml:space="preserve">Withdrawal announced</w:t>
            </w:r>
          </w:p>
        </w:tc>
        <w:tc>
          <w:tcPr>
            <w:tcW w:w="3120" w:type="dxa"/>
          </w:tcPr>
          <w:p>
            <w:pPr>
              <w:pStyle w:val="TableCell"/>
            </w:pPr>
            <w:r>
              <w:t xml:space="preserve">Once compliance was committed, the block was lifted</w:t>
            </w:r>
          </w:p>
        </w:tc>
      </w:tr>
      <w:tr>
        <w:tc>
          <w:tcPr>
            <w:tcW w:w="3120" w:type="dxa"/>
          </w:tcPr>
          <w:p>
            <w:pPr>
              <w:pStyle w:val="TableCell"/>
            </w:pPr>
            <w:r>
              <w:rPr>
                <w:b/>
              </w:rPr>
              <w:t xml:space="preserve">10 Dec 1956</w:t>
            </w:r>
          </w:p>
        </w:tc>
        <w:tc>
          <w:tcPr>
            <w:tcW w:w="3120" w:type="dxa"/>
          </w:tcPr>
          <w:p>
            <w:pPr>
              <w:pStyle w:val="TableCell"/>
            </w:pPr>
            <w:r>
              <w:rPr>
                <w:b/>
              </w:rPr>
              <w:t xml:space="preserve">IMF package released</w:t>
            </w:r>
          </w:p>
        </w:tc>
        <w:tc>
          <w:tcPr>
            <w:tcW w:w="3120" w:type="dxa"/>
          </w:tcPr>
          <w:p>
            <w:pPr>
              <w:pStyle w:val="TableCell"/>
            </w:pPr>
            <w:r>
              <w:t xml:space="preserve">Britain drew </w:t>
            </w:r>
            <w:r>
              <w:rPr>
                <w:b/>
              </w:rPr>
              <w:t xml:space="preserve">~$561m</w:t>
            </w:r>
            <w:r>
              <w:t xml:space="preserve"> from the IMF and arranged a </w:t>
            </w:r>
            <w:r>
              <w:rPr>
                <w:b/>
              </w:rPr>
              <w:t xml:space="preserve">~$739m standby</w:t>
            </w:r>
            <w:r>
              <w:t xml:space="preserve"> (~$1.3bn total); the Ex-Im line and </w:t>
            </w:r>
            <w:r>
              <w:rPr>
                <w:b/>
              </w:rPr>
              <w:t xml:space="preserve">US oil</w:t>
            </w:r>
            <w:r>
              <w:t xml:space="preserve"> were restored </w:t>
            </w:r>
            <w:r>
              <w:rPr>
                <w:i/>
              </w:rPr>
              <w:t xml:space="preserve">[VERIFY vs Boughton/IMF, Kunz]</w:t>
            </w:r>
          </w:p>
        </w:tc>
      </w:tr>
    </w:tbl>
    <w:p>
      <w:r>
        <w:t xml:space="preserve">Chart: </w:t>
      </w:r>
      <w:r>
        <w:rPr>
          <w:rFonts w:ascii="Consolas" w:hAnsi="Consolas"/>
          <w:sz w:val="18"/>
        </w:rPr>
        <w:t xml:space="preserve">war_premia/results/suez_1956_constraint.svg</w:t>
      </w:r>
      <w:r>
        <w:t xml:space="preserve"> — the coercion sequence as a labeled timeline (a </w:t>
      </w:r>
      <w:r>
        <w:rPr>
          <w:i/>
        </w:rPr>
        <w:t xml:space="preserve">schematic</w:t>
      </w:r>
      <w:r>
        <w:t xml:space="preserve">, not a price series: under Bretton Woods sterling was pegged at ~$2.80, so the pressure registered in </w:t>
      </w:r>
      <w:r>
        <w:rPr>
          <w:b/>
        </w:rPr>
        <w:t xml:space="preserve">reserves and IMF access</w:t>
      </w:r>
      <w:r>
        <w:t xml:space="preserve">, not a floating rate).</w:t>
      </w:r>
    </w:p>
    <w:p>
      <w:pPr>
        <w:pStyle w:val="Heading3"/>
      </w:pPr>
      <w:r>
        <w:t xml:space="preserve">Why it is the constraint case</w:t>
      </w:r>
    </w:p>
    <w:p>
      <w:r>
        <w:t xml:space="preserve">Three features make Suez the textbook binding constraint — each absent in 1905:</w:t>
      </w:r>
    </w:p>
    <w:p>
      <w:pPr>
        <w:pStyle w:val="ListParagraph"/>
        <w:ind w:left="360" w:hanging="360"/>
      </w:pPr>
      <w:r>
        <w:t xml:space="preserve">1.  </w:t>
      </w:r>
      <w:r>
        <w:rPr>
          <w:b/>
        </w:rPr>
        <w:t xml:space="preserve">The lever was deliberate and identifiable.</w:t>
      </w:r>
      <w:r>
        <w:t xml:space="preserve"> Not defensive capital flight (the 1911</w:t>
      </w:r>
    </w:p>
    <w:p>
      <w:r>
        <w:t xml:space="preserve">   ambiguity) but a </w:t>
      </w:r>
      <w:r>
        <w:rPr>
          <w:i/>
        </w:rPr>
        <w:t xml:space="preserve">policy</w:t>
      </w:r>
      <w:r>
        <w:t xml:space="preserve">: the US Treasury chose to withhold IMF drawing rights, standby    support, and emergency oil, and to relent only on withdrawal. Cause and agent are named.</w:t>
      </w:r>
    </w:p>
    <w:p>
      <w:pPr>
        <w:pStyle w:val="ListParagraph"/>
        <w:ind w:left="360" w:hanging="360"/>
      </w:pPr>
      <w:r>
        <w:t xml:space="preserve">2.  </w:t>
      </w:r>
      <w:r>
        <w:rPr>
          <w:b/>
        </w:rPr>
        <w:t xml:space="preserve">The counterfactual is tight.</w:t>
      </w:r>
      <w:r>
        <w:t xml:space="preserve"> Britain had the </w:t>
      </w:r>
      <w:r>
        <w:rPr>
          <w:i/>
        </w:rPr>
        <w:t xml:space="preserve">military</w:t>
      </w:r>
      <w:r>
        <w:t xml:space="preserve"> means to continue; what it lacked</w:t>
      </w:r>
    </w:p>
    <w:p>
      <w:r>
        <w:t xml:space="preserve">   was the </w:t>
      </w:r>
      <w:r>
        <w:rPr>
          <w:i/>
        </w:rPr>
        <w:t xml:space="preserve">reserves</w:t>
      </w:r>
      <w:r>
        <w:t xml:space="preserve"> to defend sterling through a prolonged operation without US help. Remove the    financial squeeze and the operation plausibly continues — the hallmark of a binding constraint,    not a mere symptom.</w:t>
      </w:r>
    </w:p>
    <w:p>
      <w:pPr>
        <w:pStyle w:val="ListParagraph"/>
        <w:ind w:left="360" w:hanging="360"/>
      </w:pPr>
      <w:r>
        <w:t xml:space="preserve">3.  </w:t>
      </w:r>
      <w:r>
        <w:rPr>
          <w:b/>
        </w:rPr>
        <w:t xml:space="preserve">The participants said so.</w:t>
      </w:r>
      <w:r>
        <w:t xml:space="preserve"> </w:t>
      </w:r>
      <w:r>
        <w:rPr>
          <w:b/>
        </w:rPr>
        <w:t xml:space="preserve">Macmillan</w:t>
      </w:r>
      <w:r>
        <w:t xml:space="preserve"> — Chancellor, "first in, first out" — swung from</w:t>
      </w:r>
    </w:p>
    <w:p>
      <w:r>
        <w:t xml:space="preserve">   hawk to dove as the reserves drained; the Cabinet's own accounts attribute the climbdown    substantially to the sterling crisis and the US refusal to help. The </w:t>
      </w:r>
      <w:r>
        <w:rPr>
          <w:i/>
        </w:rPr>
        <w:t xml:space="preserve">stated</w:t>
      </w:r>
      <w:r>
        <w:t xml:space="preserve"> cause and the    </w:t>
      </w:r>
      <w:r>
        <w:rPr>
          <w:i/>
        </w:rPr>
        <w:t xml:space="preserve">revealed</w:t>
      </w:r>
      <w:r>
        <w:t xml:space="preserve"> mechanism agree — the press-triangulation test passed at the level of the decision    itself.</w:t>
      </w:r>
    </w:p>
    <w:p>
      <w:pPr>
        <w:pStyle w:val="Heading3"/>
      </w:pPr>
      <w:r>
        <w:t xml:space="preserve">The honesty rule still applies</w:t>
      </w:r>
    </w:p>
    <w:p>
      <w:r>
        <w:t xml:space="preserve">Even here, the withdrawal was </w:t>
      </w:r>
      <w:r>
        <w:rPr>
          <w:b/>
        </w:rPr>
        <w:t xml:space="preserve">over-determined</w:t>
      </w:r>
      <w:r>
        <w:t xml:space="preserve"> — UN condemnation, Commonwealth and domestic opposition, and Soviet threats all pushed the same way. The claim is not that finance was the </w:t>
      </w:r>
      <w:r>
        <w:rPr>
          <w:i/>
        </w:rPr>
        <w:t xml:space="preserve">sole</w:t>
      </w:r>
      <w:r>
        <w:t xml:space="preserve"> cause but that it was the </w:t>
      </w:r>
      <w:r>
        <w:rPr>
          <w:b/>
        </w:rPr>
        <w:t xml:space="preserve">decisive lever by the actors' own accounts</w:t>
      </w:r>
      <w:r>
        <w:t xml:space="preserve">, and that the financial mechanism is unusually well-documented. Write </w:t>
      </w:r>
      <w:r>
        <w:rPr>
          <w:i/>
        </w:rPr>
        <w:t xml:space="preserve">"the sterling crisis and US financial coercion were the decisive lever that forced the withdrawal,"</w:t>
      </w:r>
      <w:r>
        <w:t xml:space="preserve"> not </w:t>
      </w:r>
      <w:r>
        <w:rPr>
          <w:i/>
        </w:rPr>
        <w:t xml:space="preserve">"finance alone ended Suez."</w:t>
      </w:r>
      <w:r>
        <w:t xml:space="preserve"> That is exactly the discipline 1905 taught — applied here to a case that </w:t>
      </w:r>
      <w:r>
        <w:rPr>
          <w:i/>
        </w:rPr>
        <w:t xml:space="preserve">passes</w:t>
      </w:r>
      <w:r>
        <w:t xml:space="preserve"> the test rather than fails it.</w:t>
      </w:r>
    </w:p>
    <w:p>
      <w:pPr>
        <w:pStyle w:val="Heading3"/>
      </w:pPr>
      <w:r>
        <w:t xml:space="preserve">Where it sits in the book</w:t>
      </w:r>
    </w:p>
    <w:p>
      <w:pPr>
        <w:pStyle w:val="ListParagraph"/>
        <w:ind w:left="360" w:hanging="360"/>
      </w:pPr>
      <w:r>
        <w:t xml:space="preserve">•  </w:t>
      </w:r>
      <w:r>
        <w:t xml:space="preserve">The </w:t>
      </w:r>
      <w:r>
        <w:rPr>
          <w:b/>
        </w:rPr>
        <w:t xml:space="preserve">matched pair with 1905</w:t>
      </w:r>
      <w:r>
        <w:t xml:space="preserve">: *finance did not constrain (1905) / finance did constrain</w:t>
      </w:r>
    </w:p>
    <w:p>
      <w:r>
        <w:t xml:space="preserve">  (1956)* — the two poles that define the spectrum and prove the framework can tell them apart.</w:t>
      </w:r>
    </w:p>
    <w:p>
      <w:pPr>
        <w:pStyle w:val="ListParagraph"/>
        <w:ind w:left="360" w:hanging="360"/>
      </w:pPr>
      <w:r>
        <w:t xml:space="preserve">•  </w:t>
      </w:r>
      <w:r>
        <w:t xml:space="preserve">The </w:t>
      </w:r>
      <w:r>
        <w:rPr>
          <w:b/>
        </w:rPr>
        <w:t xml:space="preserve">coercive edge, state-wielded (face #3)</w:t>
      </w:r>
      <w:r>
        <w:t xml:space="preserve">, in its cleanest mid-century form — the direct</w:t>
      </w:r>
    </w:p>
    <w:p>
      <w:r>
        <w:t xml:space="preserve">  ancestor of the </w:t>
      </w:r>
      <w:r>
        <w:rPr>
          <w:b/>
        </w:rPr>
        <w:t xml:space="preserve">1941 asset freeze</w:t>
      </w:r>
      <w:r>
        <w:t xml:space="preserve"> and the </w:t>
      </w:r>
      <w:r>
        <w:rPr>
          <w:b/>
        </w:rPr>
        <w:t xml:space="preserve">2022 reserve freeze</w:t>
      </w:r>
      <w:r>
        <w:t xml:space="preserve">. Suez is the case where   the squeeze demonstrably </w:t>
      </w:r>
      <w:r>
        <w:rPr>
          <w:i/>
        </w:rPr>
        <w:t xml:space="preserve">worked</w:t>
      </w:r>
      <w:r>
        <w:t xml:space="preserve"> and </w:t>
      </w:r>
      <w:r>
        <w:rPr>
          <w:i/>
        </w:rPr>
        <w:t xml:space="preserve">changed the outcome</w:t>
      </w:r>
      <w:r>
        <w:t xml:space="preserve"> — the benchmark the other coercion   cases are measured against.</w:t>
      </w:r>
    </w:p>
    <w:p>
      <w:pPr>
        <w:pStyle w:val="Heading3"/>
      </w:pPr>
      <w:r>
        <w:t xml:space="preserve">Reproduce / sources</w:t>
      </w:r>
    </w:p>
    <w:p>
      <w:r>
        <w:t xml:space="preserve">No high-frequency price series exists (pegged FX; pre-1971). Build from the documentary record: Diane B. Kunz, </w:t>
      </w:r>
      <w:r>
        <w:rPr>
          <w:i/>
        </w:rPr>
        <w:t xml:space="preserve">The Economic Diplomacy of the Suez Crisis</w:t>
      </w:r>
      <w:r>
        <w:t xml:space="preserve"> (1991); James M. Boughton's IMF history on the December 1956 drawing; Macmillan's and the Cabinet's own accounts; UK monthly reserve figures from the Bank of England / </w:t>
      </w:r>
      <w:r>
        <w:rPr>
          <w:i/>
        </w:rPr>
        <w:t xml:space="preserve">Financial Statistics</w:t>
      </w:r>
      <w:r>
        <w:t xml:space="preserve">. Verify every figure in the table above against these before publication.</w:t>
      </w:r>
    </w:p>
    <w:p>
      <w:pPr>
        <w:pStyle w:val="Heading2"/>
        <w:pageBreakBefore/>
      </w:pPr>
      <w:r>
        <w:t xml:space="preserve">Cuba &amp; Berlin — the Nuclear Limits, 1961–62</w:t>
      </w:r>
    </w:p>
    <w:p>
      <w:r>
        <w:t xml:space="preserve">The discrimination test's outer boundary, and one of the book's strongest closing arguments. Run the framework on the two moments the world came closest to nuclear war — the </w:t>
      </w:r>
      <w:r>
        <w:rPr>
          <w:b/>
        </w:rPr>
        <w:t xml:space="preserve">Checkpoint Charlie tank standoff (27–28 October 1961)</w:t>
      </w:r>
      <w:r>
        <w:t xml:space="preserve"> and the </w:t>
      </w:r>
      <w:r>
        <w:rPr>
          <w:b/>
        </w:rPr>
        <w:t xml:space="preserve">Cuban Missile Crisis (16–28 October 1962)</w:t>
      </w:r>
      <w:r>
        <w:t xml:space="preserve"> — and the result is not a null to apologize for. It is a </w:t>
      </w:r>
      <w:r>
        <w:rPr>
          <w:i/>
        </w:rPr>
        <w:t xml:space="preserve">finding</w:t>
      </w:r>
      <w:r>
        <w:t xml:space="preserve">:</w:t>
      </w:r>
    </w:p>
    <w:p>
      <w:pPr>
        <w:pStyle w:val="Quote"/>
      </w:pPr>
      <w:r>
        <w:rPr>
          <w:b/>
        </w:rPr>
        <w:t xml:space="preserve">You cannot price a catastrophe you will not survive to collect on.</w:t>
      </w:r>
    </w:p>
    <w:p>
      <w:r>
        <w:t xml:space="preserve">If the tail event is the end of the world (and of the exchange, the currency, and the counterparty), there is no state of the world in which selling pays off. A stock is a claim on a future that, in the catastrophic branch, does not exist. So the market can only price the </w:t>
      </w:r>
      <w:r>
        <w:rPr>
          <w:b/>
        </w:rPr>
        <w:t xml:space="preserve">survivable</w:t>
      </w:r>
      <w:r>
        <w:t xml:space="preserve"> branch — the crisis resolving — and rationally holds or even buys into the danger. The muted tape is the discrimination test hitting its ceiling: </w:t>
      </w:r>
      <w:r>
        <w:rPr>
          <w:b/>
        </w:rPr>
        <w:t xml:space="preserve">markets price survivable, collectable risks, not existential ones.</w:t>
      </w:r>
    </w:p>
    <w:p>
      <w:pPr>
        <w:pStyle w:val="Heading3"/>
      </w:pPr>
      <w:r>
        <w:t xml:space="preserve">The evidence (S&amp;P 500 daily, Yahoo Finance ^GSPC)</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shd w:val="clear" w:fill="EEEEF6"/>
          </w:tcPr>
          <w:p>
            <w:pPr>
              <w:pStyle w:val="TableCell"/>
            </w:pPr>
            <w:r>
              <w:rPr>
                <w:b/>
              </w:rPr>
              <w:t xml:space="preserve">Crisis</w:t>
            </w:r>
          </w:p>
        </w:tc>
        <w:tc>
          <w:tcPr>
            <w:tcW w:w="1872" w:type="dxa"/>
            <w:shd w:val="clear" w:fill="EEEEF6"/>
          </w:tcPr>
          <w:p>
            <w:pPr>
              <w:pStyle w:val="TableCell"/>
            </w:pPr>
            <w:r>
              <w:rPr>
                <w:b/>
              </w:rPr>
              <w:t xml:space="preserve">Standoff</w:t>
            </w:r>
          </w:p>
        </w:tc>
        <w:tc>
          <w:tcPr>
            <w:tcW w:w="1872" w:type="dxa"/>
            <w:shd w:val="clear" w:fill="EEEEF6"/>
          </w:tcPr>
          <w:p>
            <w:pPr>
              <w:pStyle w:val="TableCell"/>
            </w:pPr>
            <w:r>
              <w:rPr>
                <w:b/>
              </w:rPr>
              <w:t xml:space="preserve">Worst close</w:t>
            </w:r>
          </w:p>
        </w:tc>
        <w:tc>
          <w:tcPr>
            <w:tcW w:w="1872" w:type="dxa"/>
            <w:shd w:val="clear" w:fill="EEEEF6"/>
          </w:tcPr>
          <w:p>
            <w:pPr>
              <w:pStyle w:val="TableCell"/>
            </w:pPr>
            <w:r>
              <w:rPr>
                <w:b/>
              </w:rPr>
              <w:t xml:space="preserve">Drawdown</w:t>
            </w:r>
          </w:p>
        </w:tc>
        <w:tc>
          <w:tcPr>
            <w:tcW w:w="1872" w:type="dxa"/>
            <w:shd w:val="clear" w:fill="EEEEF6"/>
          </w:tcPr>
          <w:p>
            <w:pPr>
              <w:pStyle w:val="TableCell"/>
            </w:pPr>
            <w:r>
              <w:rPr>
                <w:b/>
              </w:rPr>
              <w:t xml:space="preserve">+25 trading days</w:t>
            </w:r>
          </w:p>
        </w:tc>
      </w:tr>
      <w:tr>
        <w:tc>
          <w:tcPr>
            <w:tcW w:w="1872" w:type="dxa"/>
          </w:tcPr>
          <w:p>
            <w:pPr>
              <w:pStyle w:val="TableCell"/>
            </w:pPr>
            <w:r>
              <w:rPr>
                <w:b/>
              </w:rPr>
              <w:t xml:space="preserve">Berlin / Checkpoint Charlie</w:t>
            </w:r>
          </w:p>
        </w:tc>
        <w:tc>
          <w:tcPr>
            <w:tcW w:w="1872" w:type="dxa"/>
          </w:tcPr>
          <w:p>
            <w:pPr>
              <w:pStyle w:val="TableCell"/>
            </w:pPr>
            <w:r>
              <w:t xml:space="preserve">27 Oct 1961 (68.34)</w:t>
            </w:r>
          </w:p>
        </w:tc>
        <w:tc>
          <w:tcPr>
            <w:tcW w:w="1872" w:type="dxa"/>
          </w:tcPr>
          <w:p>
            <w:pPr>
              <w:pStyle w:val="TableCell"/>
            </w:pPr>
            <w:r>
              <w:t xml:space="preserve">67.98 (24 Oct)</w:t>
            </w:r>
          </w:p>
        </w:tc>
        <w:tc>
          <w:tcPr>
            <w:tcW w:w="1872" w:type="dxa"/>
          </w:tcPr>
          <w:p>
            <w:pPr>
              <w:pStyle w:val="TableCell"/>
            </w:pPr>
            <w:r>
              <w:rPr>
                <w:b/>
              </w:rPr>
              <w:t xml:space="preserve">−0.5%</w:t>
            </w:r>
            <w:r>
              <w:t xml:space="preserve">, and the dip </w:t>
            </w:r>
            <w:r>
              <w:rPr>
                <w:i/>
              </w:rPr>
              <w:t xml:space="preserve">preceded</w:t>
            </w:r>
            <w:r>
              <w:t xml:space="preserve"> the standoff</w:t>
            </w:r>
          </w:p>
        </w:tc>
        <w:tc>
          <w:tcPr>
            <w:tcW w:w="1872" w:type="dxa"/>
          </w:tcPr>
          <w:p>
            <w:pPr>
              <w:pStyle w:val="TableCell"/>
            </w:pPr>
            <w:r>
              <w:rPr>
                <w:b/>
              </w:rPr>
              <w:t xml:space="preserve">+5%</w:t>
            </w:r>
            <w:r>
              <w:t xml:space="preserve"> (71.93)</w:t>
            </w:r>
          </w:p>
        </w:tc>
      </w:tr>
      <w:tr>
        <w:tc>
          <w:tcPr>
            <w:tcW w:w="1872" w:type="dxa"/>
          </w:tcPr>
          <w:p>
            <w:pPr>
              <w:pStyle w:val="TableCell"/>
            </w:pPr>
            <w:r>
              <w:rPr>
                <w:b/>
              </w:rPr>
              <w:t xml:space="preserve">Cuban Missile Crisis</w:t>
            </w:r>
          </w:p>
        </w:tc>
        <w:tc>
          <w:tcPr>
            <w:tcW w:w="1872" w:type="dxa"/>
          </w:tcPr>
          <w:p>
            <w:pPr>
              <w:pStyle w:val="TableCell"/>
            </w:pPr>
            <w:r>
              <w:t xml:space="preserve">22 Oct 1962 (Kennedy's quarantine speech, 54.96)</w:t>
            </w:r>
          </w:p>
        </w:tc>
        <w:tc>
          <w:tcPr>
            <w:tcW w:w="1872" w:type="dxa"/>
          </w:tcPr>
          <w:p>
            <w:pPr>
              <w:pStyle w:val="TableCell"/>
            </w:pPr>
            <w:r>
              <w:t xml:space="preserve">53.49 (23 Oct)</w:t>
            </w:r>
          </w:p>
        </w:tc>
        <w:tc>
          <w:tcPr>
            <w:tcW w:w="1872" w:type="dxa"/>
          </w:tcPr>
          <w:p>
            <w:pPr>
              <w:pStyle w:val="TableCell"/>
            </w:pPr>
            <w:r>
              <w:rPr>
                <w:b/>
              </w:rPr>
              <w:t xml:space="preserve">−3.8%</w:t>
            </w:r>
            <w:r>
              <w:t xml:space="preserve"> from the 19 Oct pre-speech level</w:t>
            </w:r>
          </w:p>
        </w:tc>
        <w:tc>
          <w:tcPr>
            <w:tcW w:w="1872" w:type="dxa"/>
          </w:tcPr>
          <w:p>
            <w:pPr>
              <w:pStyle w:val="TableCell"/>
            </w:pPr>
            <w:r>
              <w:rPr>
                <w:b/>
              </w:rPr>
              <w:t xml:space="preserve">+13%</w:t>
            </w:r>
            <w:r>
              <w:t xml:space="preserve"> (62.12); ~+18% into December</w:t>
            </w:r>
          </w:p>
        </w:tc>
      </w:tr>
    </w:tbl>
    <w:p>
      <w:r>
        <w:t xml:space="preserve">Two facts do the work:</w:t>
      </w:r>
    </w:p>
    <w:p>
      <w:pPr>
        <w:pStyle w:val="ListParagraph"/>
        <w:ind w:left="360" w:hanging="360"/>
      </w:pPr>
      <w:r>
        <w:t xml:space="preserve">1.  </w:t>
      </w:r>
      <w:r>
        <w:rPr>
          <w:b/>
        </w:rPr>
        <w:t xml:space="preserve">Berlin 1961 is invisible in the tape.</w:t>
      </w:r>
      <w:r>
        <w:t xml:space="preserve"> US and Soviet tanks faced off at Checkpoint Charlie;</w:t>
      </w:r>
    </w:p>
    <w:p>
      <w:r>
        <w:t xml:space="preserve">   the S&amp;P moved −0.2% on the day and </w:t>
      </w:r>
      <w:r>
        <w:rPr>
          <w:b/>
        </w:rPr>
        <w:t xml:space="preserve">rose steadily throughout</w:t>
      </w:r>
      <w:r>
        <w:t xml:space="preserve">, up ~5% within five weeks. The    market simply did not react.</w:t>
      </w:r>
    </w:p>
    <w:p>
      <w:pPr>
        <w:pStyle w:val="ListParagraph"/>
        <w:ind w:left="360" w:hanging="360"/>
      </w:pPr>
      <w:r>
        <w:t xml:space="preserve">2.  </w:t>
      </w:r>
      <w:r>
        <w:rPr>
          <w:b/>
        </w:rPr>
        <w:t xml:space="preserve">Cuba 1962's low came *before* the most dangerous days.</w:t>
      </w:r>
      <w:r>
        <w:t xml:space="preserve"> The trough (53.49) was **23</w:t>
      </w:r>
    </w:p>
    <w:p>
      <w:r>
        <w:t xml:space="preserve">   October</w:t>
      </w:r>
      <w:r>
        <w:rPr>
          <w:b/>
        </w:rPr>
        <w:t xml:space="preserve"> — the day after Kennedy's speech. The most dangerous days were </w:t>
      </w:r>
      <w:r>
        <w:t xml:space="preserve">24–28 October</w:t>
      </w:r>
      <w:r>
        <w:rPr>
          <w:b/>
        </w:rPr>
        <w:t xml:space="preserve"> (the    blockade enforced, an American U-2 shot down over Cuba on the 27th) — and the market </w:t>
      </w:r>
      <w:r>
        <w:t xml:space="preserve">rose on    24 October*</w:t>
      </w:r>
      <w:r>
        <w:rPr>
          <w:i/>
        </w:rPr>
        <w:t xml:space="preserve"> and kept rising, rallying ~18% into December. The tape got </w:t>
      </w:r>
      <w:r>
        <w:t xml:space="preserve">calmer</w:t>
      </w:r>
      <w:r>
        <w:rPr>
          <w:i/>
        </w:rPr>
        <w:t xml:space="preserve"> as the danger    </w:t>
      </w:r>
      <w:r>
        <w:t xml:space="preserve">peaked*.</w:t>
      </w:r>
    </w:p>
    <w:p>
      <w:r>
        <w:t xml:space="preserve">Chart: </w:t>
      </w:r>
      <w:r>
        <w:rPr>
          <w:rFonts w:ascii="Consolas" w:hAnsi="Consolas"/>
          <w:sz w:val="18"/>
        </w:rPr>
        <w:t xml:space="preserve">war_premia/results/modern_nuclear_limits.svg</w:t>
      </w:r>
      <w:r>
        <w:t xml:space="preserve"> — both crises in event time, indexed to the standoff day. Two nearly flat lines through the danger, then a drift up.</w:t>
      </w:r>
    </w:p>
    <w:p>
      <w:pPr>
        <w:pStyle w:val="Heading3"/>
      </w:pPr>
      <w:r>
        <w:t xml:space="preserve">Reading it correctly (the honesty the finding requires)</w:t>
      </w:r>
    </w:p>
    <w:p>
      <w:pPr>
        <w:pStyle w:val="ListParagraph"/>
        <w:ind w:left="360" w:hanging="360"/>
      </w:pPr>
      <w:r>
        <w:t xml:space="preserve">•  </w:t>
      </w:r>
      <w:r>
        <w:rPr>
          <w:b/>
        </w:rPr>
        <w:t xml:space="preserve">Context matters and is disclosed.</w:t>
      </w:r>
      <w:r>
        <w:t xml:space="preserve"> 1962 was already a bad year — the spring "Kennedy Slide"</w:t>
      </w:r>
    </w:p>
    <w:p>
      <w:r>
        <w:t xml:space="preserve">  had bottomed in June — so October's move sits inside a recovery. That </w:t>
      </w:r>
      <w:r>
        <w:rPr>
          <w:i/>
        </w:rPr>
        <w:t xml:space="preserve">strengthens</w:t>
      </w:r>
      <w:r>
        <w:t xml:space="preserve"> the point:   even against a jittery tape, the closest brush with annihilation produced only a ~4% wobble that   reversed before the crisis ended.</w:t>
      </w:r>
    </w:p>
    <w:p>
      <w:pPr>
        <w:pStyle w:val="ListParagraph"/>
        <w:ind w:left="360" w:hanging="360"/>
      </w:pPr>
      <w:r>
        <w:t xml:space="preserve">•  </w:t>
      </w:r>
      <w:r>
        <w:rPr>
          <w:b/>
        </w:rPr>
        <w:t xml:space="preserve">This is not "markets are efficient/wise."</w:t>
      </w:r>
      <w:r>
        <w:t xml:space="preserve"> It is a structural limit: the pay-off matrix of an</w:t>
      </w:r>
    </w:p>
    <w:p>
      <w:r>
        <w:t xml:space="preserve">  extinction-scale risk has no branch in which bearishness is rewarded, so the signal is   </w:t>
      </w:r>
      <w:r>
        <w:rPr>
          <w:i/>
        </w:rPr>
        <w:t xml:space="preserve">unavailable</w:t>
      </w:r>
      <w:r>
        <w:t xml:space="preserve">, not </w:t>
      </w:r>
      <w:r>
        <w:rPr>
          <w:i/>
        </w:rPr>
        <w:t xml:space="preserve">absent</w:t>
      </w:r>
      <w:r>
        <w:t xml:space="preserve">. The framework's whole logic (price = probability-weighted,   collectable loss) simply runs out of domain.</w:t>
      </w:r>
    </w:p>
    <w:p>
      <w:pPr>
        <w:pStyle w:val="ListParagraph"/>
        <w:ind w:left="360" w:hanging="360"/>
      </w:pPr>
      <w:r>
        <w:t xml:space="preserve">•  </w:t>
      </w:r>
      <w:r>
        <w:rPr>
          <w:b/>
        </w:rPr>
        <w:t xml:space="preserve">It closes the discrimination ladder.</w:t>
      </w:r>
      <w:r>
        <w:t xml:space="preserve"> Localized wars → ignored (Second Balkan 1913, Falklands</w:t>
      </w:r>
    </w:p>
    <w:p>
      <w:r>
        <w:t xml:space="preserve">  1982). General/systemic war → priced, modestly (Agadir, 1912, and — through the energy channel —   2022). Existential/nuclear → </w:t>
      </w:r>
      <w:r>
        <w:rPr>
          <w:b/>
        </w:rPr>
        <w:t xml:space="preserve">un-priceable</w:t>
      </w:r>
      <w:r>
        <w:t xml:space="preserve"> (Berlin '61, Cuba '62). The same rule generates all   three rungs: the market prices the risks it could survive to collect on, and only those.</w:t>
      </w:r>
    </w:p>
    <w:p>
      <w:pPr>
        <w:pStyle w:val="Heading3"/>
      </w:pPr>
      <w:r>
        <w:t xml:space="preserve">Against Kirshner</w:t>
      </w:r>
    </w:p>
    <w:p>
      <w:r>
        <w:t xml:space="preserve">This is squarely on his turf (US Cold War) but it is not a </w:t>
      </w:r>
      <w:r>
        <w:rPr>
          <w:i/>
        </w:rPr>
        <w:t xml:space="preserve">preference</w:t>
      </w:r>
      <w:r>
        <w:t xml:space="preserve"> claim — no one argues bankers lobbied Kennedy. It is a </w:t>
      </w:r>
      <w:r>
        <w:rPr>
          <w:b/>
        </w:rPr>
        <w:t xml:space="preserve">pricing-limits</w:t>
      </w:r>
      <w:r>
        <w:t xml:space="preserve"> claim, a face his frame doesn't reach: the market's silence in October 1962 is not war-aversion expressed or suppressed; it is the risk calculus meeting a payoff it cannot represent.</w:t>
      </w:r>
    </w:p>
    <w:p>
      <w:pPr>
        <w:pStyle w:val="Heading3"/>
      </w:pPr>
      <w:r>
        <w:t xml:space="preserve">Reproduce</w:t>
      </w:r>
    </w:p>
    <w:p>
      <w:pPr>
        <w:pStyle w:val="Code"/>
      </w:pPr>
      <w:r>
        <w:rPr>
          <w:rFonts w:ascii="Consolas" w:hAnsi="Consolas"/>
          <w:sz w:val="18"/>
        </w:rPr>
        <w:t xml:space="preserve">## S&amp;P 500 daily via Yahoo v8 chart API (reaches back to 1928; negative epochs OK):</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"https://query1.finance.yahoo.com/v8/finance/chart/%5EGSPC?period1=-230000000&amp;period2=-223000000&amp;interval=1d"  # Cuba 1962</w:t>
      </w:r>
    </w:p>
    <w:p>
      <w:pPr>
        <w:pStyle w:val="Code"/>
      </w:pPr>
      <w:r>
        <w:rPr>
          <w:rFonts w:ascii="Consolas" w:hAnsi="Consolas"/>
          <w:sz w:val="18"/>
        </w:rPr>
        <w:t xml:space="preserve">curl -sS -A "Mozilla/5.0" \</w:t>
      </w:r>
    </w:p>
    <w:p>
      <w:pPr>
        <w:pStyle w:val="Code"/>
      </w:pPr>
      <w:r>
        <w:rPr>
          <w:rFonts w:ascii="Consolas" w:hAnsi="Consolas"/>
          <w:sz w:val="18"/>
        </w:rPr>
        <w:t xml:space="preserve">  "https://query1.finance.yahoo.com/v8/finance/chart/%5EGSPC?period1=-261500000&amp;period2=-254500000&amp;interval=1d"  # Berlin 1961</w:t>
      </w:r>
    </w:p>
    <w:p>
      <w:pPr>
        <w:pStyle w:val="Code"/>
      </w:pPr>
      <w:r>
        <w:rPr>
          <w:rFonts w:ascii="Consolas" w:hAnsi="Consolas"/>
          <w:sz w:val="18"/>
        </w:rPr>
        <w:t xml:space="preserve">## parse timestamp + indicators.quote[0].close from the JSON.</w:t>
      </w:r>
    </w:p>
    <w:p>
      <w:r>
        <w:rPr>
          <w:i/>
        </w:rPr>
        <w:t xml:space="preserve">Caveat: closes are the ^GSPC daily series (index level, adjusted); verify the crisis-window values against a second source (e.g. official S&amp;P records) before publication.</w:t>
      </w:r>
    </w:p>
    <w:p>
      <w:pPr>
        <w:pStyle w:val="Heading2"/>
        <w:pageBreakBefore/>
      </w:pPr>
      <w:r>
        <w:t xml:space="preserve">The Gulf Wars, 1991 &amp; 2003</w:t>
      </w:r>
    </w:p>
    <w:p>
      <w:r>
        <w:t xml:space="preserve">The cases where </w:t>
      </w:r>
      <w:r>
        <w:rPr>
          <w:b/>
        </w:rPr>
        <w:t xml:space="preserve">oil is the instrument</w:t>
      </w:r>
      <w:r>
        <w:t xml:space="preserve"> — the clearest modern answer to the framework's second test (</w:t>
      </w:r>
      <w:r>
        <w:rPr>
          <w:i/>
        </w:rPr>
        <w:t xml:space="preserve">which instrument carries the risk?</w:t>
      </w:r>
      <w:r>
        <w:t xml:space="preserve">). And the academic anchor of the whole modern arc: </w:t>
      </w:r>
      <w:r>
        <w:rPr>
          <w:b/>
        </w:rPr>
        <w:t xml:space="preserve">Sack &amp; Rigobon (2005), "The Effects of War Risk on U.S. Financial Markets"</w:t>
      </w:r>
      <w:r>
        <w:t xml:space="preserve"> built their war-risk factor from exactly this episode, by the same heteroskedasticity-based identification this project uses for the pre-1914 rates.</w:t>
      </w:r>
    </w:p>
    <w:p>
      <w:pPr>
        <w:pStyle w:val="Heading3"/>
      </w:pPr>
      <w:r>
        <w:t xml:space="preserve">Gulf War I, 1990–91 — priced through oil, then the inversion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shd w:val="clear" w:fill="EEEEF6"/>
          </w:tcPr>
          <w:p>
            <w:pPr>
              <w:pStyle w:val="TableCell"/>
            </w:pPr>
            <w:r>
              <w:rPr>
                <w:b/>
              </w:rPr>
              <w:t xml:space="preserve">Date</w:t>
            </w:r>
          </w:p>
        </w:tc>
        <w:tc>
          <w:tcPr>
            <w:tcW w:w="1872" w:type="dxa"/>
            <w:shd w:val="clear" w:fill="EEEEF6"/>
          </w:tcPr>
          <w:p>
            <w:pPr>
              <w:pStyle w:val="TableCell"/>
            </w:pPr>
            <w:r>
              <w:rPr>
                <w:b/>
              </w:rPr>
              <w:t xml:space="preserve">Event</w:t>
            </w:r>
          </w:p>
        </w:tc>
        <w:tc>
          <w:tcPr>
            <w:tcW w:w="1872" w:type="dxa"/>
            <w:shd w:val="clear" w:fill="EEEEF6"/>
          </w:tcPr>
          <w:p>
            <w:pPr>
              <w:pStyle w:val="TableCell"/>
            </w:pPr>
            <w:r>
              <w:rPr>
                <w:b/>
              </w:rPr>
              <w:t xml:space="preserve">S&amp;P 500</w:t>
            </w:r>
          </w:p>
        </w:tc>
        <w:tc>
          <w:tcPr>
            <w:tcW w:w="1872" w:type="dxa"/>
            <w:shd w:val="clear" w:fill="EEEEF6"/>
          </w:tcPr>
          <w:p>
            <w:pPr>
              <w:pStyle w:val="TableCell"/>
            </w:pPr>
            <w:r>
              <w:rPr>
                <w:b/>
              </w:rPr>
              <w:t xml:space="preserve">WTI</w:t>
            </w:r>
          </w:p>
        </w:tc>
        <w:tc>
          <w:tcPr>
            <w:tcW w:w="1872" w:type="dxa"/>
            <w:shd w:val="clear" w:fill="EEEEF6"/>
          </w:tcPr>
          <w:p>
            <w:pPr>
              <w:pStyle w:val="TableCell"/>
            </w:pPr>
            <w:r>
              <w:rPr>
                <w:b/>
              </w:rPr>
              <w:t xml:space="preserve">What the market priced</w:t>
            </w:r>
          </w:p>
        </w:tc>
      </w:tr>
      <w:tr>
        <w:tc>
          <w:tcPr>
            <w:tcW w:w="1872" w:type="dxa"/>
          </w:tcPr>
          <w:p>
            <w:pPr>
              <w:pStyle w:val="TableCell"/>
            </w:pPr>
            <w:r>
              <w:t xml:space="preserve">1 Aug 1990</w:t>
            </w:r>
          </w:p>
        </w:tc>
        <w:tc>
          <w:tcPr>
            <w:tcW w:w="1872" w:type="dxa"/>
          </w:tcPr>
          <w:p>
            <w:pPr>
              <w:pStyle w:val="TableCell"/>
            </w:pPr>
            <w:r>
              <w:t xml:space="preserve">pre-invasion</w:t>
            </w:r>
          </w:p>
        </w:tc>
        <w:tc>
          <w:tcPr>
            <w:tcW w:w="1872" w:type="dxa"/>
          </w:tcPr>
          <w:p>
            <w:pPr>
              <w:pStyle w:val="TableCell"/>
            </w:pPr>
            <w:r>
              <w:t xml:space="preserve">355.52</w:t>
            </w:r>
          </w:p>
        </w:tc>
        <w:tc>
          <w:tcPr>
            <w:tcW w:w="1872" w:type="dxa"/>
          </w:tcPr>
          <w:p>
            <w:pPr>
              <w:pStyle w:val="TableCell"/>
            </w:pPr>
            <w:r>
              <w:t xml:space="preserve">$21.59</w:t>
            </w:r>
          </w:p>
        </w:tc>
        <w:tc>
          <w:tcPr>
            <w:tcW w:w="1872" w:type="dxa"/>
          </w:tcPr>
          <w:p>
            <w:pPr>
              <w:pStyle w:val="TableCell"/>
            </w:pPr>
            <w:r>
              <w:t xml:space="preserve">baseline</w:t>
            </w:r>
          </w:p>
        </w:tc>
      </w:tr>
      <w:tr>
        <w:tc>
          <w:tcPr>
            <w:tcW w:w="1872" w:type="dxa"/>
          </w:tcPr>
          <w:p>
            <w:pPr>
              <w:pStyle w:val="TableCell"/>
            </w:pPr>
            <w:r>
              <w:t xml:space="preserve">2 Aug 1990</w:t>
            </w:r>
          </w:p>
        </w:tc>
        <w:tc>
          <w:tcPr>
            <w:tcW w:w="1872" w:type="dxa"/>
          </w:tcPr>
          <w:p>
            <w:pPr>
              <w:pStyle w:val="TableCell"/>
            </w:pPr>
            <w:r>
              <w:rPr>
                <w:b/>
              </w:rPr>
              <w:t xml:space="preserve">Iraq invades Kuwait</w:t>
            </w:r>
          </w:p>
        </w:tc>
        <w:tc>
          <w:tcPr>
            <w:tcW w:w="1872" w:type="dxa"/>
          </w:tcPr>
          <w:p>
            <w:pPr>
              <w:pStyle w:val="TableCell"/>
            </w:pPr>
            <w:r>
              <w:t xml:space="preserve">351.48</w:t>
            </w:r>
          </w:p>
        </w:tc>
        <w:tc>
          <w:tcPr>
            <w:tcW w:w="1872" w:type="dxa"/>
          </w:tcPr>
          <w:p>
            <w:pPr>
              <w:pStyle w:val="TableCell"/>
            </w:pPr>
            <w:r>
              <w:t xml:space="preserve">$23.71</w:t>
            </w:r>
          </w:p>
        </w:tc>
        <w:tc>
          <w:tcPr>
            <w:tcW w:w="1872" w:type="dxa"/>
          </w:tcPr>
          <w:p>
            <w:pPr>
              <w:pStyle w:val="TableCell"/>
            </w:pPr>
            <w:r>
              <w:t xml:space="preserve">the risk goes straight into </w:t>
            </w:r>
            <w:r>
              <w:rPr>
                <w:b/>
              </w:rPr>
              <w:t xml:space="preserve">oil</w:t>
            </w:r>
          </w:p>
        </w:tc>
      </w:tr>
      <w:tr>
        <w:tc>
          <w:tcPr>
            <w:tcW w:w="1872" w:type="dxa"/>
          </w:tcPr>
          <w:p>
            <w:pPr>
              <w:pStyle w:val="TableCell"/>
            </w:pPr>
            <w:r>
              <w:t xml:space="preserve">11 Oct 1990</w:t>
            </w:r>
          </w:p>
        </w:tc>
        <w:tc>
          <w:tcPr>
            <w:tcW w:w="1872" w:type="dxa"/>
          </w:tcPr>
          <w:p>
            <w:pPr>
              <w:pStyle w:val="TableCell"/>
            </w:pPr>
            <w:r>
              <w:t xml:space="preserve">oil peak / equity low</w:t>
            </w:r>
          </w:p>
        </w:tc>
        <w:tc>
          <w:tcPr>
            <w:tcW w:w="1872" w:type="dxa"/>
          </w:tcPr>
          <w:p>
            <w:pPr>
              <w:pStyle w:val="TableCell"/>
            </w:pPr>
            <w:r>
              <w:t xml:space="preserve">295.46</w:t>
            </w:r>
          </w:p>
        </w:tc>
        <w:tc>
          <w:tcPr>
            <w:tcW w:w="1872" w:type="dxa"/>
          </w:tcPr>
          <w:p>
            <w:pPr>
              <w:pStyle w:val="TableCell"/>
            </w:pPr>
            <w:r>
              <w:rPr>
                <w:b/>
              </w:rPr>
              <w:t xml:space="preserve">$41.07</w:t>
            </w:r>
          </w:p>
        </w:tc>
        <w:tc>
          <w:tcPr>
            <w:tcW w:w="1872" w:type="dxa"/>
          </w:tcPr>
          <w:p>
            <w:pPr>
              <w:pStyle w:val="TableCell"/>
            </w:pPr>
            <w:r>
              <w:t xml:space="preserve">WTI </w:t>
            </w:r>
            <w:r>
              <w:rPr>
                <w:b/>
              </w:rPr>
              <w:t xml:space="preserve">~doubled (+90%)</w:t>
            </w:r>
            <w:r>
              <w:t xml:space="preserve">, S&amp;P </w:t>
            </w:r>
            <w:r>
              <w:rPr>
                <w:b/>
              </w:rPr>
              <w:t xml:space="preserve">−17%</w:t>
            </w:r>
            <w:r>
              <w:t xml:space="preserve"> — a supply-catastrophe premium + recession fear</w:t>
            </w:r>
          </w:p>
        </w:tc>
      </w:tr>
      <w:tr>
        <w:tc>
          <w:tcPr>
            <w:tcW w:w="1872" w:type="dxa"/>
          </w:tcPr>
          <w:p>
            <w:pPr>
              <w:pStyle w:val="TableCell"/>
            </w:pPr>
            <w:r>
              <w:t xml:space="preserve">15 Jan 1991</w:t>
            </w:r>
          </w:p>
        </w:tc>
        <w:tc>
          <w:tcPr>
            <w:tcW w:w="1872" w:type="dxa"/>
          </w:tcPr>
          <w:p>
            <w:pPr>
              <w:pStyle w:val="TableCell"/>
            </w:pPr>
            <w:r>
              <w:t xml:space="preserve">eve of Desert Storm</w:t>
            </w:r>
          </w:p>
        </w:tc>
        <w:tc>
          <w:tcPr>
            <w:tcW w:w="1872" w:type="dxa"/>
          </w:tcPr>
          <w:p>
            <w:pPr>
              <w:pStyle w:val="TableCell"/>
            </w:pPr>
            <w:r>
              <w:t xml:space="preserve">313.73</w:t>
            </w:r>
          </w:p>
        </w:tc>
        <w:tc>
          <w:tcPr>
            <w:tcW w:w="1872" w:type="dxa"/>
          </w:tcPr>
          <w:p>
            <w:pPr>
              <w:pStyle w:val="TableCell"/>
            </w:pPr>
            <w:r>
              <w:t xml:space="preserve">$30.35</w:t>
            </w:r>
          </w:p>
        </w:tc>
        <w:tc>
          <w:tcPr>
            <w:tcW w:w="1872" w:type="dxa"/>
          </w:tcPr>
          <w:p>
            <w:pPr>
              <w:pStyle w:val="TableCell"/>
            </w:pPr>
            <w:r>
              <w:t xml:space="preserve">still elevated on war-risk</w:t>
            </w:r>
          </w:p>
        </w:tc>
      </w:tr>
      <w:tr>
        <w:tc>
          <w:tcPr>
            <w:tcW w:w="1872" w:type="dxa"/>
          </w:tcPr>
          <w:p>
            <w:pPr>
              <w:pStyle w:val="TableCell"/>
            </w:pPr>
            <w:r>
              <w:rPr>
                <w:b/>
              </w:rPr>
              <w:t xml:space="preserve">17 Jan 1991</w:t>
            </w:r>
          </w:p>
        </w:tc>
        <w:tc>
          <w:tcPr>
            <w:tcW w:w="1872" w:type="dxa"/>
          </w:tcPr>
          <w:p>
            <w:pPr>
              <w:pStyle w:val="TableCell"/>
            </w:pPr>
            <w:r>
              <w:rPr>
                <w:b/>
              </w:rPr>
              <w:t xml:space="preserve">Desert Storm begins</w:t>
            </w:r>
          </w:p>
        </w:tc>
        <w:tc>
          <w:tcPr>
            <w:tcW w:w="1872" w:type="dxa"/>
          </w:tcPr>
          <w:p>
            <w:pPr>
              <w:pStyle w:val="TableCell"/>
            </w:pPr>
            <w:r>
              <w:rPr>
                <w:b/>
              </w:rPr>
              <w:t xml:space="preserve">327.97</w:t>
            </w:r>
          </w:p>
        </w:tc>
        <w:tc>
          <w:tcPr>
            <w:tcW w:w="1872" w:type="dxa"/>
          </w:tcPr>
          <w:p>
            <w:pPr>
              <w:pStyle w:val="TableCell"/>
            </w:pPr>
            <w:r>
              <w:rPr>
                <w:b/>
              </w:rPr>
              <w:t xml:space="preserve">$21.48</w:t>
            </w:r>
          </w:p>
        </w:tc>
        <w:tc>
          <w:tcPr>
            <w:tcW w:w="1872" w:type="dxa"/>
          </w:tcPr>
          <w:p>
            <w:pPr>
              <w:pStyle w:val="TableCell"/>
            </w:pPr>
            <w:r>
              <w:rPr>
                <w:b/>
              </w:rPr>
              <w:t xml:space="preserve">the inversion: S&amp;P +~4%, oil −~29–33% in a day</w:t>
            </w:r>
          </w:p>
        </w:tc>
      </w:tr>
      <w:tr>
        <w:tc>
          <w:tcPr>
            <w:tcW w:w="1872" w:type="dxa"/>
          </w:tcPr>
          <w:p>
            <w:pPr>
              <w:pStyle w:val="TableCell"/>
            </w:pPr>
            <w:r>
              <w:t xml:space="preserve">28 Feb 1991</w:t>
            </w:r>
          </w:p>
        </w:tc>
        <w:tc>
          <w:tcPr>
            <w:tcW w:w="1872" w:type="dxa"/>
          </w:tcPr>
          <w:p>
            <w:pPr>
              <w:pStyle w:val="TableCell"/>
            </w:pPr>
            <w:r>
              <w:t xml:space="preserve">ceasefire</w:t>
            </w:r>
          </w:p>
        </w:tc>
        <w:tc>
          <w:tcPr>
            <w:tcW w:w="1872" w:type="dxa"/>
          </w:tcPr>
          <w:p>
            <w:pPr>
              <w:pStyle w:val="TableCell"/>
            </w:pPr>
            <w:r>
              <w:t xml:space="preserve">367.07</w:t>
            </w:r>
          </w:p>
        </w:tc>
        <w:tc>
          <w:tcPr>
            <w:tcW w:w="1872" w:type="dxa"/>
          </w:tcPr>
          <w:p>
            <w:pPr>
              <w:pStyle w:val="TableCell"/>
            </w:pPr>
            <w:r>
              <w:t xml:space="preserve">$19.28</w:t>
            </w:r>
          </w:p>
        </w:tc>
        <w:tc>
          <w:tcPr>
            <w:tcW w:w="1872" w:type="dxa"/>
          </w:tcPr>
          <w:p>
            <w:pPr>
              <w:pStyle w:val="TableCell"/>
            </w:pPr>
            <w:r>
              <w:t xml:space="preserve">S&amp;P above, oil below, pre-invasion — the whole premium unwound</w:t>
            </w:r>
          </w:p>
        </w:tc>
      </w:tr>
    </w:tbl>
    <w:p>
      <w:r>
        <w:t xml:space="preserve">The famous counterintuitive result: </w:t>
      </w:r>
      <w:r>
        <w:rPr>
          <w:b/>
        </w:rPr>
        <w:t xml:space="preserve">stocks soared and oil crashed the day the shooting started.</w:t>
      </w:r>
      <w:r>
        <w:t xml:space="preserve"> Allied air supremacy from the first night removed the tail the market had been pricing — Saddam torching the Gulf's fields, closing Hormuz — so the </w:t>
      </w:r>
      <w:r>
        <w:rPr>
          <w:i/>
        </w:rPr>
        <w:t xml:space="preserve">war-supply-catastrophe premium</w:t>
      </w:r>
      <w:r>
        <w:t xml:space="preserve"> in oil evaporated at once, and equities rallied on the resolved uncertainty. The chart (</w:t>
      </w:r>
      <w:r>
        <w:rPr>
          <w:rFonts w:ascii="Consolas" w:hAnsi="Consolas"/>
          <w:sz w:val="18"/>
        </w:rPr>
        <w:t xml:space="preserve">war_premia/results/gulf_war_1991.svg</w:t>
      </w:r>
      <w:r>
        <w:t xml:space="preserve">) is the two lines crossing at 17 January.</w:t>
      </w:r>
    </w:p>
    <w:p>
      <w:r>
        <w:rPr>
          <w:b/>
        </w:rPr>
        <w:t xml:space="preserve">Contemporaneous attribution (the triangulation, done right).</w:t>
      </w:r>
      <w:r>
        <w:t xml:space="preserve"> This is not our gloss — it is the </w:t>
      </w:r>
      <w:r>
        <w:rPr>
          <w:b/>
        </w:rPr>
        <w:t xml:space="preserve">Bank of England's own Quarterly Bulletin, 1 March 1991</w:t>
      </w:r>
      <w:r>
        <w:t xml:space="preserve">:</w:t>
      </w:r>
    </w:p>
    <w:p>
      <w:pPr>
        <w:pStyle w:val="Quote"/>
      </w:pPr>
      <w:r>
        <w:rPr>
          <w:i/>
        </w:rPr>
        <w:t xml:space="preserve">"In response to the outbreak of hostilities in the Gulf, the prices of both equities and bonds rose sharply on 17 January 1991 as news of early successes for the allies encouraged participants back into the market. Stock markets in the United States, Europe and Japan recorded rises of between 1% and 8%. </w:t>
      </w:r>
      <w:r>
        <w:rPr>
          <w:i/>
        </w:rPr>
        <w:t xml:space="preserve">The largest-ever one day decline in oil prices helped the rallies.</w:t>
      </w:r>
      <w:r>
        <w:rPr>
          <w:i/>
        </w:rPr>
        <w:t xml:space="preserve">"</w:t>
      </w:r>
    </w:p>
    <w:p>
      <w:r>
        <w:t xml:space="preserve">A central bank, in real time, naming what the market was pricing: allied success → resolved war risk → the oil premium collapses → equities rally. Exactly the cause-vs-cover check the framework demands, and it passes cleanly.</w:t>
      </w:r>
    </w:p>
    <w:p>
      <w:pPr>
        <w:pStyle w:val="Heading3"/>
      </w:pPr>
      <w:r>
        <w:t xml:space="preserve">Iraq War, 2003 — Rigobon &amp; Sack's own case</w:t>
      </w:r>
    </w:p>
    <w:p>
      <w:r>
        <w:t xml:space="preserve">The 1991 structure, replayed and formally measured:</w:t>
      </w:r>
    </w:p>
    <w:p>
      <w:pPr>
        <w:pStyle w:val="ListParagraph"/>
        <w:ind w:left="360" w:hanging="360"/>
      </w:pPr>
      <w:r>
        <w:t xml:space="preserve">•  </w:t>
      </w:r>
      <w:r>
        <w:rPr>
          <w:b/>
        </w:rPr>
        <w:t xml:space="preserve">War-risk build (Jan → mid-Mar 2003):</w:t>
      </w:r>
      <w:r>
        <w:t xml:space="preserve"> S&amp;P fell ~12% (909 → 800) while WTI rose to ~$37 — war</w:t>
      </w:r>
    </w:p>
    <w:p>
      <w:r>
        <w:t xml:space="preserve">  risk </w:t>
      </w:r>
      <w:r>
        <w:rPr>
          <w:i/>
        </w:rPr>
        <w:t xml:space="preserve">up</w:t>
      </w:r>
      <w:r>
        <w:t xml:space="preserve">, equities </w:t>
      </w:r>
      <w:r>
        <w:rPr>
          <w:i/>
        </w:rPr>
        <w:t xml:space="preserve">down</w:t>
      </w:r>
      <w:r>
        <w:t xml:space="preserve">, oil </w:t>
      </w:r>
      <w:r>
        <w:rPr>
          <w:i/>
        </w:rPr>
        <w:t xml:space="preserve">up</w:t>
      </w:r>
      <w:r>
        <w:t xml:space="preserve">.</w:t>
      </w:r>
    </w:p>
    <w:p>
      <w:pPr>
        <w:pStyle w:val="ListParagraph"/>
        <w:ind w:left="360" w:hanging="360"/>
      </w:pPr>
      <w:r>
        <w:t xml:space="preserve">•  </w:t>
      </w:r>
      <w:r>
        <w:rPr>
          <w:b/>
        </w:rPr>
        <w:t xml:space="preserve">The invasion (19 Mar 2003):</w:t>
      </w:r>
      <w:r>
        <w:t xml:space="preserve"> S&amp;P </w:t>
      </w:r>
      <w:r>
        <w:rPr>
          <w:b/>
        </w:rPr>
        <w:t xml:space="preserve">+9% off the low</w:t>
      </w:r>
      <w:r>
        <w:t xml:space="preserve"> into the invasion; WTI </w:t>
      </w:r>
      <w:r>
        <w:rPr>
          <w:b/>
        </w:rPr>
        <w:t xml:space="preserve">−$7</w:t>
      </w:r>
      <w:r>
        <w:t xml:space="preserve">. Same</w:t>
      </w:r>
    </w:p>
    <w:p>
      <w:r>
        <w:t xml:space="preserve">  inversion — the premium resolved as the war began and went fast.</w:t>
      </w:r>
    </w:p>
    <w:p>
      <w:r>
        <w:rPr>
          <w:b/>
        </w:rPr>
        <w:t xml:space="preserve">Sack &amp; Rigobon (2005)</w:t>
      </w:r>
      <w:r>
        <w:t xml:space="preserve"> computed a daily "war-risk factor" over the ten weeks to the invasion via </w:t>
      </w:r>
      <w:r>
        <w:rPr>
          <w:b/>
        </w:rPr>
        <w:t xml:space="preserve">heteroskedasticity-based identification</w:t>
      </w:r>
      <w:r>
        <w:t xml:space="preserve">, and found rising war risk </w:t>
      </w:r>
      <w:r>
        <w:rPr>
          <w:b/>
        </w:rPr>
        <w:t xml:space="preserve">lowered Treasury yields and equities, widened low-grade corporate spreads, weakened the dollar, and raised oil</w:t>
      </w:r>
      <w:r>
        <w:t xml:space="preserve"> — with the factor explaining a large share of those assets' variance in the run-up. This is the modern, formal version of the book's claim, and it names </w:t>
      </w:r>
      <w:r>
        <w:rPr>
          <w:b/>
        </w:rPr>
        <w:t xml:space="preserve">oil</w:t>
      </w:r>
      <w:r>
        <w:t xml:space="preserve"> as the carrier. That we reach the same identification strategy independently for 1911 Berlin is the methodological through-line worth stating.</w:t>
      </w:r>
    </w:p>
    <w:p>
      <w:pPr>
        <w:pStyle w:val="Heading3"/>
      </w:pPr>
      <w:r>
        <w:t xml:space="preserve">Where the Gulf Wars sit in the book</w:t>
      </w:r>
    </w:p>
    <w:p>
      <w:pPr>
        <w:pStyle w:val="ListParagraph"/>
        <w:ind w:left="360" w:hanging="360"/>
      </w:pPr>
      <w:r>
        <w:t xml:space="preserve">•  </w:t>
      </w:r>
      <w:r>
        <w:rPr>
          <w:b/>
        </w:rPr>
        <w:t xml:space="preserve">The instrument test, at its cleanest.</w:t>
      </w:r>
      <w:r>
        <w:t xml:space="preserve"> 1905 → the </w:t>
      </w:r>
      <w:r>
        <w:rPr>
          <w:i/>
        </w:rPr>
        <w:t xml:space="preserve">fonds russes</w:t>
      </w:r>
      <w:r>
        <w:t xml:space="preserve"> (bonds). 1911/2022 → the</w:t>
      </w:r>
    </w:p>
    <w:p>
      <w:r>
        <w:t xml:space="preserve">  exchange/energy. The Gulf Wars → </w:t>
      </w:r>
      <w:r>
        <w:rPr>
          <w:b/>
        </w:rPr>
        <w:t xml:space="preserve">oil</w:t>
      </w:r>
      <w:r>
        <w:t xml:space="preserve">, unambiguously. Which instrument carries the risk is a   property of the crisis, and these are the case that makes oil the answer.</w:t>
      </w:r>
    </w:p>
    <w:p>
      <w:pPr>
        <w:pStyle w:val="ListParagraph"/>
        <w:ind w:left="360" w:hanging="360"/>
      </w:pPr>
      <w:r>
        <w:t xml:space="preserve">•  </w:t>
      </w:r>
      <w:r>
        <w:rPr>
          <w:b/>
        </w:rPr>
        <w:t xml:space="preserve">The oil lineage, paralleling the freeze lineage:</w:t>
      </w:r>
      <w:r>
        <w:t xml:space="preserve"> </w:t>
      </w:r>
      <w:r>
        <w:rPr>
          <w:b/>
        </w:rPr>
        <w:t xml:space="preserve">Gulf 1990 → Iraq 2003 → 2022</w:t>
      </w:r>
      <w:r>
        <w:t xml:space="preserve"> — three</w:t>
      </w:r>
    </w:p>
    <w:p>
      <w:r>
        <w:t xml:space="preserve">  wars the market priced through the barrel. In all three the equity market treated the conflict as   an </w:t>
      </w:r>
      <w:r>
        <w:rPr>
          <w:b/>
        </w:rPr>
        <w:t xml:space="preserve">energy shock</w:t>
      </w:r>
      <w:r>
        <w:t xml:space="preserve">, not a systemic war (the 2022 discrimination finding is the same species).</w:t>
      </w:r>
    </w:p>
    <w:p>
      <w:pPr>
        <w:pStyle w:val="ListParagraph"/>
        <w:ind w:left="360" w:hanging="360"/>
      </w:pPr>
      <w:r>
        <w:t xml:space="preserve">•  </w:t>
      </w:r>
      <w:r>
        <w:rPr>
          <w:b/>
        </w:rPr>
        <w:t xml:space="preserve">The resolution-rally, generalized.</w:t>
      </w:r>
      <w:r>
        <w:t xml:space="preserve"> The relief rally is not only a </w:t>
      </w:r>
      <w:r>
        <w:rPr>
          <w:i/>
        </w:rPr>
        <w:t xml:space="preserve">bond/equity</w:t>
      </w:r>
      <w:r>
        <w:t xml:space="preserve"> signature</w:t>
      </w:r>
    </w:p>
    <w:p>
      <w:r>
        <w:t xml:space="preserve">  (Munich, Agadir); in an oil-instrument war it shows up as the </w:t>
      </w:r>
      <w:r>
        <w:rPr>
          <w:b/>
        </w:rPr>
        <w:t xml:space="preserve">oil price collapsing on   resolution</w:t>
      </w:r>
      <w:r>
        <w:t xml:space="preserve">. Same mechanism — uncertainty priced, then unwound — different instrument.</w:t>
      </w:r>
    </w:p>
    <w:p>
      <w:pPr>
        <w:pStyle w:val="Heading3"/>
      </w:pPr>
      <w:r>
        <w:t xml:space="preserve">Reading it correctly</w:t>
      </w:r>
    </w:p>
    <w:p>
      <w:pPr>
        <w:pStyle w:val="ListParagraph"/>
        <w:ind w:left="360" w:hanging="360"/>
      </w:pPr>
      <w:r>
        <w:t xml:space="preserve">•  </w:t>
      </w:r>
      <w:r>
        <w:rPr>
          <w:b/>
        </w:rPr>
        <w:t xml:space="preserve">Effect, not influence</w:t>
      </w:r>
      <w:r>
        <w:t xml:space="preserve"> — a pricing result, as throughout; no claim that markets steered the</w:t>
      </w:r>
    </w:p>
    <w:p>
      <w:r>
        <w:t xml:space="preserve">  war.</w:t>
      </w:r>
    </w:p>
    <w:p>
      <w:pPr>
        <w:pStyle w:val="ListParagraph"/>
        <w:ind w:left="360" w:hanging="360"/>
      </w:pPr>
      <w:r>
        <w:t xml:space="preserve">•  </w:t>
      </w:r>
      <w:r>
        <w:rPr>
          <w:b/>
        </w:rPr>
        <w:t xml:space="preserve">Oil ≠ the whole economy.</w:t>
      </w:r>
      <w:r>
        <w:t xml:space="preserve"> The 1990 equity decline blended the oil-war premium with a genuine</w:t>
      </w:r>
    </w:p>
    <w:p>
      <w:r>
        <w:t xml:space="preserve">  </w:t>
      </w:r>
      <w:r>
        <w:rPr>
          <w:b/>
        </w:rPr>
        <w:t xml:space="preserve">1990–91 recession</w:t>
      </w:r>
      <w:r>
        <w:t xml:space="preserve"> (NBER dates it from July 1990). The clean war signal is the </w:t>
      </w:r>
      <w:r>
        <w:rPr>
          <w:b/>
        </w:rPr>
        <w:t xml:space="preserve">17 January   inversion</w:t>
      </w:r>
      <w:r>
        <w:t xml:space="preserve"> (both assets reversing on the </w:t>
      </w:r>
      <w:r>
        <w:rPr>
          <w:i/>
        </w:rPr>
        <w:t xml:space="preserve">military</w:t>
      </w:r>
      <w:r>
        <w:t xml:space="preserve"> news in one day), not the slow autumn drift —   the same cause-vs-cover discipline the recession-confounded 1948 and 2022 cases required.</w:t>
      </w:r>
    </w:p>
    <w:p>
      <w:pPr>
        <w:pStyle w:val="Heading3"/>
      </w:pPr>
      <w:r>
        <w:t xml:space="preserve">Reproduce</w:t>
      </w:r>
    </w:p>
    <w:p>
      <w:pPr>
        <w:pStyle w:val="Code"/>
      </w:pPr>
      <w:r>
        <w:rPr>
          <w:rFonts w:ascii="Consolas" w:hAnsi="Consolas"/>
          <w:sz w:val="18"/>
        </w:rPr>
        <w:t xml:space="preserve">## Oil (FRED WTI, daily back to 1986) + S&amp;P (Yahoo ^GSPC):</w:t>
      </w:r>
    </w:p>
    <w:p>
      <w:pPr>
        <w:pStyle w:val="Code"/>
      </w:pPr>
      <w:r>
        <w:rPr>
          <w:rFonts w:ascii="Consolas" w:hAnsi="Consolas"/>
          <w:sz w:val="18"/>
        </w:rPr>
        <w:t xml:space="preserve">curl -sS "https://fred.stlouisfed.org/graph/fredgraph.csv?id=DCOILWTICO&amp;cosd=1990-06-01&amp;coed=1991-04-30"</w:t>
      </w:r>
    </w:p>
    <w:p>
      <w:pPr>
        <w:pStyle w:val="Code"/>
      </w:pPr>
      <w:r>
        <w:rPr>
          <w:rFonts w:ascii="Consolas" w:hAnsi="Consolas"/>
          <w:sz w:val="18"/>
        </w:rPr>
        <w:t xml:space="preserve">curl -sS -A "Mozilla/5.0" "https://query1.finance.yahoo.com/v8/finance/chart/%5EGSPC?period1=644198400&amp;period2=670464000&amp;interval=1d"</w:t>
      </w:r>
    </w:p>
    <w:p>
      <w:pPr>
        <w:pStyle w:val="Code"/>
      </w:pPr>
      <w:r>
        <w:rPr>
          <w:rFonts w:ascii="Consolas" w:hAnsi="Consolas"/>
          <w:sz w:val="18"/>
        </w:rPr>
        <w:t xml:space="preserve">## Gulf War I: Kuwait invaded 2 Aug 1990; Desert Storm 17 Jan 1991. Iraq War: invasion 19 Mar 2003.</w:t>
      </w:r>
    </w:p>
    <w:p>
      <w:r>
        <w:rPr>
          <w:b/>
        </w:rPr>
        <w:t xml:space="preserve">Sources:</w:t>
      </w:r>
      <w:r>
        <w:t xml:space="preserve"> Sack &amp; Rigobon, "The Effects of War Risk on U.S. Financial Markets," </w:t>
      </w:r>
      <w:r>
        <w:rPr>
          <w:i/>
        </w:rPr>
        <w:t xml:space="preserve">J. Banking &amp; Finance</w:t>
      </w:r>
      <w:r>
        <w:t xml:space="preserve"> 29(7) 1769–1789 (2005) / NBER w9609. Bank of England </w:t>
      </w:r>
      <w:r>
        <w:rPr>
          <w:i/>
        </w:rPr>
        <w:t xml:space="preserve">Quarterly Bulletin</w:t>
      </w:r>
      <w:r>
        <w:t xml:space="preserve">, Q1 1991. Verify the tape values against a second source before publication.</w:t>
      </w:r>
    </w:p>
    <w:p>
      <w:pPr>
        <w:pStyle w:val="Heading2"/>
        <w:pageBreakBefore/>
      </w:pPr>
      <w:r>
        <w:t xml:space="preserve">Russia–Ukraine, 2022</w:t>
      </w:r>
    </w:p>
    <w:p>
      <w:r>
        <w:t xml:space="preserve">The framework's modern apotheosis. The 2022 invasion lets us run the same four tests on live, high-frequency data that we ran on Fraktur OCR — and both edges of the argument show up cleanly: the </w:t>
      </w:r>
      <w:r>
        <w:rPr>
          <w:b/>
        </w:rPr>
        <w:t xml:space="preserve">discrimination test</w:t>
      </w:r>
      <w:r>
        <w:t xml:space="preserve"> (what the great markets priced) </w:t>
      </w:r>
      <w:r>
        <w:rPr>
          <w:i/>
        </w:rPr>
        <w:t xml:space="preserve">and</w:t>
      </w:r>
      <w:r>
        <w:t xml:space="preserve"> the </w:t>
      </w:r>
      <w:r>
        <w:rPr>
          <w:b/>
        </w:rPr>
        <w:t xml:space="preserve">state-wielded weapon</w:t>
      </w:r>
      <w:r>
        <w:t xml:space="preserve"> (what finance was used to do). It is the direct descendant of the Ruhr/1941-freeze/Suez lineage, now at superpower-sanctions scale.</w:t>
      </w:r>
    </w:p>
    <w:p>
      <w:r>
        <w:t xml:space="preserve">Charted series are pulled reproducibly from </w:t>
      </w:r>
      <w:r>
        <w:rPr>
          <w:b/>
        </w:rPr>
        <w:t xml:space="preserve">FRED</w:t>
      </w:r>
      <w:r>
        <w:t xml:space="preserve"> (daily). Russian-side figures are from the contemporary record, cited and flagged for verification — the same discipline as the OCR figures elsewhere (here it is </w:t>
      </w:r>
      <w:r>
        <w:rPr>
          <w:i/>
        </w:rPr>
        <w:t xml:space="preserve">feed-grade until checked against the primary release</w:t>
      </w:r>
      <w:r>
        <w:t xml:space="preserve">).</w:t>
      </w:r>
    </w:p>
    <w:p>
      <w:pPr>
        <w:pStyle w:val="Heading3"/>
      </w:pPr>
      <w:r>
        <w:t xml:space="preserve">1. The discrimination test — the great markets barely flinched</w:t>
      </w:r>
    </w:p>
    <w:p>
      <w:r>
        <w:t xml:space="preserve">The largest European land war since 1945, and </w:t>
      </w:r>
      <w:r>
        <w:rPr>
          <w:b/>
        </w:rPr>
        <w:t xml:space="preserve">Western equity shrugged</w:t>
      </w:r>
      <w:r>
        <w:t xml:space="preserv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Signal (FRED)</w:t>
            </w:r>
          </w:p>
        </w:tc>
        <w:tc>
          <w:tcPr>
            <w:tcW w:w="2340" w:type="dxa"/>
            <w:shd w:val="clear" w:fill="EEEEF6"/>
          </w:tcPr>
          <w:p>
            <w:pPr>
              <w:pStyle w:val="TableCell"/>
            </w:pPr>
            <w:r>
              <w:rPr>
                <w:b/>
              </w:rPr>
              <w:t xml:space="preserve">Invasion eve (23 Feb)</w:t>
            </w:r>
          </w:p>
        </w:tc>
        <w:tc>
          <w:tcPr>
            <w:tcW w:w="2340" w:type="dxa"/>
            <w:shd w:val="clear" w:fill="EEEEF6"/>
          </w:tcPr>
          <w:p>
            <w:pPr>
              <w:pStyle w:val="TableCell"/>
            </w:pPr>
            <w:r>
              <w:rPr>
                <w:b/>
              </w:rPr>
              <w:t xml:space="preserve">Crisis extreme</w:t>
            </w:r>
          </w:p>
        </w:tc>
        <w:tc>
          <w:tcPr>
            <w:tcW w:w="2340" w:type="dxa"/>
            <w:shd w:val="clear" w:fill="EEEEF6"/>
          </w:tcPr>
          <w:p>
            <w:pPr>
              <w:pStyle w:val="TableCell"/>
            </w:pPr>
            <w:r>
              <w:rPr>
                <w:b/>
              </w:rPr>
              <w:t xml:space="preserve">Reading</w:t>
            </w:r>
          </w:p>
        </w:tc>
      </w:tr>
      <w:tr>
        <w:tc>
          <w:tcPr>
            <w:tcW w:w="2340" w:type="dxa"/>
          </w:tcPr>
          <w:p>
            <w:pPr>
              <w:pStyle w:val="TableCell"/>
            </w:pPr>
            <w:r>
              <w:rPr>
                <w:b/>
              </w:rPr>
              <w:t xml:space="preserve">S&amp;P 500</w:t>
            </w:r>
          </w:p>
        </w:tc>
        <w:tc>
          <w:tcPr>
            <w:tcW w:w="2340" w:type="dxa"/>
          </w:tcPr>
          <w:p>
            <w:pPr>
              <w:pStyle w:val="TableCell"/>
            </w:pPr>
            <w:r>
              <w:t xml:space="preserve">4225</w:t>
            </w:r>
          </w:p>
        </w:tc>
        <w:tc>
          <w:tcPr>
            <w:tcW w:w="2340" w:type="dxa"/>
          </w:tcPr>
          <w:p>
            <w:pPr>
              <w:pStyle w:val="TableCell"/>
            </w:pPr>
            <w:r>
              <w:t xml:space="preserve">4385 (25 Feb, </w:t>
            </w:r>
            <w:r>
              <w:rPr>
                <w:b/>
              </w:rPr>
              <w:t xml:space="preserve">up</w:t>
            </w:r>
            <w:r>
              <w:t xml:space="preserve">)</w:t>
            </w:r>
          </w:p>
        </w:tc>
        <w:tc>
          <w:tcPr>
            <w:tcW w:w="2340" w:type="dxa"/>
          </w:tcPr>
          <w:p>
            <w:pPr>
              <w:pStyle w:val="TableCell"/>
            </w:pPr>
            <w:r>
              <w:rPr>
                <w:b/>
              </w:rPr>
              <w:t xml:space="preserve">Closed UP on invasion day</w:t>
            </w:r>
            <w:r>
              <w:t xml:space="preserve">; above the pre-war level by 29 Mar (4632). The June low (3667) was the </w:t>
            </w:r>
            <w:r>
              <w:rPr>
                <w:b/>
              </w:rPr>
              <w:t xml:space="preserve">Fed/inflation</w:t>
            </w:r>
            <w:r>
              <w:t xml:space="preserve">, not the war.</w:t>
            </w:r>
          </w:p>
        </w:tc>
      </w:tr>
      <w:tr>
        <w:tc>
          <w:tcPr>
            <w:tcW w:w="2340" w:type="dxa"/>
          </w:tcPr>
          <w:p>
            <w:pPr>
              <w:pStyle w:val="TableCell"/>
            </w:pPr>
            <w:r>
              <w:rPr>
                <w:b/>
              </w:rPr>
              <w:t xml:space="preserve">VIX</w:t>
            </w:r>
          </w:p>
        </w:tc>
        <w:tc>
          <w:tcPr>
            <w:tcW w:w="2340" w:type="dxa"/>
          </w:tcPr>
          <w:p>
            <w:pPr>
              <w:pStyle w:val="TableCell"/>
            </w:pPr>
            <w:r>
              <w:t xml:space="preserve">31</w:t>
            </w:r>
          </w:p>
        </w:tc>
        <w:tc>
          <w:tcPr>
            <w:tcW w:w="2340" w:type="dxa"/>
          </w:tcPr>
          <w:p>
            <w:pPr>
              <w:pStyle w:val="TableCell"/>
            </w:pPr>
            <w:r>
              <w:rPr>
                <w:b/>
              </w:rPr>
              <w:t xml:space="preserve">36</w:t>
            </w:r>
            <w:r>
              <w:t xml:space="preserve"> (7 Mar)</w:t>
            </w:r>
          </w:p>
        </w:tc>
        <w:tc>
          <w:tcPr>
            <w:tcW w:w="2340" w:type="dxa"/>
          </w:tcPr>
          <w:p>
            <w:pPr>
              <w:pStyle w:val="TableCell"/>
            </w:pPr>
            <w:r>
              <w:t xml:space="preserve">Elevated but </w:t>
            </w:r>
            <w:r>
              <w:rPr>
                <w:b/>
              </w:rPr>
              <w:t xml:space="preserve">far below panic</w:t>
            </w:r>
            <w:r>
              <w:t xml:space="preserve"> (COVID 82, GFC 80). The war scarcely registered as </w:t>
            </w:r>
            <w:r>
              <w:rPr>
                <w:i/>
              </w:rPr>
              <w:t xml:space="preserve">systemic</w:t>
            </w:r>
            <w:r>
              <w:t xml:space="preserve"> risk.</w:t>
            </w:r>
          </w:p>
        </w:tc>
      </w:tr>
      <w:tr>
        <w:tc>
          <w:tcPr>
            <w:tcW w:w="2340" w:type="dxa"/>
          </w:tcPr>
          <w:p>
            <w:pPr>
              <w:pStyle w:val="TableCell"/>
            </w:pPr>
            <w:r>
              <w:rPr>
                <w:b/>
              </w:rPr>
              <w:t xml:space="preserve">Brent crude</w:t>
            </w:r>
          </w:p>
        </w:tc>
        <w:tc>
          <w:tcPr>
            <w:tcW w:w="2340" w:type="dxa"/>
          </w:tcPr>
          <w:p>
            <w:pPr>
              <w:pStyle w:val="TableCell"/>
            </w:pPr>
            <w:r>
              <w:t xml:space="preserve">$99</w:t>
            </w:r>
          </w:p>
        </w:tc>
        <w:tc>
          <w:tcPr>
            <w:tcW w:w="2340" w:type="dxa"/>
          </w:tcPr>
          <w:p>
            <w:pPr>
              <w:pStyle w:val="TableCell"/>
            </w:pPr>
            <w:r>
              <w:rPr>
                <w:b/>
              </w:rPr>
              <w:t xml:space="preserve">$133</w:t>
            </w:r>
            <w:r>
              <w:t xml:space="preserve"> (8 Mar, +34%)</w:t>
            </w:r>
          </w:p>
        </w:tc>
        <w:tc>
          <w:tcPr>
            <w:tcW w:w="2340" w:type="dxa"/>
          </w:tcPr>
          <w:p>
            <w:pPr>
              <w:pStyle w:val="TableCell"/>
            </w:pPr>
            <w:r>
              <w:t xml:space="preserve">The transmission channel: the market priced </w:t>
            </w:r>
            <w:r>
              <w:rPr>
                <w:b/>
              </w:rPr>
              <w:t xml:space="preserve">energy</w:t>
            </w:r>
            <w:r>
              <w:t xml:space="preserve">, narrowly — not a general war.</w:t>
            </w:r>
          </w:p>
        </w:tc>
      </w:tr>
      <w:tr>
        <w:tc>
          <w:tcPr>
            <w:tcW w:w="2340" w:type="dxa"/>
          </w:tcPr>
          <w:p>
            <w:pPr>
              <w:pStyle w:val="TableCell"/>
            </w:pPr>
            <w:r>
              <w:rPr>
                <w:b/>
              </w:rPr>
              <w:t xml:space="preserve">10y UST</w:t>
            </w:r>
          </w:p>
        </w:tc>
        <w:tc>
          <w:tcPr>
            <w:tcW w:w="2340" w:type="dxa"/>
          </w:tcPr>
          <w:p>
            <w:pPr>
              <w:pStyle w:val="TableCell"/>
            </w:pPr>
            <w:r>
              <w:t xml:space="preserve">1.99%</w:t>
            </w:r>
          </w:p>
        </w:tc>
        <w:tc>
          <w:tcPr>
            <w:tcW w:w="2340" w:type="dxa"/>
          </w:tcPr>
          <w:p>
            <w:pPr>
              <w:pStyle w:val="TableCell"/>
            </w:pPr>
            <w:r>
              <w:t xml:space="preserve">3.49% (rose)</w:t>
            </w:r>
          </w:p>
        </w:tc>
        <w:tc>
          <w:tcPr>
            <w:tcW w:w="2340" w:type="dxa"/>
          </w:tcPr>
          <w:p>
            <w:pPr>
              <w:pStyle w:val="TableCell"/>
            </w:pPr>
            <w:r>
              <w:rPr>
                <w:b/>
              </w:rPr>
              <w:t xml:space="preserve">No sustained safe-haven bid</w:t>
            </w:r>
            <w:r>
              <w:t xml:space="preserve">; the Fed dominated Treasuries.</w:t>
            </w:r>
          </w:p>
        </w:tc>
      </w:tr>
      <w:tr>
        <w:tc>
          <w:tcPr>
            <w:tcW w:w="2340" w:type="dxa"/>
          </w:tcPr>
          <w:p>
            <w:pPr>
              <w:pStyle w:val="TableCell"/>
            </w:pPr>
            <w:r>
              <w:rPr>
                <w:b/>
              </w:rPr>
              <w:t xml:space="preserve">Broad dollar</w:t>
            </w:r>
          </w:p>
        </w:tc>
        <w:tc>
          <w:tcPr>
            <w:tcW w:w="2340" w:type="dxa"/>
          </w:tcPr>
          <w:p>
            <w:pPr>
              <w:pStyle w:val="TableCell"/>
            </w:pPr>
            <w:r>
              <w:t xml:space="preserve">114.7</w:t>
            </w:r>
          </w:p>
        </w:tc>
        <w:tc>
          <w:tcPr>
            <w:tcW w:w="2340" w:type="dxa"/>
          </w:tcPr>
          <w:p>
            <w:pPr>
              <w:pStyle w:val="TableCell"/>
            </w:pPr>
            <w:r>
              <w:t xml:space="preserve">121.7</w:t>
            </w:r>
          </w:p>
        </w:tc>
        <w:tc>
          <w:tcPr>
            <w:tcW w:w="2340" w:type="dxa"/>
          </w:tcPr>
          <w:p>
            <w:pPr>
              <w:pStyle w:val="TableCell"/>
            </w:pPr>
            <w:r>
              <w:t xml:space="preserve">A modest, durable </w:t>
            </w:r>
            <w:r>
              <w:rPr>
                <w:b/>
              </w:rPr>
              <w:t xml:space="preserve">flight-to-quality</w:t>
            </w:r>
            <w:r>
              <w:t xml:space="preserve"> to the dollar — the one clean safe-haven signal.</w:t>
            </w:r>
          </w:p>
        </w:tc>
      </w:tr>
    </w:tbl>
    <w:p>
      <w:r>
        <w:t xml:space="preserve">Chart: </w:t>
      </w:r>
      <w:r>
        <w:rPr>
          <w:rFonts w:ascii="Consolas" w:hAnsi="Consolas"/>
          <w:sz w:val="18"/>
        </w:rPr>
        <w:t xml:space="preserve">war_premia/results/modern_2022_discrimination.svg</w:t>
      </w:r>
      <w:r>
        <w:t xml:space="preserve"> — S&amp;P vs Brent indexed to the invasion eve. Equity roughly flat-to-recovering; oil spikes. </w:t>
      </w:r>
      <w:r>
        <w:rPr>
          <w:b/>
        </w:rPr>
        <w:t xml:space="preserve">That divergence *is* the discrimination finding</w:t>
      </w:r>
      <w:r>
        <w:t xml:space="preserve">: the market did not price a general/systemic war for the West; it priced a </w:t>
      </w:r>
      <w:r>
        <w:rPr>
          <w:i/>
        </w:rPr>
        <w:t xml:space="preserve">commodity shock</w:t>
      </w:r>
      <w:r>
        <w:t xml:space="preserve"> through the energy channel.</w:t>
      </w:r>
    </w:p>
    <w:p>
      <w:r>
        <w:t xml:space="preserve">This is the </w:t>
      </w:r>
      <w:r>
        <w:rPr>
          <w:b/>
        </w:rPr>
        <w:t xml:space="preserve">Falklands pattern at scale</w:t>
      </w:r>
      <w:r>
        <w:t xml:space="preserve"> (a localized-in-impact war the great markets discount) — and it maps onto the pre-1914 result exactly: the market prices </w:t>
      </w:r>
      <w:r>
        <w:rPr>
          <w:i/>
        </w:rPr>
        <w:t xml:space="preserve">systemic/general</w:t>
      </w:r>
      <w:r>
        <w:t xml:space="preserve"> war risk, not war-as-such. 2022 was catastrophic locally and narrow globally, and the price signals sorted it correctly in days.</w:t>
      </w:r>
    </w:p>
    <w:p>
      <w:pPr>
        <w:pStyle w:val="Heading3"/>
      </w:pPr>
      <w:r>
        <w:t xml:space="preserve">2. Which instrument carried the risk — the target's own market</w:t>
      </w:r>
    </w:p>
    <w:p>
      <w:r>
        <w:t xml:space="preserve">As in 1905 (the </w:t>
      </w:r>
      <w:r>
        <w:rPr>
          <w:i/>
        </w:rPr>
        <w:t xml:space="preserve">fonds russes</w:t>
      </w:r>
      <w:r>
        <w:t xml:space="preserve">, not the money market), the violence sat where the exposure was — </w:t>
      </w:r>
      <w:r>
        <w:rPr>
          <w:b/>
        </w:rPr>
        <w:t xml:space="preserve">on Russia</w:t>
      </w:r>
      <w:r>
        <w:t xml:space="preserve">, not on Western equity:</w:t>
      </w:r>
    </w:p>
    <w:p>
      <w:pPr>
        <w:pStyle w:val="ListParagraph"/>
        <w:ind w:left="360" w:hanging="360"/>
      </w:pPr>
      <w:r>
        <w:t xml:space="preserve">•  </w:t>
      </w:r>
      <w:r>
        <w:t xml:space="preserve">The </w:t>
      </w:r>
      <w:r>
        <w:rPr>
          <w:b/>
        </w:rPr>
        <w:t xml:space="preserve">ruble</w:t>
      </w:r>
      <w:r>
        <w:t xml:space="preserve"> fell from ~80 to ~</w:t>
      </w:r>
      <w:r>
        <w:rPr>
          <w:b/>
        </w:rPr>
        <w:t xml:space="preserve">135/USD</w:t>
      </w:r>
      <w:r>
        <w:t xml:space="preserve"> (7 Mar 2022) before capital controls + a 20% policy</w:t>
      </w:r>
    </w:p>
    <w:p>
      <w:r>
        <w:t xml:space="preserve">  rate + "gas-for-rubles" forced a rebound to </w:t>
      </w:r>
      <w:r>
        <w:rPr>
          <w:b/>
        </w:rPr>
        <w:t xml:space="preserve">pre-war levels by ~June</w:t>
      </w:r>
      <w:r>
        <w:t xml:space="preserve"> </w:t>
      </w:r>
      <w:r>
        <w:rPr>
          <w:i/>
        </w:rPr>
        <w:t xml:space="preserve">[VERIFY vs CBR/market   data]</w:t>
      </w:r>
      <w:r>
        <w:t xml:space="preserve">.</w:t>
      </w:r>
    </w:p>
    <w:p>
      <w:pPr>
        <w:pStyle w:val="ListParagraph"/>
        <w:ind w:left="360" w:hanging="360"/>
      </w:pPr>
      <w:r>
        <w:t xml:space="preserve">•  </w:t>
      </w:r>
      <w:r>
        <w:t xml:space="preserve">The </w:t>
      </w:r>
      <w:r>
        <w:rPr>
          <w:b/>
        </w:rPr>
        <w:t xml:space="preserve">Moscow Exchange (MOEX) closed for equities ~25 Feb–24 Mar 2022</w:t>
      </w:r>
      <w:r>
        <w:t xml:space="preserve"> — roughly a month — the</w:t>
      </w:r>
    </w:p>
    <w:p>
      <w:r>
        <w:t xml:space="preserve">  modern echo of a bourse suspending trading in a panic </w:t>
      </w:r>
      <w:r>
        <w:rPr>
          <w:i/>
        </w:rPr>
        <w:t xml:space="preserve">[VERIFY]</w:t>
      </w:r>
      <w:r>
        <w:t xml:space="preserve">.</w:t>
      </w:r>
    </w:p>
    <w:p>
      <w:pPr>
        <w:pStyle w:val="ListParagraph"/>
        <w:ind w:left="360" w:hanging="360"/>
      </w:pPr>
      <w:r>
        <w:t xml:space="preserve">•  </w:t>
      </w:r>
      <w:r>
        <w:t xml:space="preserve">Russia entered its </w:t>
      </w:r>
      <w:r>
        <w:rPr>
          <w:b/>
        </w:rPr>
        <w:t xml:space="preserve">first foreign-currency sovereign default since 1918</w:t>
      </w:r>
      <w:r>
        <w:t xml:space="preserve"> in </w:t>
      </w:r>
      <w:r>
        <w:rPr>
          <w:b/>
        </w:rPr>
        <w:t xml:space="preserve">June 2022</w:t>
      </w:r>
    </w:p>
    <w:p>
      <w:r>
        <w:t xml:space="preserve">  </w:t>
      </w:r>
      <w:r>
        <w:rPr>
          <w:i/>
        </w:rPr>
        <w:t xml:space="preserve">[VERIFY vs rating-agency/press record]</w:t>
      </w:r>
      <w:r>
        <w:t xml:space="preserve">.</w:t>
      </w:r>
    </w:p>
    <w:p>
      <w:r>
        <w:t xml:space="preserve">The great markets discriminated; the belligerent's own market took the hit. Same lesson, opposite century.</w:t>
      </w:r>
    </w:p>
    <w:p>
      <w:pPr>
        <w:pStyle w:val="Heading3"/>
      </w:pPr>
      <w:r>
        <w:t xml:space="preserve">3. Exposure vs. constraint — finance as the weapon (state, coercive edge)</w:t>
      </w:r>
    </w:p>
    <w:p>
      <w:r>
        <w:t xml:space="preserve">2022 is the cleanest modern case of the </w:t>
      </w:r>
      <w:r>
        <w:rPr>
          <w:b/>
        </w:rPr>
        <w:t xml:space="preserve">coercive edge</w:t>
      </w:r>
      <w:r>
        <w:t xml:space="preserve"> in the "three faces" taxonomy — finance wielded </w:t>
      </w:r>
      <w:r>
        <w:rPr>
          <w:i/>
        </w:rPr>
        <w:t xml:space="preserve">by states, offensively</w:t>
      </w:r>
      <w:r>
        <w:t xml:space="preserve">:</w:t>
      </w:r>
    </w:p>
    <w:p>
      <w:pPr>
        <w:pStyle w:val="ListParagraph"/>
        <w:ind w:left="360" w:hanging="360"/>
      </w:pPr>
      <w:r>
        <w:t xml:space="preserve">•  </w:t>
      </w:r>
      <w:r>
        <w:t xml:space="preserve">The </w:t>
      </w:r>
      <w:r>
        <w:rPr>
          <w:b/>
        </w:rPr>
        <w:t xml:space="preserve">G7/EU froze ~$300 billion of Russian central-bank reserves</w:t>
      </w:r>
      <w:r>
        <w:t xml:space="preserve"> — immobilizing roughly half</w:t>
      </w:r>
    </w:p>
    <w:p>
      <w:r>
        <w:t xml:space="preserve">  the war chest Russia had built precisely to sanction-proof itself </w:t>
      </w:r>
      <w:r>
        <w:rPr>
          <w:i/>
        </w:rPr>
        <w:t xml:space="preserve">[VERIFY vs official   statements]</w:t>
      </w:r>
      <w:r>
        <w:t xml:space="preserve">.</w:t>
      </w:r>
    </w:p>
    <w:p>
      <w:pPr>
        <w:pStyle w:val="ListParagraph"/>
        <w:ind w:left="360" w:hanging="360"/>
      </w:pPr>
      <w:r>
        <w:t xml:space="preserve">•  </w:t>
      </w:r>
      <w:r>
        <w:rPr>
          <w:b/>
        </w:rPr>
        <w:t xml:space="preserve">Major Russian banks were expelled from SWIFT</w:t>
      </w:r>
      <w:r>
        <w:t xml:space="preserve">; a wave of corporate exit and secondary-sanction</w:t>
      </w:r>
    </w:p>
    <w:p>
      <w:r>
        <w:t xml:space="preserve">  pressure followed.</w:t>
      </w:r>
    </w:p>
    <w:p>
      <w:r>
        <w:t xml:space="preserve">This is the direct lineage of </w:t>
      </w:r>
      <w:r>
        <w:rPr>
          <w:b/>
        </w:rPr>
        <w:t xml:space="preserve">Ruhr 1923 → the 1941 asset freeze → Suez 1956 → 2022</w:t>
      </w:r>
      <w:r>
        <w:t xml:space="preserve"> — the negative/coercive edge of face #3 (state-wielded finance). Note the honesty rule still applies: the </w:t>
      </w:r>
      <w:r>
        <w:rPr>
          <w:i/>
        </w:rPr>
        <w:t xml:space="preserve">effect</w:t>
      </w:r>
      <w:r>
        <w:t xml:space="preserve"> (severe damage to the Russian economy) is documented; the </w:t>
      </w:r>
      <w:r>
        <w:rPr>
          <w:i/>
        </w:rPr>
        <w:t xml:space="preserve">decisiveness</w:t>
      </w:r>
      <w:r>
        <w:t xml:space="preserve"> (did it change the war's course?) is contested and should not be overclaimed — the reserve freeze squeezed without, by itself, halting the invasion.</w:t>
      </w:r>
    </w:p>
    <w:p>
      <w:pPr>
        <w:pStyle w:val="Heading3"/>
      </w:pPr>
      <w:r>
        <w:t xml:space="preserve">4. Press triangulation — the modern equivalent</w:t>
      </w:r>
    </w:p>
    <w:p>
      <w:r>
        <w:t xml:space="preserve">The contemporary financial press named the drivers in real time (sanctions, energy, the reserve freeze) exactly as </w:t>
      </w:r>
      <w:r>
        <w:rPr>
          <w:i/>
        </w:rPr>
        <w:t xml:space="preserve">Le Temps</w:t>
      </w:r>
      <w:r>
        <w:t xml:space="preserve"> and Lansburgh did — the difference is only frequency and access, not method. A full write-up would quote the FT/Bloomberg/</w:t>
      </w:r>
      <w:r>
        <w:rPr>
          <w:i/>
        </w:rPr>
        <w:t xml:space="preserve">Economist</w:t>
      </w:r>
      <w:r>
        <w:t xml:space="preserve"> "what the market is pricing" copy against the price series, the same cause-vs-cover check used throughout.</w:t>
      </w:r>
    </w:p>
    <w:p>
      <w:pPr>
        <w:pStyle w:val="Heading3"/>
      </w:pPr>
      <w:r>
        <w:t xml:space="preserve">Why it matters for the book</w:t>
      </w:r>
    </w:p>
    <w:p>
      <w:pPr>
        <w:pStyle w:val="ListParagraph"/>
        <w:ind w:left="360" w:hanging="360"/>
      </w:pPr>
      <w:r>
        <w:t xml:space="preserve">•  </w:t>
      </w:r>
      <w:r>
        <w:t xml:space="preserve">It shows the framework </w:t>
      </w:r>
      <w:r>
        <w:rPr>
          <w:b/>
        </w:rPr>
        <w:t xml:space="preserve">scales from Fraktur OCR to real-time FRED</w:t>
      </w:r>
      <w:r>
        <w:t xml:space="preserve"> without changing the four</w:t>
      </w:r>
    </w:p>
    <w:p>
      <w:r>
        <w:t xml:space="preserve">  tests — the strongest possible evidence that the method is about </w:t>
      </w:r>
      <w:r>
        <w:rPr>
          <w:i/>
        </w:rPr>
        <w:t xml:space="preserve">structure</w:t>
      </w:r>
      <w:r>
        <w:t xml:space="preserve">, not a period.</w:t>
      </w:r>
    </w:p>
    <w:p>
      <w:pPr>
        <w:pStyle w:val="ListParagraph"/>
        <w:ind w:left="360" w:hanging="360"/>
      </w:pPr>
      <w:r>
        <w:t xml:space="preserve">•  </w:t>
      </w:r>
      <w:r>
        <w:t xml:space="preserve">It supplies a </w:t>
      </w:r>
      <w:r>
        <w:rPr>
          <w:b/>
        </w:rPr>
        <w:t xml:space="preserve">live discrimination result</w:t>
      </w:r>
      <w:r>
        <w:t xml:space="preserve">: even a war this large was priced by the West as a</w:t>
      </w:r>
    </w:p>
    <w:p>
      <w:r>
        <w:t xml:space="preserve">  </w:t>
      </w:r>
      <w:r>
        <w:rPr>
          <w:i/>
        </w:rPr>
        <w:t xml:space="preserve">commodity shock</w:t>
      </w:r>
      <w:r>
        <w:t xml:space="preserve">, not a systemic threat — the pre-1914 "general-war-only" finding, replayed.</w:t>
      </w:r>
    </w:p>
    <w:p>
      <w:pPr>
        <w:pStyle w:val="ListParagraph"/>
        <w:ind w:left="360" w:hanging="360"/>
      </w:pPr>
      <w:r>
        <w:t xml:space="preserve">•  </w:t>
      </w:r>
      <w:r>
        <w:t xml:space="preserve">It anchors the </w:t>
      </w:r>
      <w:r>
        <w:rPr>
          <w:b/>
        </w:rPr>
        <w:t xml:space="preserve">finance-as-weapon</w:t>
      </w:r>
      <w:r>
        <w:t xml:space="preserve"> extension (the face Kirshner's dove frame does not contain)</w:t>
      </w:r>
    </w:p>
    <w:p>
      <w:r>
        <w:t xml:space="preserve">  in an unambiguous modern case, so the taxonomy is not a period curiosity.</w:t>
      </w:r>
    </w:p>
    <w:p>
      <w:pPr>
        <w:pStyle w:val="Heading3"/>
      </w:pPr>
      <w:r>
        <w:t xml:space="preserve">Reproduce</w:t>
      </w:r>
    </w:p>
    <w:p>
      <w:pPr>
        <w:pStyle w:val="Code"/>
      </w:pPr>
      <w:r>
        <w:rPr>
          <w:rFonts w:ascii="Consolas" w:hAnsi="Consolas"/>
          <w:sz w:val="18"/>
        </w:rPr>
        <w:t xml:space="preserve">for ID in SP500 VIXCLS DCOILBRENTEU DGS10 DTWEXBGS; do</w:t>
      </w:r>
    </w:p>
    <w:p>
      <w:pPr>
        <w:pStyle w:val="Code"/>
      </w:pPr>
      <w:r>
        <w:rPr>
          <w:rFonts w:ascii="Consolas" w:hAnsi="Consolas"/>
          <w:sz w:val="18"/>
        </w:rPr>
        <w:t xml:space="preserve">  curl -sS "https://fred.stlouisfed.org/graph/fredgraph.csv?id=$ID&amp;cosd=2022-01-03&amp;coed=2022-06-30" -o fred_$ID.csv</w:t>
      </w:r>
    </w:p>
    <w:p>
      <w:pPr>
        <w:pStyle w:val="Code"/>
      </w:pPr>
      <w:r>
        <w:rPr>
          <w:rFonts w:ascii="Consolas" w:hAnsi="Consolas"/>
          <w:sz w:val="18"/>
        </w:rPr>
        <w:t xml:space="preserve">done</w:t>
      </w:r>
    </w:p>
    <w:p>
      <w:pPr>
        <w:pStyle w:val="Code"/>
      </w:pPr>
      <w:r>
        <w:rPr>
          <w:rFonts w:ascii="Consolas" w:hAnsi="Consolas"/>
          <w:sz w:val="18"/>
        </w:rPr>
        <w:t xml:space="preserve">## invasion: 24 Feb 2022. Index S&amp;P and Brent to the 23 Feb eve to see the divergence.</w:t>
      </w:r>
    </w:p>
    <w:p>
      <w:r>
        <w:rPr>
          <w:i/>
        </w:rPr>
        <w:t xml:space="preserve">Caveats: charted series are FRED daily (reproducible). Russian-side figures (ruble low, MOEX closure dates, reserve-freeze size, default date) are from the contemporary record and flagged [VERIFY] against primary/official sources before publication. The June equity low was Fed-driven, not the war — do not attribute it to Ukraine.</w:t>
      </w:r>
    </w:p>
    <w:p>
      <w:pPr>
        <w:pStyle w:val="Heading2"/>
        <w:pageBreakBefore/>
      </w:pPr>
      <w:r>
        <w:t xml:space="preserve">Iran, 2025–26 — the Prediction-Market Era</w:t>
      </w:r>
    </w:p>
    <w:p>
      <w:r>
        <w:t xml:space="preserve">Two developments the framework did not have before, both live in 2026:</w:t>
      </w:r>
    </w:p>
    <w:p>
      <w:pPr>
        <w:pStyle w:val="ListParagraph"/>
        <w:ind w:left="360" w:hanging="360"/>
      </w:pPr>
      <w:r>
        <w:t xml:space="preserve">1.  </w:t>
      </w:r>
      <w:r>
        <w:rPr>
          <w:b/>
        </w:rPr>
        <w:t xml:space="preserve">The Hormuz tail *materialized</w:t>
      </w:r>
      <w:r>
        <w:t xml:space="preserve">* — where June 2025 only threatened it. This is the natural</w:t>
      </w:r>
    </w:p>
    <w:p>
      <w:r>
        <w:t xml:space="preserve">   experiment the framework predicted: a </w:t>
      </w:r>
      <w:r>
        <w:rPr>
          <w:i/>
        </w:rPr>
        <w:t xml:space="preserve">threat</w:t>
      </w:r>
      <w:r>
        <w:t xml:space="preserve"> vs an </w:t>
      </w:r>
      <w:r>
        <w:rPr>
          <w:i/>
        </w:rPr>
        <w:t xml:space="preserve">actual closure</w:t>
      </w:r>
      <w:r>
        <w:t xml:space="preserve"> should look completely    different in the oil price, and they do.</w:t>
      </w:r>
    </w:p>
    <w:p>
      <w:pPr>
        <w:pStyle w:val="ListParagraph"/>
        <w:ind w:left="360" w:hanging="360"/>
      </w:pPr>
      <w:r>
        <w:t xml:space="preserve">2.  </w:t>
      </w:r>
      <w:r>
        <w:rPr>
          <w:b/>
        </w:rPr>
        <w:t xml:space="preserve">Prediction markets now quantify the *anticipation* channel</w:t>
      </w:r>
      <w:r>
        <w:t xml:space="preserve"> — the probability of the</w:t>
      </w:r>
    </w:p>
    <w:p>
      <w:r>
        <w:t xml:space="preserve">   political-military decision that asset prices historically could not cleanly reveal. This is a    genuine methodological change to how war risk is priced, and it maps precisely onto the book's    anticipation-vs-resolution distinction.</w:t>
      </w:r>
    </w:p>
    <w:p>
      <w:pPr>
        <w:pStyle w:val="Heading3"/>
      </w:pPr>
      <w:r>
        <w:t xml:space="preserve">What happened (2026)</w:t>
      </w:r>
    </w:p>
    <w:p>
      <w:r>
        <w:t xml:space="preserve">A US–Israel–Iran war erupted in </w:t>
      </w:r>
      <w:r>
        <w:rPr>
          <w:b/>
        </w:rPr>
        <w:t xml:space="preserve">late February 2026</w:t>
      </w:r>
      <w:r>
        <w:t xml:space="preserve">; the </w:t>
      </w:r>
      <w:r>
        <w:rPr>
          <w:b/>
        </w:rPr>
        <w:t xml:space="preserve">Strait of Hormuz was virtually shut</w:t>
      </w:r>
      <w:r>
        <w:t xml:space="preserve"> (~8 million bbl/day removed). Oil surged </w:t>
      </w:r>
      <w:r>
        <w:rPr>
          <w:b/>
        </w:rPr>
        <w:t xml:space="preserve">~52% in March</w:t>
      </w:r>
      <w:r>
        <w:t xml:space="preserve"> — WTI to a </w:t>
      </w:r>
      <w:r>
        <w:rPr>
          <w:b/>
        </w:rPr>
        <w:t xml:space="preserve">$114 peak</w:t>
      </w:r>
      <w:r>
        <w:t xml:space="preserve"> (Brent ~$113) — and, crucially, </w:t>
      </w:r>
      <w:r>
        <w:rPr>
          <w:b/>
        </w:rPr>
        <w:t xml:space="preserve">held above $100 through April–May</w:t>
      </w:r>
      <w:r>
        <w:t xml:space="preserve">, not the days-long spike-and-collapse of June 2025.</w:t>
      </w:r>
    </w:p>
    <w:p>
      <w:r>
        <w:rPr>
          <w:b/>
        </w:rPr>
        <w:t xml:space="preserve">Status as of August 2026 — live and unresolved.</w:t>
      </w:r>
      <w:r>
        <w:t xml:space="preserve"> This is the </w:t>
      </w:r>
      <w:r>
        <w:rPr>
          <w:i/>
        </w:rPr>
        <w:t xml:space="preserve">one case in the whole arc that is not closed.</w:t>
      </w:r>
      <w:r>
        <w:t xml:space="preserve"> A ceasefire around late June brought WTI back to ~$70, but it is </w:t>
      </w:r>
      <w:r>
        <w:rPr>
          <w:b/>
        </w:rPr>
        <w:t xml:space="preserve">fragile and repeatedly violated</w:t>
      </w:r>
      <w:r>
        <w:t xml:space="preserve"> — a cargo ship attacked near Oman in the Strait, drone attacks, ceasefire-end fears — and oil has </w:t>
      </w:r>
      <w:r>
        <w:rPr>
          <w:b/>
        </w:rPr>
        <w:t xml:space="preserve">re-elevated to ~$75–82</w:t>
      </w:r>
      <w:r>
        <w:t xml:space="preserve"> (Brent ~$79) through early August, still well above the </w:t>
      </w:r>
      <w:r>
        <w:rPr>
          <w:b/>
        </w:rPr>
        <w:t xml:space="preserve">$57</w:t>
      </w:r>
      <w:r>
        <w:t xml:space="preserve"> January base. The situation is </w:t>
      </w:r>
      <w:r>
        <w:rPr>
          <w:b/>
        </w:rPr>
        <w:t xml:space="preserve">oscillating</w:t>
      </w:r>
      <w:r>
        <w:t xml:space="preserve">, not settled: each violation pushes oil up, each de-escalation pulls it back. Everything below is therefore a </w:t>
      </w:r>
      <w:r>
        <w:rPr>
          <w:i/>
        </w:rPr>
        <w:t xml:space="preserve">real-time</w:t>
      </w:r>
      <w:r>
        <w:t xml:space="preserve"> application, not a post-mortem — and that is the hardest test the framework faces.</w:t>
      </w:r>
    </w:p>
    <w:p>
      <w:pPr>
        <w:pStyle w:val="ListParagraph"/>
        <w:ind w:left="360" w:hanging="360"/>
      </w:pPr>
      <w:r>
        <w:t xml:space="preserve">•  </w:t>
      </w:r>
      <w:r>
        <w:rPr>
          <w:b/>
        </w:rPr>
        <w:t xml:space="preserve">The size and *duration* discriminated threat from reality.</w:t>
      </w:r>
      <w:r>
        <w:t xml:space="preserve"> June 2025 (Hormuz threatened, strait</w:t>
      </w:r>
    </w:p>
    <w:p>
      <w:r>
        <w:t xml:space="preserve">  open): oil spiked +10% and unwound </w:t>
      </w:r>
      <w:r>
        <w:rPr>
          <w:i/>
        </w:rPr>
        <w:t xml:space="preserve">below</w:t>
      </w:r>
      <w:r>
        <w:t xml:space="preserve"> pre-crisis within days. 2026 (Hormuz actually closed):   oil +100% and sustained for two months. </w:t>
      </w:r>
      <w:r>
        <w:rPr>
          <w:b/>
        </w:rPr>
        <w:t xml:space="preserve">The same instrument, two magnitudes — because the tail   was real this time.</w:t>
      </w:r>
      <w:r>
        <w:t xml:space="preserve"> That is the discrimination test operating on the </w:t>
      </w:r>
      <w:r>
        <w:rPr>
          <w:i/>
        </w:rPr>
        <w:t xml:space="preserve">oil</w:t>
      </w:r>
      <w:r>
        <w:t xml:space="preserve"> rung, in real time.</w:t>
      </w:r>
    </w:p>
    <w:p>
      <w:pPr>
        <w:pStyle w:val="ListParagraph"/>
        <w:ind w:left="360" w:hanging="360"/>
      </w:pPr>
      <w:r>
        <w:t xml:space="preserve">•  </w:t>
      </w:r>
      <w:r>
        <w:rPr>
          <w:b/>
        </w:rPr>
        <w:t xml:space="preserve">Equities discriminated too.</w:t>
      </w:r>
      <w:r>
        <w:t xml:space="preserve"> The S&amp;P </w:t>
      </w:r>
      <w:r>
        <w:rPr>
          <w:i/>
        </w:rPr>
        <w:t xml:space="preserve">dipped</w:t>
      </w:r>
      <w:r>
        <w:t xml:space="preserve"> to ~6575 in April but **recovered to new highs</w:t>
      </w:r>
    </w:p>
    <w:p>
      <w:r>
        <w:t xml:space="preserve">  (~7600) by June</w:t>
      </w:r>
      <w:r>
        <w:rPr>
          <w:b/>
        </w:rPr>
        <w:t xml:space="preserve">, even with a Middle East war and Hormuz shut — priced as an </w:t>
      </w:r>
      <w:r>
        <w:t xml:space="preserve">energy/localized**   shock, not a systemic equity event. The 2022 finding, replayed.</w:t>
      </w:r>
    </w:p>
    <w:p>
      <w:r>
        <w:t xml:space="preserve">Chart: </w:t>
      </w:r>
      <w:r>
        <w:rPr>
          <w:rFonts w:ascii="Consolas" w:hAnsi="Consolas"/>
          <w:sz w:val="18"/>
        </w:rPr>
        <w:t xml:space="preserve">war_premia/results/iran_2026_oil_and_odds.svg</w:t>
      </w:r>
      <w:r>
        <w:t xml:space="preserve">. Data: </w:t>
      </w:r>
      <w:r>
        <w:rPr>
          <w:rFonts w:ascii="Consolas" w:hAnsi="Consolas"/>
          <w:sz w:val="18"/>
        </w:rPr>
        <w:t xml:space="preserve">war_premia/data/iran_2026.csv</w:t>
      </w:r>
      <w:r>
        <w:t xml:space="preserve">.</w:t>
      </w:r>
    </w:p>
    <w:p>
      <w:pPr>
        <w:pStyle w:val="Heading3"/>
      </w:pPr>
      <w:r>
        <w:t xml:space="preserve">Prediction markets — the anticipation channel made observable</w:t>
      </w:r>
    </w:p>
    <w:p>
      <w:r>
        <w:t xml:space="preserve">This is the new thing, and it is important for the book. Historically the market's </w:t>
      </w:r>
      <w:r>
        <w:rPr>
          <w:b/>
        </w:rPr>
        <w:t xml:space="preserve">weak channel</w:t>
      </w:r>
      <w:r>
        <w:t xml:space="preserve"> was anticipation — you could never cleanly read </w:t>
      </w:r>
      <w:r>
        <w:rPr>
          <w:i/>
        </w:rPr>
        <w:t xml:space="preserve">"will they go to war?"</w:t>
      </w:r>
      <w:r>
        <w:t xml:space="preserve"> off an asset price, because oil blends the </w:t>
      </w:r>
      <w:r>
        <w:rPr>
          <w:i/>
        </w:rPr>
        <w:t xml:space="preserve">probability</w:t>
      </w:r>
      <w:r>
        <w:t xml:space="preserve"> of disruption with its </w:t>
      </w:r>
      <w:r>
        <w:rPr>
          <w:i/>
        </w:rPr>
        <w:t xml:space="preserve">size</w:t>
      </w:r>
      <w:r>
        <w:t xml:space="preserve">, and equities blend war with the cycle. In 2026, prediction markets price the </w:t>
      </w:r>
      <w:r>
        <w:rPr>
          <w:b/>
        </w:rPr>
        <w:t xml:space="preserve">decision itself</w:t>
      </w:r>
      <w:r>
        <w:t xml:space="preserve">, in the open, with real money:</w:t>
      </w:r>
    </w:p>
    <w:p>
      <w:pPr>
        <w:pStyle w:val="ListParagraph"/>
        <w:ind w:left="360" w:hanging="360"/>
      </w:pPr>
      <w:r>
        <w:t xml:space="preserve">•  </w:t>
      </w:r>
      <w:r>
        <w:rPr>
          <w:b/>
        </w:rPr>
        <w:t xml:space="preserve">Polymarket:</w:t>
      </w:r>
      <w:r>
        <w:t xml:space="preserve"> </w:t>
      </w:r>
      <w:r>
        <w:rPr>
          <w:i/>
        </w:rPr>
        <w:t xml:space="preserve">US forces enter Iran by 31 Dec</w:t>
      </w:r>
      <w:r>
        <w:t xml:space="preserve"> — </w:t>
      </w:r>
      <w:r>
        <w:rPr>
          <w:b/>
        </w:rPr>
        <w:t xml:space="preserve">~90%</w:t>
      </w:r>
      <w:r>
        <w:t xml:space="preserve"> ($115M); </w:t>
      </w:r>
      <w:r>
        <w:rPr>
          <w:b/>
        </w:rPr>
        <w:t xml:space="preserve">Iran invasion — 36%</w:t>
      </w:r>
      <w:r>
        <w:t xml:space="preserve"> the</w:t>
      </w:r>
    </w:p>
    <w:p>
      <w:r>
        <w:t xml:space="preserve">  day Iran fully closed Hormuz (18 Apr); </w:t>
      </w:r>
      <w:r>
        <w:rPr>
          <w:b/>
        </w:rPr>
        <w:t xml:space="preserve">Kharg Island</w:t>
      </w:r>
      <w:r>
        <w:t xml:space="preserve"> (Iran's main oil terminal) </w:t>
      </w:r>
      <w:r>
        <w:rPr>
          <w:b/>
        </w:rPr>
        <w:t xml:space="preserve">31%</w:t>
      </w:r>
      <w:r>
        <w:t xml:space="preserve"> to fall   by 30 June ($12M).</w:t>
      </w:r>
    </w:p>
    <w:p>
      <w:pPr>
        <w:pStyle w:val="ListParagraph"/>
        <w:ind w:left="360" w:hanging="360"/>
      </w:pPr>
      <w:r>
        <w:t xml:space="preserve">•  </w:t>
      </w:r>
      <w:r>
        <w:rPr>
          <w:b/>
        </w:rPr>
        <w:t xml:space="preserve">Kalshi:</w:t>
      </w:r>
      <w:r>
        <w:t xml:space="preserve"> </w:t>
      </w:r>
      <w:r>
        <w:rPr>
          <w:i/>
        </w:rPr>
        <w:t xml:space="preserve">normal Hormuz traffic by 1 Sep</w:t>
      </w:r>
      <w:r>
        <w:t xml:space="preserve"> — </w:t>
      </w:r>
      <w:r>
        <w:rPr>
          <w:b/>
        </w:rPr>
        <w:t xml:space="preserve">~46%</w:t>
      </w:r>
      <w:r>
        <w:t xml:space="preserve"> ($19.7M); a separate "closed 7+ days"</w:t>
      </w:r>
    </w:p>
    <w:p>
      <w:r>
        <w:t xml:space="preserve">  market ~$7.3M.</w:t>
      </w:r>
    </w:p>
    <w:p>
      <w:r>
        <w:t xml:space="preserve">And they </w:t>
      </w:r>
      <w:r>
        <w:rPr>
          <w:b/>
        </w:rPr>
        <w:t xml:space="preserve">feed back into oil pricing</w:t>
      </w:r>
      <w:r>
        <w:t xml:space="preserve">: contemporaneous reporting is explicit that </w:t>
      </w:r>
      <w:r>
        <w:rPr>
          <w:i/>
        </w:rPr>
        <w:t xml:space="preserve">"prediction markets price in Hormuz reopening after the US strike pause, signaling lower oil prices"</w:t>
      </w:r>
      <w:r>
        <w:t xml:space="preserve"> — the </w:t>
      </w:r>
      <w:r>
        <w:rPr>
          <w:b/>
        </w:rPr>
        <w:t xml:space="preserve">odds moved first, and oil followed.</w:t>
      </w:r>
      <w:r>
        <w:t xml:space="preserve"> For the first time you can </w:t>
      </w:r>
      <w:r>
        <w:rPr>
          <w:b/>
        </w:rPr>
        <w:t xml:space="preserve">decompose the oil price</w:t>
      </w:r>
      <w:r>
        <w:t xml:space="preserve">:</w:t>
      </w:r>
    </w:p>
    <w:p>
      <w:pPr>
        <w:pStyle w:val="Quote"/>
      </w:pPr>
      <w:r>
        <w:t xml:space="preserve">oil war-premium ≈ </w:t>
      </w:r>
      <w:r>
        <w:rPr>
          <w:b/>
        </w:rPr>
        <w:t xml:space="preserve">P(disruption)</w:t>
      </w:r>
      <w:r>
        <w:t xml:space="preserve"> — read off Polymarket/Kalshi — </w:t>
      </w:r>
      <w:r>
        <w:rPr>
          <w:b/>
        </w:rPr>
        <w:t xml:space="preserve">× size of disruption</w:t>
      </w:r>
      <w:r>
        <w:t xml:space="preserve"> — read off the oil futures curve.</w:t>
      </w:r>
    </w:p>
    <w:p>
      <w:r>
        <w:t xml:space="preserve">The pre-1914 economist (and the 1991 or even 2022 one) had only the product; the 2026 one can see the two factors separately, and watch them move.</w:t>
      </w:r>
    </w:p>
    <w:p>
      <w:pPr>
        <w:pStyle w:val="Heading3"/>
      </w:pPr>
      <w:r>
        <w:t xml:space="preserve">The framework's own tests, applied to prediction markets</w:t>
      </w:r>
    </w:p>
    <w:p>
      <w:r>
        <w:t xml:space="preserve">Turning the book's lenses on this new instrument:</w:t>
      </w:r>
    </w:p>
    <w:p>
      <w:pPr>
        <w:pStyle w:val="ListParagraph"/>
        <w:ind w:left="360" w:hanging="360"/>
      </w:pPr>
      <w:r>
        <w:t xml:space="preserve">•  </w:t>
      </w:r>
      <w:r>
        <w:rPr>
          <w:b/>
        </w:rPr>
        <w:t xml:space="preserve">Discrimination, but finer-grained.</w:t>
      </w:r>
      <w:r>
        <w:t xml:space="preserve"> Prediction markets discriminate </w:t>
      </w:r>
      <w:r>
        <w:rPr>
          <w:i/>
        </w:rPr>
        <w:t xml:space="preserve">among sub-scenarios</w:t>
      </w:r>
      <w:r>
        <w:t xml:space="preserve"> the</w:t>
      </w:r>
    </w:p>
    <w:p>
      <w:r>
        <w:t xml:space="preserve">  blunt oil price cannot — US entry vs invasion vs Hormuz-days vs Kharg falling. They price the   </w:t>
      </w:r>
      <w:r>
        <w:rPr>
          <w:i/>
        </w:rPr>
        <w:t xml:space="preserve">structure</w:t>
      </w:r>
      <w:r>
        <w:t xml:space="preserve"> of the risk, not just its magnitude.</w:t>
      </w:r>
    </w:p>
    <w:p>
      <w:pPr>
        <w:pStyle w:val="ListParagraph"/>
        <w:ind w:left="360" w:hanging="360"/>
      </w:pPr>
      <w:r>
        <w:t xml:space="preserve">•  </w:t>
      </w:r>
      <w:r>
        <w:rPr>
          <w:b/>
        </w:rPr>
        <w:t xml:space="preserve">Do they also cry wolf?</w:t>
      </w:r>
      <w:r>
        <w:t xml:space="preserve"> The open question. Early 2026 evidence is that they were reasonably</w:t>
      </w:r>
    </w:p>
    <w:p>
      <w:r>
        <w:t xml:space="preserve">  </w:t>
      </w:r>
      <w:r>
        <w:rPr>
          <w:b/>
        </w:rPr>
        <w:t xml:space="preserve">calibrated and fast</w:t>
      </w:r>
      <w:r>
        <w:t xml:space="preserve"> (the invasion odds rose as Hormuz closed; the reopening odds rose on the   strike pause, leading oil). But they are </w:t>
      </w:r>
      <w:r>
        <w:rPr>
          <w:b/>
        </w:rPr>
        <w:t xml:space="preserve">thin and manipulable</w:t>
      </w:r>
      <w:r>
        <w:t xml:space="preserve"> (Polymarket's known manipulation   episodes), so the "cried wolf" discipline now applies to the </w:t>
      </w:r>
      <w:r>
        <w:rPr>
          <w:i/>
        </w:rPr>
        <w:t xml:space="preserve">prediction</w:t>
      </w:r>
      <w:r>
        <w:t xml:space="preserve"> market too: a moving odds   line is not proof, and a large bet can be a signal or a spoof.</w:t>
      </w:r>
    </w:p>
    <w:p>
      <w:pPr>
        <w:pStyle w:val="ListParagraph"/>
        <w:ind w:left="360" w:hanging="360"/>
      </w:pPr>
      <w:r>
        <w:t xml:space="preserve">•  </w:t>
      </w:r>
      <w:r>
        <w:rPr>
          <w:b/>
        </w:rPr>
        <w:t xml:space="preserve">Resolution still dominates.</w:t>
      </w:r>
      <w:r>
        <w:t xml:space="preserve"> Even with prediction markets, the cleanest, most accurate repricing</w:t>
      </w:r>
    </w:p>
    <w:p>
      <w:r>
        <w:t xml:space="preserve">  is at the </w:t>
      </w:r>
      <w:r>
        <w:rPr>
          <w:b/>
        </w:rPr>
        <w:t xml:space="preserve">decision point</w:t>
      </w:r>
      <w:r>
        <w:t xml:space="preserve"> (Hormuz actually closing; the strike pause). Prediction markets improve   the </w:t>
      </w:r>
      <w:r>
        <w:rPr>
          <w:i/>
        </w:rPr>
        <w:t xml:space="preserve">anticipation</w:t>
      </w:r>
      <w:r>
        <w:t xml:space="preserve"> read; they do not overturn the finding that markets price a </w:t>
      </w:r>
      <w:r>
        <w:rPr>
          <w:i/>
        </w:rPr>
        <w:t xml:space="preserve">taken</w:t>
      </w:r>
      <w:r>
        <w:t xml:space="preserve"> decision best.</w:t>
      </w:r>
    </w:p>
    <w:p>
      <w:pPr>
        <w:pStyle w:val="ListParagraph"/>
        <w:ind w:left="360" w:hanging="360"/>
      </w:pPr>
      <w:r>
        <w:t xml:space="preserve">•  </w:t>
      </w:r>
      <w:r>
        <w:rPr>
          <w:b/>
        </w:rPr>
        <w:t xml:space="preserve">Reflexivity — the new caution.</w:t>
      </w:r>
      <w:r>
        <w:t xml:space="preserve"> Because oil traders watch the odds and bettors watch oil, there</w:t>
      </w:r>
    </w:p>
    <w:p>
      <w:r>
        <w:t xml:space="preserve">  is a </w:t>
      </w:r>
      <w:r>
        <w:rPr>
          <w:b/>
        </w:rPr>
        <w:t xml:space="preserve">feedback loop</w:t>
      </w:r>
      <w:r>
        <w:t xml:space="preserve"> that did not exist in 1914. It can sharpen price discovery (decision-relevant   information aggregated faster) or amplify noise (a manipulated odds line nudging the oil price).   A live research question, not a settled result.</w:t>
      </w:r>
    </w:p>
    <w:p>
      <w:pPr>
        <w:pStyle w:val="Heading3"/>
      </w:pPr>
      <w:r>
        <w:t xml:space="preserve">Lessons for today (updating the synthesis)</w:t>
      </w:r>
    </w:p>
    <w:p>
      <w:pPr>
        <w:pStyle w:val="ListParagraph"/>
        <w:ind w:left="360" w:hanging="360"/>
      </w:pPr>
      <w:r>
        <w:t xml:space="preserve">•  </w:t>
      </w:r>
      <w:r>
        <w:rPr>
          <w:b/>
        </w:rPr>
        <w:t xml:space="preserve">The anticipation problem is now partly observable.</w:t>
      </w:r>
      <w:r>
        <w:t xml:space="preserve"> The century-old weakness — markets can't</w:t>
      </w:r>
    </w:p>
    <w:p>
      <w:r>
        <w:t xml:space="preserve">  price an undecided decision — is being </w:t>
      </w:r>
      <w:r>
        <w:rPr>
          <w:b/>
        </w:rPr>
        <w:t xml:space="preserve">routed around</w:t>
      </w:r>
      <w:r>
        <w:t xml:space="preserve"> by prediction markets that price the   decision directly. Read them for the </w:t>
      </w:r>
      <w:r>
        <w:rPr>
          <w:i/>
        </w:rPr>
        <w:t xml:space="preserve">probability</w:t>
      </w:r>
      <w:r>
        <w:t xml:space="preserve">, oil for the </w:t>
      </w:r>
      <w:r>
        <w:rPr>
          <w:i/>
        </w:rPr>
        <w:t xml:space="preserve">consequence</w:t>
      </w:r>
      <w:r>
        <w:t xml:space="preserve">.</w:t>
      </w:r>
    </w:p>
    <w:p>
      <w:pPr>
        <w:pStyle w:val="ListParagraph"/>
        <w:ind w:left="360" w:hanging="360"/>
      </w:pPr>
      <w:r>
        <w:t xml:space="preserve">•  </w:t>
      </w:r>
      <w:r>
        <w:rPr>
          <w:b/>
        </w:rPr>
        <w:t xml:space="preserve">But the hierarchy holds.</w:t>
      </w:r>
      <w:r>
        <w:t xml:space="preserve"> Prediction markets are better </w:t>
      </w:r>
      <w:r>
        <w:rPr>
          <w:i/>
        </w:rPr>
        <w:t xml:space="preserve">forecasters</w:t>
      </w:r>
      <w:r>
        <w:t xml:space="preserve"> than oil, yet still noisy</w:t>
      </w:r>
    </w:p>
    <w:p>
      <w:r>
        <w:t xml:space="preserve">  and manipulable; the </w:t>
      </w:r>
      <w:r>
        <w:rPr>
          <w:b/>
        </w:rPr>
        <w:t xml:space="preserve">resolution</w:t>
      </w:r>
      <w:r>
        <w:t xml:space="preserve"> repricing remains the highest-quality signal. Use prediction   markets to watch the anticipation channel, not to trust it.</w:t>
      </w:r>
    </w:p>
    <w:p>
      <w:pPr>
        <w:pStyle w:val="ListParagraph"/>
        <w:ind w:left="360" w:hanging="360"/>
      </w:pPr>
      <w:r>
        <w:t xml:space="preserve">•  </w:t>
      </w:r>
      <w:r>
        <w:rPr>
          <w:b/>
        </w:rPr>
        <w:t xml:space="preserve">For an Iran war specifically:</w:t>
      </w:r>
      <w:r>
        <w:t xml:space="preserve"> the tradeable tail is </w:t>
      </w:r>
      <w:r>
        <w:rPr>
          <w:b/>
        </w:rPr>
        <w:t xml:space="preserve">Hormuz</w:t>
      </w:r>
      <w:r>
        <w:t xml:space="preserve">, and 2026 shows exactly how it</w:t>
      </w:r>
    </w:p>
    <w:p>
      <w:r>
        <w:t xml:space="preserve">  reads — oil holds a large premium </w:t>
      </w:r>
      <w:r>
        <w:rPr>
          <w:i/>
        </w:rPr>
        <w:t xml:space="preserve">only while the strait is actually shut</w:t>
      </w:r>
      <w:r>
        <w:t xml:space="preserve">, and both the odds and   the price unwind on de-escalation, with the </w:t>
      </w:r>
      <w:r>
        <w:rPr>
          <w:b/>
        </w:rPr>
        <w:t xml:space="preserve">odds leading</w:t>
      </w:r>
      <w:r>
        <w:t xml:space="preserve">. A calm oil price still is not a   forecast of peace; but now you can check the Polymarket/Kalshi line to see what the crowd thinks   the </w:t>
      </w:r>
      <w:r>
        <w:rPr>
          <w:i/>
        </w:rPr>
        <w:t xml:space="preserve">decision</w:t>
      </w:r>
      <w:r>
        <w:t xml:space="preserve"> will be.</w:t>
      </w:r>
    </w:p>
    <w:p>
      <w:pPr>
        <w:pStyle w:val="Heading3"/>
      </w:pPr>
      <w:r>
        <w:t xml:space="preserve">Reading it in real time (August 2026) — the discipline the live case demands</w:t>
      </w:r>
    </w:p>
    <w:p>
      <w:r>
        <w:t xml:space="preserve">Because it is unresolved, we are sitting squarely in the market's </w:t>
      </w:r>
      <w:r>
        <w:rPr>
          <w:b/>
        </w:rPr>
        <w:t xml:space="preserve">weak channel — anticipation</w:t>
      </w:r>
      <w:r>
        <w:t xml:space="preserve"> — and the framework's honesty rules bite hardest here:</w:t>
      </w:r>
    </w:p>
    <w:p>
      <w:pPr>
        <w:pStyle w:val="ListParagraph"/>
        <w:ind w:left="360" w:hanging="360"/>
      </w:pPr>
      <w:r>
        <w:t xml:space="preserve">•  </w:t>
      </w:r>
      <w:r>
        <w:rPr>
          <w:b/>
        </w:rPr>
        <w:t xml:space="preserve">Oil at ~$82 is a probability-weighted guess that will be wrong in one direction.</w:t>
      </w:r>
      <w:r>
        <w:t xml:space="preserve"> It embeds the</w:t>
      </w:r>
    </w:p>
    <w:p>
      <w:r>
        <w:t xml:space="preserve">  crowd's odds that the fragile ceasefire holds vs breaks. The framework says do </w:t>
      </w:r>
      <w:r>
        <w:rPr>
          <w:i/>
        </w:rPr>
        <w:t xml:space="preserve">not</w:t>
      </w:r>
      <w:r>
        <w:t xml:space="preserve"> read it as a   forecast — it is the anticipation channel doing the thing it does poorly (oscillating with each   violation), and it will look either too high or too low once the next decision resolves.</w:t>
      </w:r>
    </w:p>
    <w:p>
      <w:pPr>
        <w:pStyle w:val="ListParagraph"/>
        <w:ind w:left="360" w:hanging="360"/>
      </w:pPr>
      <w:r>
        <w:t xml:space="preserve">•  </w:t>
      </w:r>
      <w:r>
        <w:rPr>
          <w:b/>
        </w:rPr>
        <w:t xml:space="preserve">The informative moments are still the resolutions</w:t>
      </w:r>
      <w:r>
        <w:t xml:space="preserve">, not today's level: an </w:t>
      </w:r>
      <w:r>
        <w:rPr>
          <w:i/>
        </w:rPr>
        <w:t xml:space="preserve">actual</w:t>
      </w:r>
      <w:r>
        <w:t xml:space="preserve"> Hormuz</w:t>
      </w:r>
    </w:p>
    <w:p>
      <w:r>
        <w:t xml:space="preserve">  closure, or a </w:t>
      </w:r>
      <w:r>
        <w:rPr>
          <w:i/>
        </w:rPr>
        <w:t xml:space="preserve">genuine</w:t>
      </w:r>
      <w:r>
        <w:t xml:space="preserve"> durable ceasefire, will reprice oil fast and correctly — as the strait's   closure did in March and the pause did in June. Watch the events, not the ambient price.</w:t>
      </w:r>
    </w:p>
    <w:p>
      <w:pPr>
        <w:pStyle w:val="ListParagraph"/>
        <w:ind w:left="360" w:hanging="360"/>
      </w:pPr>
      <w:r>
        <w:t xml:space="preserve">•  </w:t>
      </w:r>
      <w:r>
        <w:rPr>
          <w:b/>
        </w:rPr>
        <w:t xml:space="preserve">The prediction markets say the crowd thinks it isn't over</w:t>
      </w:r>
      <w:r>
        <w:t xml:space="preserve"> (US entry by 31 Dec still ~90%;</w:t>
      </w:r>
    </w:p>
    <w:p>
      <w:r>
        <w:t xml:space="preserve">  Hormuz normal by 1 Sep only ~46%) — the anticipation read, now observable, but </w:t>
      </w:r>
      <w:r>
        <w:rPr>
          <w:i/>
        </w:rPr>
        <w:t xml:space="preserve">thin and   manipulable</w:t>
      </w:r>
      <w:r>
        <w:t xml:space="preserve">, so a lead indicator to watch, not to trust.</w:t>
      </w:r>
    </w:p>
    <w:p>
      <w:pPr>
        <w:pStyle w:val="ListParagraph"/>
        <w:ind w:left="360" w:hanging="360"/>
      </w:pPr>
      <w:r>
        <w:t xml:space="preserve">•  </w:t>
      </w:r>
      <w:r>
        <w:rPr>
          <w:b/>
        </w:rPr>
        <w:t xml:space="preserve">The one thing we can state with confidence is the structure, not the outcome:</w:t>
      </w:r>
      <w:r>
        <w:t xml:space="preserve"> the tail is</w:t>
      </w:r>
    </w:p>
    <w:p>
      <w:r>
        <w:t xml:space="preserve">  Hormuz; it is </w:t>
      </w:r>
      <w:r>
        <w:rPr>
          <w:i/>
        </w:rPr>
        <w:t xml:space="preserve">survivable and collectable</w:t>
      </w:r>
      <w:r>
        <w:t xml:space="preserve">, so the market </w:t>
      </w:r>
      <w:r>
        <w:rPr>
          <w:i/>
        </w:rPr>
        <w:t xml:space="preserve">can</w:t>
      </w:r>
      <w:r>
        <w:t xml:space="preserve"> price it; and it will hold a large   premium </w:t>
      </w:r>
      <w:r>
        <w:rPr>
          <w:b/>
        </w:rPr>
        <w:t xml:space="preserve">only while the strait is actually shut.</w:t>
      </w:r>
      <w:r>
        <w:t xml:space="preserve"> How it ends is unknown — and the discipline is   to say so, not to dress an anticipation guess as a forecast.</w:t>
      </w:r>
    </w:p>
    <w:p>
      <w:pPr>
        <w:pStyle w:val="Heading3"/>
      </w:pPr>
      <w:r>
        <w:t xml:space="preserve">Reproduce / sources</w:t>
      </w:r>
    </w:p>
    <w:p>
      <w:pPr>
        <w:pStyle w:val="Code"/>
      </w:pPr>
      <w:r>
        <w:rPr>
          <w:rFonts w:ascii="Consolas" w:hAnsi="Consolas"/>
          <w:sz w:val="18"/>
        </w:rPr>
        <w:t xml:space="preserve">curl -sS "https://fred.stlouisfed.org/graph/fredgraph.csv?id=DCOILWTICO&amp;cosd=2026-01-01&amp;coed=2026-08-08"</w:t>
      </w:r>
    </w:p>
    <w:p>
      <w:pPr>
        <w:pStyle w:val="Code"/>
      </w:pPr>
      <w:r>
        <w:rPr>
          <w:rFonts w:ascii="Consolas" w:hAnsi="Consolas"/>
          <w:sz w:val="18"/>
        </w:rPr>
        <w:t xml:space="preserve">curl -sS "https://fred.stlouisfed.org/graph/fredgraph.csv?id=SP500&amp;cosd=2026-01-01&amp;coed=2026-08-08"</w:t>
      </w:r>
    </w:p>
    <w:p>
      <w:r>
        <w:rPr>
          <w:b/>
        </w:rPr>
        <w:t xml:space="preserve">Sources (verify before publication):</w:t>
      </w:r>
      <w:r>
        <w:t xml:space="preserve"> Al Jazeera and Bloomberg on the 2026 Hormuz crisis; </w:t>
      </w:r>
      <w:r>
        <w:rPr>
          <w:i/>
        </w:rPr>
        <w:t xml:space="preserve">Bitcoin.com News</w:t>
      </w:r>
      <w:r>
        <w:t xml:space="preserve"> ("Kalshi and Polymarket Iran Predictions: $200M+ Bet…"), </w:t>
      </w:r>
      <w:r>
        <w:rPr>
          <w:i/>
        </w:rPr>
        <w:t xml:space="preserve">Seeking Alpha</w:t>
      </w:r>
      <w:r>
        <w:t xml:space="preserve"> ("Odds of Hormuz traffic returning to normal pop as Trump halts strikes"), </w:t>
      </w:r>
      <w:r>
        <w:rPr>
          <w:i/>
        </w:rPr>
        <w:t xml:space="preserve">Frontierbeat</w:t>
      </w:r>
      <w:r>
        <w:t xml:space="preserve"> (Polymarket invasion odds 36%). Prediction-market figures are point-in-time and move fast — cite with dates. FRED oil/S&amp;P series are reproducible.</w:t>
      </w:r>
    </w:p>
    <w:p>
      <w:pPr>
        <w:pStyle w:val="Heading2"/>
        <w:pageBreakBefore/>
      </w:pPr>
      <w:r>
        <w:t xml:space="preserve">Note on Contemporaneous Sources</w:t>
      </w:r>
    </w:p>
    <w:p>
      <w:r>
        <w:rPr>
          <w:b/>
        </w:rPr>
        <w:t xml:space="preserve">The rule the whole book runs on:</w:t>
      </w:r>
      <w:r>
        <w:t xml:space="preserve"> a price number means nothing until a </w:t>
      </w:r>
      <w:r>
        <w:rPr>
          <w:i/>
        </w:rPr>
        <w:t xml:space="preserve">contemporaneous</w:t>
      </w:r>
      <w:r>
        <w:t xml:space="preserve"> source says what the market was pricing. For the pre-1914 chapters that source is </w:t>
      </w:r>
      <w:r>
        <w:rPr>
          <w:i/>
        </w:rPr>
        <w:t xml:space="preserve">Le Temps</w:t>
      </w:r>
      <w:r>
        <w:t xml:space="preserve">, Lansburgh's </w:t>
      </w:r>
      <w:r>
        <w:rPr>
          <w:i/>
        </w:rPr>
        <w:t xml:space="preserve">Die Bank</w:t>
      </w:r>
      <w:r>
        <w:t xml:space="preserve">, the </w:t>
      </w:r>
      <w:r>
        <w:rPr>
          <w:i/>
        </w:rPr>
        <w:t xml:space="preserve">Neue Freie Presse</w:t>
      </w:r>
      <w:r>
        <w:t xml:space="preserve">, and the </w:t>
      </w:r>
      <w:r>
        <w:rPr>
          <w:i/>
        </w:rPr>
        <w:t xml:space="preserve">Commercial &amp; Financial Chronicle</w:t>
      </w:r>
      <w:r>
        <w:t xml:space="preserve">. The modern cases need the same — a market move is cause-vs-cover ambiguous (was 1990's equity slide the </w:t>
      </w:r>
      <w:r>
        <w:rPr>
          <w:i/>
        </w:rPr>
        <w:t xml:space="preserve">war</w:t>
      </w:r>
      <w:r>
        <w:t xml:space="preserve"> or the </w:t>
      </w:r>
      <w:r>
        <w:rPr>
          <w:i/>
        </w:rPr>
        <w:t xml:space="preserve">recession</w:t>
      </w:r>
      <w:r>
        <w:t xml:space="preserve">?) until a contemporary voice names the driver. This file is the map: for each modern case, the contemporaneous source that names what was priced, with real quotes where secured and precise pointers where still to pull.</w:t>
      </w:r>
    </w:p>
    <w:p>
      <w:pPr>
        <w:pStyle w:val="Heading3"/>
      </w:pPr>
      <w:r>
        <w:t xml:space="preserve">Secured (real contemporaneous / near-contemporaneous source in hand)</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fill="EEEEF6"/>
          </w:tcPr>
          <w:p>
            <w:pPr>
              <w:pStyle w:val="TableCell"/>
            </w:pPr>
            <w:r>
              <w:rPr>
                <w:b/>
              </w:rPr>
              <w:t xml:space="preserve">Case</w:t>
            </w:r>
          </w:p>
        </w:tc>
        <w:tc>
          <w:tcPr>
            <w:tcW w:w="2340" w:type="dxa"/>
            <w:shd w:val="clear" w:fill="EEEEF6"/>
          </w:tcPr>
          <w:p>
            <w:pPr>
              <w:pStyle w:val="TableCell"/>
            </w:pPr>
            <w:r>
              <w:rPr>
                <w:b/>
              </w:rPr>
              <w:t xml:space="preserve">Price fact</w:t>
            </w:r>
          </w:p>
        </w:tc>
        <w:tc>
          <w:tcPr>
            <w:tcW w:w="2340" w:type="dxa"/>
            <w:shd w:val="clear" w:fill="EEEEF6"/>
          </w:tcPr>
          <w:p>
            <w:pPr>
              <w:pStyle w:val="TableCell"/>
            </w:pPr>
            <w:r>
              <w:rPr>
                <w:b/>
              </w:rPr>
              <w:t xml:space="preserve">Contemporaneous attribution</w:t>
            </w:r>
          </w:p>
        </w:tc>
        <w:tc>
          <w:tcPr>
            <w:tcW w:w="2340" w:type="dxa"/>
            <w:shd w:val="clear" w:fill="EEEEF6"/>
          </w:tcPr>
          <w:p>
            <w:pPr>
              <w:pStyle w:val="TableCell"/>
            </w:pPr>
            <w:r>
              <w:rPr>
                <w:b/>
              </w:rPr>
              <w:t xml:space="preserve">Source</w:t>
            </w:r>
          </w:p>
        </w:tc>
      </w:tr>
      <w:tr>
        <w:tc>
          <w:tcPr>
            <w:tcW w:w="2340" w:type="dxa"/>
          </w:tcPr>
          <w:p>
            <w:pPr>
              <w:pStyle w:val="TableCell"/>
            </w:pPr>
            <w:r>
              <w:rPr>
                <w:b/>
              </w:rPr>
              <w:t xml:space="preserve">Gulf War I, 17 Jan 1991</w:t>
            </w:r>
          </w:p>
        </w:tc>
        <w:tc>
          <w:tcPr>
            <w:tcW w:w="2340" w:type="dxa"/>
          </w:tcPr>
          <w:p>
            <w:pPr>
              <w:pStyle w:val="TableCell"/>
            </w:pPr>
            <w:r>
              <w:t xml:space="preserve">Equities +1–8%, oil's largest-ever 1-day fall</w:t>
            </w:r>
          </w:p>
        </w:tc>
        <w:tc>
          <w:tcPr>
            <w:tcW w:w="2340" w:type="dxa"/>
          </w:tcPr>
          <w:p>
            <w:pPr>
              <w:pStyle w:val="TableCell"/>
            </w:pPr>
            <w:r>
              <w:rPr>
                <w:i/>
              </w:rPr>
              <w:t xml:space="preserve">"In response to the outbreak of hostilities in the Gulf, the prices of both equities and bonds rose sharply on 17 January 1991 as news of early successes for the allies encouraged participants back into the market… The largest-ever one day decline in oil prices helped the rallies."</w:t>
            </w:r>
          </w:p>
        </w:tc>
        <w:tc>
          <w:tcPr>
            <w:tcW w:w="2340" w:type="dxa"/>
          </w:tcPr>
          <w:p>
            <w:pPr>
              <w:pStyle w:val="TableCell"/>
            </w:pPr>
            <w:r>
              <w:rPr>
                <w:b/>
              </w:rPr>
              <w:t xml:space="preserve">Bank of England, *Quarterly Bulletin*, Q1 1991</w:t>
            </w:r>
            <w:r>
              <w:t xml:space="preserve"> (1 Mar 1991)</w:t>
            </w:r>
          </w:p>
        </w:tc>
      </w:tr>
      <w:tr>
        <w:tc>
          <w:tcPr>
            <w:tcW w:w="2340" w:type="dxa"/>
          </w:tcPr>
          <w:p>
            <w:pPr>
              <w:pStyle w:val="TableCell"/>
            </w:pPr>
            <w:r>
              <w:rPr>
                <w:b/>
              </w:rPr>
              <w:t xml:space="preserve">Iraq War, Jan–Mar 2003</w:t>
            </w:r>
          </w:p>
        </w:tc>
        <w:tc>
          <w:tcPr>
            <w:tcW w:w="2340" w:type="dxa"/>
          </w:tcPr>
          <w:p>
            <w:pPr>
              <w:pStyle w:val="TableCell"/>
            </w:pPr>
            <w:r>
              <w:t xml:space="preserve">War-risk ↑ → equities ↓, Treasuries ↓, oil ↑</w:t>
            </w:r>
          </w:p>
        </w:tc>
        <w:tc>
          <w:tcPr>
            <w:tcW w:w="2340" w:type="dxa"/>
          </w:tcPr>
          <w:p>
            <w:pPr>
              <w:pStyle w:val="TableCell"/>
            </w:pPr>
            <w:r>
              <w:t xml:space="preserve">A daily "war-risk factor" (heteroskedasticity ID) explains a large share of asset variance in the ten weeks to the invasion; rising war risk </w:t>
            </w:r>
            <w:r>
              <w:rPr>
                <w:b/>
              </w:rPr>
              <w:t xml:space="preserve">raised oil</w:t>
            </w:r>
            <w:r>
              <w:t xml:space="preserve"> and lowered equities</w:t>
            </w:r>
          </w:p>
        </w:tc>
        <w:tc>
          <w:tcPr>
            <w:tcW w:w="2340" w:type="dxa"/>
          </w:tcPr>
          <w:p>
            <w:pPr>
              <w:pStyle w:val="TableCell"/>
            </w:pPr>
            <w:r>
              <w:rPr>
                <w:b/>
              </w:rPr>
              <w:t xml:space="preserve">Sack &amp; Rigobon (2005)</w:t>
            </w:r>
            <w:r>
              <w:t xml:space="preserve">, </w:t>
            </w:r>
            <w:r>
              <w:rPr>
                <w:i/>
              </w:rPr>
              <w:t xml:space="preserve">J. Banking &amp; Finance</w:t>
            </w:r>
            <w:r>
              <w:t xml:space="preserve"> 29(7):1769–1789 / NBER w9609</w:t>
            </w:r>
          </w:p>
        </w:tc>
      </w:tr>
      <w:tr>
        <w:tc>
          <w:tcPr>
            <w:tcW w:w="2340" w:type="dxa"/>
          </w:tcPr>
          <w:p>
            <w:pPr>
              <w:pStyle w:val="TableCell"/>
            </w:pPr>
            <w:r>
              <w:rPr>
                <w:b/>
              </w:rPr>
              <w:t xml:space="preserve">Russia–Ukraine, Feb 2022</w:t>
            </w:r>
          </w:p>
        </w:tc>
        <w:tc>
          <w:tcPr>
            <w:tcW w:w="2340" w:type="dxa"/>
          </w:tcPr>
          <w:p>
            <w:pPr>
              <w:pStyle w:val="TableCell"/>
            </w:pPr>
            <w:r>
              <w:t xml:space="preserve">Equity closed </w:t>
            </w:r>
            <w:r>
              <w:rPr>
                <w:i/>
              </w:rPr>
              <w:t xml:space="preserve">up</w:t>
            </w:r>
            <w:r>
              <w:t xml:space="preserve"> on invasion day; oil &gt; $100</w:t>
            </w:r>
          </w:p>
        </w:tc>
        <w:tc>
          <w:tcPr>
            <w:tcW w:w="2340" w:type="dxa"/>
          </w:tcPr>
          <w:p>
            <w:pPr>
              <w:pStyle w:val="TableCell"/>
            </w:pPr>
            <w:r>
              <w:t xml:space="preserve">Contemporaneous analysis attributes the equity resilience to the invasion being </w:t>
            </w:r>
            <w:r>
              <w:rPr>
                <w:b/>
              </w:rPr>
              <w:t xml:space="preserve">partly "priced in"</w:t>
            </w:r>
            <w:r>
              <w:t xml:space="preserve"> (uncertainty resolved) and the shock going through the </w:t>
            </w:r>
            <w:r>
              <w:rPr>
                <w:b/>
              </w:rPr>
              <w:t xml:space="preserve">energy channel</w:t>
            </w:r>
            <w:r>
              <w:t xml:space="preserve"> (oil past $100 for the first time since 2014)</w:t>
            </w:r>
          </w:p>
        </w:tc>
        <w:tc>
          <w:tcPr>
            <w:tcW w:w="2340" w:type="dxa"/>
          </w:tcPr>
          <w:p>
            <w:pPr>
              <w:pStyle w:val="TableCell"/>
            </w:pPr>
            <w:r>
              <w:rPr>
                <w:b/>
              </w:rPr>
              <w:t xml:space="preserve">St. Louis Fed</w:t>
            </w:r>
            <w:r>
              <w:t xml:space="preserve">, </w:t>
            </w:r>
            <w:r>
              <w:rPr>
                <w:i/>
              </w:rPr>
              <w:t xml:space="preserve">Review</w:t>
            </w:r>
            <w:r>
              <w:t xml:space="preserve"> "Financial Market Reactions to the Russian Invasion of Ukraine" (Oct 2022); FRED oil series; contemporary FT/Reuters/CBS reporting</w:t>
            </w:r>
          </w:p>
        </w:tc>
      </w:tr>
    </w:tbl>
    <w:p>
      <w:r>
        <w:t xml:space="preserve">These three carry the oil-instrument spine of the arc and are already quotable in the manuscript.</w:t>
      </w:r>
    </w:p>
    <w:p>
      <w:pPr>
        <w:pStyle w:val="Heading3"/>
      </w:pPr>
      <w:r>
        <w:t xml:space="preserve">To pull (precise pointers — the contemporaneous voice exists; fetch and quote it)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fill="EEEEF6"/>
          </w:tcPr>
          <w:p>
            <w:pPr>
              <w:pStyle w:val="TableCell"/>
            </w:pPr>
            <w:r>
              <w:rPr>
                <w:b/>
              </w:rPr>
              <w:t xml:space="preserve">Case</w:t>
            </w:r>
          </w:p>
        </w:tc>
        <w:tc>
          <w:tcPr>
            <w:tcW w:w="3120" w:type="dxa"/>
            <w:shd w:val="clear" w:fill="EEEEF6"/>
          </w:tcPr>
          <w:p>
            <w:pPr>
              <w:pStyle w:val="TableCell"/>
            </w:pPr>
            <w:r>
              <w:rPr>
                <w:b/>
              </w:rPr>
              <w:t xml:space="preserve">What to confirm</w:t>
            </w:r>
          </w:p>
        </w:tc>
        <w:tc>
          <w:tcPr>
            <w:tcW w:w="3120" w:type="dxa"/>
            <w:shd w:val="clear" w:fill="EEEEF6"/>
          </w:tcPr>
          <w:p>
            <w:pPr>
              <w:pStyle w:val="TableCell"/>
            </w:pPr>
            <w:r>
              <w:rPr>
                <w:b/>
              </w:rPr>
              <w:t xml:space="preserve">Where to get it</w:t>
            </w:r>
          </w:p>
        </w:tc>
      </w:tr>
      <w:tr>
        <w:tc>
          <w:tcPr>
            <w:tcW w:w="3120" w:type="dxa"/>
          </w:tcPr>
          <w:p>
            <w:pPr>
              <w:pStyle w:val="TableCell"/>
            </w:pPr>
            <w:r>
              <w:rPr>
                <w:b/>
              </w:rPr>
              <w:t xml:space="preserve">Pearl Harbor, Dec 1941</w:t>
            </w:r>
          </w:p>
        </w:tc>
        <w:tc>
          <w:tcPr>
            <w:tcW w:w="3120" w:type="dxa"/>
          </w:tcPr>
          <w:p>
            <w:pPr>
              <w:pStyle w:val="TableCell"/>
            </w:pPr>
            <w:r>
              <w:t xml:space="preserve">The day-one drop named as war-entry; the July freeze </w:t>
            </w:r>
            <w:r>
              <w:rPr>
                <w:i/>
              </w:rPr>
              <w:t xml:space="preserve">not</w:t>
            </w:r>
            <w:r>
              <w:t xml:space="preserve"> discussed as a market event</w:t>
            </w:r>
          </w:p>
        </w:tc>
        <w:tc>
          <w:tcPr>
            <w:tcW w:w="3120" w:type="dxa"/>
          </w:tcPr>
          <w:p>
            <w:pPr>
              <w:pStyle w:val="TableCell"/>
            </w:pPr>
            <w:r>
              <w:rPr>
                <w:i/>
              </w:rPr>
              <w:t xml:space="preserve">NYT</w:t>
            </w:r>
            <w:r>
              <w:t xml:space="preserve"> market page 9 Dec 1941; </w:t>
            </w:r>
            <w:r>
              <w:rPr>
                <w:b/>
              </w:rPr>
              <w:t xml:space="preserve">Commercial &amp; Financial Chronicle</w:t>
            </w:r>
            <w:r>
              <w:t xml:space="preserve"> 13 Dec 1941; </w:t>
            </w:r>
            <w:r>
              <w:rPr>
                <w:i/>
              </w:rPr>
              <w:t xml:space="preserve">Federal Reserve Bulletin</w:t>
            </w:r>
            <w:r>
              <w:t xml:space="preserve"> Jan 1942</w:t>
            </w:r>
          </w:p>
        </w:tc>
      </w:tr>
      <w:tr>
        <w:tc>
          <w:tcPr>
            <w:tcW w:w="3120" w:type="dxa"/>
          </w:tcPr>
          <w:p>
            <w:pPr>
              <w:pStyle w:val="TableCell"/>
            </w:pPr>
            <w:r>
              <w:rPr>
                <w:b/>
              </w:rPr>
              <w:t xml:space="preserve">Berlin Airlift, 1948–49</w:t>
            </w:r>
          </w:p>
        </w:tc>
        <w:tc>
          <w:tcPr>
            <w:tcW w:w="3120" w:type="dxa"/>
          </w:tcPr>
          <w:p>
            <w:pPr>
              <w:pStyle w:val="TableCell"/>
            </w:pPr>
            <w:r>
              <w:t xml:space="preserve">The market attributing the slide to the </w:t>
            </w:r>
            <w:r>
              <w:rPr>
                <w:b/>
              </w:rPr>
              <w:t xml:space="preserve">recession / Truman</w:t>
            </w:r>
            <w:r>
              <w:t xml:space="preserve">, </w:t>
            </w:r>
            <w:r>
              <w:rPr>
                <w:i/>
              </w:rPr>
              <w:t xml:space="preserve">not</w:t>
            </w:r>
            <w:r>
              <w:t xml:space="preserve"> Berlin (the non-attribution is the evidence)</w:t>
            </w:r>
          </w:p>
        </w:tc>
        <w:tc>
          <w:tcPr>
            <w:tcW w:w="3120" w:type="dxa"/>
          </w:tcPr>
          <w:p>
            <w:pPr>
              <w:pStyle w:val="TableCell"/>
            </w:pPr>
            <w:r>
              <w:rPr>
                <w:i/>
              </w:rPr>
              <w:t xml:space="preserve">WSJ</w:t>
            </w:r>
            <w:r>
              <w:t xml:space="preserve">/</w:t>
            </w:r>
            <w:r>
              <w:rPr>
                <w:i/>
              </w:rPr>
              <w:t xml:space="preserve">NYT</w:t>
            </w:r>
            <w:r>
              <w:t xml:space="preserve"> summer 1948 &amp; Nov 1948; </w:t>
            </w:r>
            <w:r>
              <w:rPr>
                <w:i/>
              </w:rPr>
              <w:t xml:space="preserve">Federal Reserve Bulletin</w:t>
            </w:r>
            <w:r>
              <w:t xml:space="preserve"> 1948–49</w:t>
            </w:r>
          </w:p>
        </w:tc>
      </w:tr>
      <w:tr>
        <w:tc>
          <w:tcPr>
            <w:tcW w:w="3120" w:type="dxa"/>
          </w:tcPr>
          <w:p>
            <w:pPr>
              <w:pStyle w:val="TableCell"/>
            </w:pPr>
            <w:r>
              <w:rPr>
                <w:b/>
              </w:rPr>
              <w:t xml:space="preserve">Korea, June 1950</w:t>
            </w:r>
          </w:p>
        </w:tc>
        <w:tc>
          <w:tcPr>
            <w:tcW w:w="3120" w:type="dxa"/>
          </w:tcPr>
          <w:p>
            <w:pPr>
              <w:pStyle w:val="TableCell"/>
            </w:pPr>
            <w:r>
              <w:t xml:space="preserve">"Sharpest break since 1946 </w:t>
            </w:r>
            <w:r>
              <w:rPr>
                <w:b/>
              </w:rPr>
              <w:t xml:space="preserve">on war news</w:t>
            </w:r>
            <w:r>
              <w:t xml:space="preserve">"; then Inchon/China framed as WWIII-risk swings</w:t>
            </w:r>
          </w:p>
        </w:tc>
        <w:tc>
          <w:tcPr>
            <w:tcW w:w="3120" w:type="dxa"/>
          </w:tcPr>
          <w:p>
            <w:pPr>
              <w:pStyle w:val="TableCell"/>
            </w:pPr>
            <w:r>
              <w:rPr>
                <w:i/>
              </w:rPr>
              <w:t xml:space="preserve">NYT</w:t>
            </w:r>
            <w:r>
              <w:t xml:space="preserve">/</w:t>
            </w:r>
            <w:r>
              <w:rPr>
                <w:i/>
              </w:rPr>
              <w:t xml:space="preserve">WSJ</w:t>
            </w:r>
            <w:r>
              <w:t xml:space="preserve"> 27 Jun 1950; </w:t>
            </w:r>
            <w:r>
              <w:rPr>
                <w:b/>
              </w:rPr>
              <w:t xml:space="preserve">C&amp;F Chronicle</w:t>
            </w:r>
            <w:r>
              <w:t xml:space="preserve"> 29 Jun &amp; 6 Jul 1950; </w:t>
            </w:r>
            <w:r>
              <w:rPr>
                <w:i/>
              </w:rPr>
              <w:t xml:space="preserve">Fed Bulletin</w:t>
            </w:r>
            <w:r>
              <w:t xml:space="preserve"> Jul 1950</w:t>
            </w:r>
          </w:p>
        </w:tc>
      </w:tr>
      <w:tr>
        <w:tc>
          <w:tcPr>
            <w:tcW w:w="3120" w:type="dxa"/>
          </w:tcPr>
          <w:p>
            <w:pPr>
              <w:pStyle w:val="TableCell"/>
            </w:pPr>
            <w:r>
              <w:rPr>
                <w:b/>
              </w:rPr>
              <w:t xml:space="preserve">Berlin 1961 / Cuba 1962</w:t>
            </w:r>
          </w:p>
        </w:tc>
        <w:tc>
          <w:tcPr>
            <w:tcW w:w="3120" w:type="dxa"/>
          </w:tcPr>
          <w:p>
            <w:pPr>
              <w:pStyle w:val="TableCell"/>
            </w:pPr>
            <w:r>
              <w:t xml:space="preserve">The calm named at the time (esp. "market steady despite the crisis," Oct 1962)</w:t>
            </w:r>
          </w:p>
        </w:tc>
        <w:tc>
          <w:tcPr>
            <w:tcW w:w="3120" w:type="dxa"/>
          </w:tcPr>
          <w:p>
            <w:pPr>
              <w:pStyle w:val="TableCell"/>
            </w:pPr>
            <w:r>
              <w:rPr>
                <w:i/>
              </w:rPr>
              <w:t xml:space="preserve">WSJ</w:t>
            </w:r>
            <w:r>
              <w:t xml:space="preserve">/</w:t>
            </w:r>
            <w:r>
              <w:rPr>
                <w:i/>
              </w:rPr>
              <w:t xml:space="preserve">NYT</w:t>
            </w:r>
            <w:r>
              <w:t xml:space="preserve"> Oct 1961 &amp; 22–29 Oct 1962</w:t>
            </w:r>
          </w:p>
        </w:tc>
      </w:tr>
      <w:tr>
        <w:tc>
          <w:tcPr>
            <w:tcW w:w="3120" w:type="dxa"/>
          </w:tcPr>
          <w:p>
            <w:pPr>
              <w:pStyle w:val="TableCell"/>
            </w:pPr>
            <w:r>
              <w:rPr>
                <w:b/>
              </w:rPr>
              <w:t xml:space="preserve">Suez, Nov 1956</w:t>
            </w:r>
          </w:p>
        </w:tc>
        <w:tc>
          <w:tcPr>
            <w:tcW w:w="3120" w:type="dxa"/>
          </w:tcPr>
          <w:p>
            <w:pPr>
              <w:pStyle w:val="TableCell"/>
            </w:pPr>
            <w:r>
              <w:t xml:space="preserve">Sterling run + IMF denial as the </w:t>
            </w:r>
            <w:r>
              <w:rPr>
                <w:i/>
              </w:rPr>
              <w:t xml:space="preserve">decisive lever</w:t>
            </w:r>
            <w:r>
              <w:t xml:space="preserve"> (already largely documentary)</w:t>
            </w:r>
          </w:p>
        </w:tc>
        <w:tc>
          <w:tcPr>
            <w:tcW w:w="3120" w:type="dxa"/>
          </w:tcPr>
          <w:p>
            <w:pPr>
              <w:pStyle w:val="TableCell"/>
            </w:pPr>
            <w:r>
              <w:rPr>
                <w:i/>
              </w:rPr>
              <w:t xml:space="preserve">The Economist</w:t>
            </w:r>
            <w:r>
              <w:t xml:space="preserve"> &amp; </w:t>
            </w:r>
            <w:r>
              <w:rPr>
                <w:i/>
              </w:rPr>
              <w:t xml:space="preserve">FT</w:t>
            </w:r>
            <w:r>
              <w:t xml:space="preserve">, Nov–Dec 1956; Macmillan's memoirs; Kunz (1991); IMF history (Boughton)</w:t>
            </w:r>
          </w:p>
        </w:tc>
      </w:tr>
    </w:tbl>
    <w:p>
      <w:pPr>
        <w:pStyle w:val="Heading3"/>
      </w:pPr>
      <w:r>
        <w:t xml:space="preserve">A note on the Chronicle for the mid-century US cases</w:t>
      </w:r>
    </w:p>
    <w:p>
      <w:r>
        <w:t xml:space="preserve">The </w:t>
      </w:r>
      <w:r>
        <w:rPr>
          <w:b/>
        </w:rPr>
        <w:t xml:space="preserve">pre-1914 Chronicle pipeline works</w:t>
      </w:r>
      <w:r>
        <w:t xml:space="preserve"> (</w:t>
      </w:r>
      <w:r>
        <w:rPr>
          <w:rFonts w:ascii="Consolas" w:hAnsi="Consolas"/>
          <w:sz w:val="18"/>
        </w:rPr>
        <w:t xml:space="preserve">fraser.stlouisfed.org/files/docs/publications/cfc/cfc_YYYYMMDD.pdf</w:t>
      </w:r>
      <w:r>
        <w:t xml:space="preserve"> returns real page images — verified on 1911). But that simple filename </w:t>
      </w:r>
      <w:r>
        <w:rPr>
          <w:b/>
        </w:rPr>
        <w:t xml:space="preserve">does not resolve for 1950</w:t>
      </w:r>
      <w:r>
        <w:t xml:space="preserve"> (FRASER returns S3 </w:t>
      </w:r>
      <w:r>
        <w:rPr>
          <w:i/>
        </w:rPr>
        <w:t xml:space="preserve">AccessDenied</w:t>
      </w:r>
      <w:r>
        <w:t xml:space="preserve">): by mid-century the Chronicle was reorganized and FRASER stores it under a different path/segmentation. So the mid-century Chronicle quotes need either FRASER's later-era title record (the correct filenames) or the </w:t>
      </w:r>
      <w:r>
        <w:rPr>
          <w:i/>
        </w:rPr>
        <w:t xml:space="preserve">NYT</w:t>
      </w:r>
      <w:r>
        <w:t xml:space="preserve">/ProQuest historical route. Flagged so no one assumes the 1911 URL scheme carries forward.</w:t>
      </w:r>
    </w:p>
    <w:p>
      <w:pPr>
        <w:pStyle w:val="Heading3"/>
      </w:pPr>
      <w:r>
        <w:t xml:space="preserve">Why this matters (don't skip it)</w:t>
      </w:r>
    </w:p>
    <w:p>
      <w:r>
        <w:t xml:space="preserve">Without the contemporaneous layer, the modern charts are just suggestive time series. </w:t>
      </w:r>
      <w:r>
        <w:rPr>
          <w:b/>
        </w:rPr>
        <w:t xml:space="preserve">With it, each becomes a triangulated claim</w:t>
      </w:r>
      <w:r>
        <w:t xml:space="preserve"> — the BoE saying the oil premium collapsed on allied success; Rigobon &amp; Sack measuring the war factor in oil; the St. Louis Fed naming the energy channel in 2022. The older cases have the same voices waiting in the </w:t>
      </w:r>
      <w:r>
        <w:rPr>
          <w:i/>
        </w:rPr>
        <w:t xml:space="preserve">NYT</w:t>
      </w:r>
      <w:r>
        <w:t xml:space="preserve">/</w:t>
      </w:r>
      <w:r>
        <w:rPr>
          <w:i/>
        </w:rPr>
        <w:t xml:space="preserve">Chronicle</w:t>
      </w:r>
      <w:r>
        <w:t xml:space="preserve">/</w:t>
      </w:r>
      <w:r>
        <w:rPr>
          <w:i/>
        </w:rPr>
        <w:t xml:space="preserve">Economist</w:t>
      </w:r>
      <w:r>
        <w:t xml:space="preserve">; this file is the to-do list to make every modern rung as sourced as Agadir 1911 already is.</w:t>
      </w:r>
    </w:p>
    <w:p>
      <w:r>
        <w:rPr>
          <w:i/>
        </w:rPr>
        <w:t xml:space="preserve">Discipline unchanged: quote the contemporaneous source, flag every unverified figure [VERIFY], and never let a price move stand as evidence of what it was pricing until a contemporary voice says so.</w:t>
      </w:r>
    </w:p>
    <w:p>
      <w:pPr>
        <w:pStyle w:val="Heading2"/>
        <w:pageBreakBefore/>
      </w:pPr>
      <w:r>
        <w:t xml:space="preserve">Synthesis &amp; Lessons</w:t>
      </w:r>
    </w:p>
    <w:p>
      <w:r>
        <w:rPr>
          <w:i/>
        </w:rPr>
        <w:t xml:space="preserve">How the modern arc fits the original war-risk-premium work, what it adds, and what it means for today. The spine is a single distinction the whole century of evidence keeps drawing:</w:t>
      </w:r>
    </w:p>
    <w:p>
      <w:pPr>
        <w:pStyle w:val="Quote"/>
      </w:pPr>
      <w:r>
        <w:rPr>
          <w:b/>
        </w:rPr>
        <w:t xml:space="preserve">Markets are poor at anticipating whether a war will happen, and good at pricing its consequences once the decision is taken.</w:t>
      </w:r>
    </w:p>
    <w:p>
      <w:r>
        <w:t xml:space="preserve">That is the disciplined form of the reader's own instinct — that markets </w:t>
      </w:r>
      <w:r>
        <w:rPr>
          <w:i/>
        </w:rPr>
        <w:t xml:space="preserve">may be risk-averse and advocate policy choices, but are also good at pricing things once decisions are taken.</w:t>
      </w:r>
      <w:r>
        <w:t xml:space="preserve"> The arc confirms it and sharpens it into two channels: a </w:t>
      </w:r>
      <w:r>
        <w:rPr>
          <w:b/>
        </w:rPr>
        <w:t xml:space="preserve">weak</w:t>
      </w:r>
      <w:r>
        <w:t xml:space="preserve"> one (anticipation) and a </w:t>
      </w:r>
      <w:r>
        <w:rPr>
          <w:b/>
        </w:rPr>
        <w:t xml:space="preserve">strong</w:t>
      </w:r>
      <w:r>
        <w:t xml:space="preserve"> one (resolution).</w:t>
      </w:r>
    </w:p>
    <w:p>
      <w:pPr>
        <w:pStyle w:val="Heading3"/>
      </w:pPr>
      <w:r>
        <w:t xml:space="preserve">1. How the modern cases fit the original (2005) work</w:t>
      </w:r>
    </w:p>
    <w:p>
      <w:r>
        <w:t xml:space="preserve">The dissertation made three claims about the pre-1914 money market. The modern arc's first job is to show they were </w:t>
      </w:r>
      <w:r>
        <w:rPr>
          <w:b/>
        </w:rPr>
        <w:t xml:space="preserve">structural, not a period artifact</w:t>
      </w:r>
      <w:r>
        <w:t xml:space="preserve"> — each replicates on cleaner data:</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shd w:val="clear" w:fill="EEEEF6"/>
          </w:tcPr>
          <w:p>
            <w:pPr>
              <w:pStyle w:val="TableCell"/>
            </w:pPr>
            <w:r>
              <w:rPr>
                <w:b/>
              </w:rPr>
              <w:t xml:space="preserve">2005 finding</w:t>
            </w:r>
          </w:p>
        </w:tc>
        <w:tc>
          <w:tcPr>
            <w:tcW w:w="4680" w:type="dxa"/>
            <w:shd w:val="clear" w:fill="EEEEF6"/>
          </w:tcPr>
          <w:p>
            <w:pPr>
              <w:pStyle w:val="TableCell"/>
            </w:pPr>
            <w:r>
              <w:rPr>
                <w:b/>
              </w:rPr>
              <w:t xml:space="preserve">Modern replication</w:t>
            </w:r>
          </w:p>
        </w:tc>
      </w:tr>
      <w:tr>
        <w:tc>
          <w:tcPr>
            <w:tcW w:w="4680" w:type="dxa"/>
          </w:tcPr>
          <w:p>
            <w:pPr>
              <w:pStyle w:val="TableCell"/>
            </w:pPr>
            <w:r>
              <w:rPr>
                <w:b/>
              </w:rPr>
              <w:t xml:space="preserve">Discrimination</w:t>
            </w:r>
            <w:r>
              <w:t xml:space="preserve"> — priced </w:t>
            </w:r>
            <w:r>
              <w:rPr>
                <w:i/>
              </w:rPr>
              <w:t xml:space="preserve">general</w:t>
            </w:r>
            <w:r>
              <w:t xml:space="preserve">-war probability, ignored localized wars and scares</w:t>
            </w:r>
          </w:p>
        </w:tc>
        <w:tc>
          <w:tcPr>
            <w:tcW w:w="4680" w:type="dxa"/>
          </w:tcPr>
          <w:p>
            <w:pPr>
              <w:pStyle w:val="TableCell"/>
            </w:pPr>
            <w:r>
              <w:t xml:space="preserve">Korea (priced as WWIII, de-priced when limited); Falklands ignored; 2022 &amp; the Gulf Wars priced as </w:t>
            </w:r>
            <w:r>
              <w:rPr>
                <w:i/>
              </w:rPr>
              <w:t xml:space="preserve">energy</w:t>
            </w:r>
            <w:r>
              <w:t xml:space="preserve"> shocks; Berlin '48 discounted; </w:t>
            </w:r>
            <w:r>
              <w:rPr>
                <w:b/>
              </w:rPr>
              <w:t xml:space="preserve">1939 boom vs 1940 crash</w:t>
            </w:r>
          </w:p>
        </w:tc>
      </w:tr>
      <w:tr>
        <w:tc>
          <w:tcPr>
            <w:tcW w:w="4680" w:type="dxa"/>
          </w:tcPr>
          <w:p>
            <w:pPr>
              <w:pStyle w:val="TableCell"/>
            </w:pPr>
            <w:r>
              <w:rPr>
                <w:b/>
              </w:rPr>
              <w:t xml:space="preserve">Modesty</w:t>
            </w:r>
            <w:r>
              <w:t xml:space="preserve"> — real premia were small once the cycle is stripped</w:t>
            </w:r>
          </w:p>
        </w:tc>
        <w:tc>
          <w:tcPr>
            <w:tcW w:w="4680" w:type="dxa"/>
          </w:tcPr>
          <w:p>
            <w:pPr>
              <w:pStyle w:val="TableCell"/>
            </w:pPr>
            <w:r>
              <w:t xml:space="preserve">Pearl Harbor −3.8% </w:t>
            </w:r>
            <w:r>
              <w:rPr>
                <w:i/>
              </w:rPr>
              <w:t xml:space="preserve">for entry into WWII</w:t>
            </w:r>
            <w:r>
              <w:t xml:space="preserve">; Cuba ~4%; Korea's −13% reversed within weeks</w:t>
            </w:r>
          </w:p>
        </w:tc>
      </w:tr>
      <w:tr>
        <w:tc>
          <w:tcPr>
            <w:tcW w:w="4680" w:type="dxa"/>
          </w:tcPr>
          <w:p>
            <w:pPr>
              <w:pStyle w:val="TableCell"/>
            </w:pPr>
            <w:r>
              <w:rPr>
                <w:b/>
              </w:rPr>
              <w:t xml:space="preserve">"Cried wolf"</w:t>
            </w:r>
            <w:r>
              <w:t xml:space="preserve"> — repeated scares desensitized the market until 1914</w:t>
            </w:r>
          </w:p>
        </w:tc>
        <w:tc>
          <w:tcPr>
            <w:tcW w:w="4680" w:type="dxa"/>
          </w:tcPr>
          <w:p>
            <w:pPr>
              <w:pStyle w:val="TableCell"/>
            </w:pPr>
            <w:r>
              <w:t xml:space="preserve">Munich (cried wolf → relief → the real thing); the 1939 boom; the recurring Cold War scares</w:t>
            </w:r>
          </w:p>
        </w:tc>
      </w:tr>
    </w:tbl>
    <w:p>
      <w:r>
        <w:t xml:space="preserve">Then it </w:t>
      </w:r>
      <w:r>
        <w:rPr>
          <w:b/>
        </w:rPr>
        <w:t xml:space="preserve">extends</w:t>
      </w:r>
      <w:r>
        <w:t xml:space="preserve"> the framework in four directions the sparse 1914 data could not reach:</w:t>
      </w:r>
    </w:p>
    <w:p>
      <w:pPr>
        <w:pStyle w:val="ListParagraph"/>
        <w:ind w:left="360" w:hanging="360"/>
      </w:pPr>
      <w:r>
        <w:t xml:space="preserve">1.  </w:t>
      </w:r>
      <w:r>
        <w:rPr>
          <w:b/>
        </w:rPr>
        <w:t xml:space="preserve">The un-priceability ceiling</w:t>
      </w:r>
      <w:r>
        <w:t xml:space="preserve"> — Cuba '62 / Berlin '61: you cannot price a catastrophe you will</w:t>
      </w:r>
    </w:p>
    <w:p>
      <w:r>
        <w:t xml:space="preserve">   not survive to collect on. The top of the discrimination ladder, with no pre-nuclear analog.</w:t>
      </w:r>
    </w:p>
    <w:p>
      <w:pPr>
        <w:pStyle w:val="ListParagraph"/>
        <w:ind w:left="360" w:hanging="360"/>
      </w:pPr>
      <w:r>
        <w:t xml:space="preserve">2.  </w:t>
      </w:r>
      <w:r>
        <w:rPr>
          <w:b/>
        </w:rPr>
        <w:t xml:space="preserve">Instrument migration</w:t>
      </w:r>
      <w:r>
        <w:t xml:space="preserve"> — the risk sits wherever the exposure is: sovereign bonds (1905, the</w:t>
      </w:r>
    </w:p>
    <w:p>
      <w:r>
        <w:t xml:space="preserve">   </w:t>
      </w:r>
      <w:r>
        <w:rPr>
          <w:i/>
        </w:rPr>
        <w:t xml:space="preserve">fonds russes</w:t>
      </w:r>
      <w:r>
        <w:t xml:space="preserve">), the exchange/reserves (1911, Suez), </w:t>
      </w:r>
      <w:r>
        <w:rPr>
          <w:b/>
        </w:rPr>
        <w:t xml:space="preserve">oil</w:t>
      </w:r>
      <w:r>
        <w:t xml:space="preserve"> (the Gulf Wars, Iran 2025, 2022).</w:t>
      </w:r>
    </w:p>
    <w:p>
      <w:pPr>
        <w:pStyle w:val="ListParagraph"/>
        <w:ind w:left="360" w:hanging="360"/>
      </w:pPr>
      <w:r>
        <w:t xml:space="preserve">3.  </w:t>
      </w:r>
      <w:r>
        <w:rPr>
          <w:b/>
        </w:rPr>
        <w:t xml:space="preserve">Finance as a weapon</w:t>
      </w:r>
      <w:r>
        <w:t xml:space="preserve"> — the freeze lineage (1941 / 1956 / 2022): the 1914 work read finance as</w:t>
      </w:r>
    </w:p>
    <w:p>
      <w:r>
        <w:t xml:space="preserve">   a </w:t>
      </w:r>
      <w:r>
        <w:rPr>
          <w:i/>
        </w:rPr>
        <w:t xml:space="preserve">barometer</w:t>
      </w:r>
      <w:r>
        <w:t xml:space="preserve">; the modern arc adds finance as an </w:t>
      </w:r>
      <w:r>
        <w:rPr>
          <w:i/>
        </w:rPr>
        <w:t xml:space="preserve">instrument of statecraft</w:t>
      </w:r>
      <w:r>
        <w:t xml:space="preserve">, with contingent    effects (provoked war / forced a retreat / punished without halting).</w:t>
      </w:r>
    </w:p>
    <w:p>
      <w:pPr>
        <w:pStyle w:val="ListParagraph"/>
        <w:ind w:left="360" w:hanging="360"/>
      </w:pPr>
      <w:r>
        <w:t xml:space="preserve">4.  </w:t>
      </w:r>
      <w:r>
        <w:rPr>
          <w:b/>
        </w:rPr>
        <w:t xml:space="preserve">Dynamic identification</w:t>
      </w:r>
      <w:r>
        <w:t xml:space="preserve"> — Korea reprices up and down on one series; Rigobon–Sack measure the</w:t>
      </w:r>
    </w:p>
    <w:p>
      <w:r>
        <w:t xml:space="preserve">   2003 oil "war factor" formally (the same heteroskedasticity ID this project uses for 1911).</w:t>
      </w:r>
    </w:p>
    <w:p>
      <w:r>
        <w:rPr>
          <w:b/>
        </w:rPr>
        <w:t xml:space="preserve">The book in one line:</w:t>
      </w:r>
      <w:r>
        <w:t xml:space="preserve"> a finding born in 1914 archives, validated across a century, extended into a general theory of how markets price war.</w:t>
      </w:r>
    </w:p>
    <w:p>
      <w:pPr>
        <w:pStyle w:val="Heading3"/>
      </w:pPr>
      <w:r>
        <w:t xml:space="preserve">2. The two channels — the heart of the synthesis</w:t>
      </w:r>
    </w:p>
    <w:p>
      <w:r>
        <w:rPr>
          <w:b/>
        </w:rPr>
        <w:t xml:space="preserve">Anticipation (weak).</w:t>
      </w:r>
      <w:r>
        <w:t xml:space="preserve"> Asking the market </w:t>
      </w:r>
      <w:r>
        <w:rPr>
          <w:i/>
        </w:rPr>
        <w:t xml:space="preserve">"will they go to war?"</w:t>
      </w:r>
      <w:r>
        <w:t xml:space="preserve"> is asking it to price a decision no one has made. It does this badly:</w:t>
      </w:r>
    </w:p>
    <w:p>
      <w:pPr>
        <w:pStyle w:val="ListParagraph"/>
        <w:ind w:left="360" w:hanging="360"/>
      </w:pPr>
      <w:r>
        <w:t xml:space="preserve">•  </w:t>
      </w:r>
      <w:r>
        <w:t xml:space="preserve">It </w:t>
      </w:r>
      <w:r>
        <w:rPr>
          <w:b/>
        </w:rPr>
        <w:t xml:space="preserve">cries wolf</w:t>
      </w:r>
      <w:r>
        <w:t xml:space="preserve"> (Munich 1938; the pre-1914 scares) — rationally, since most scares fizzle.</w:t>
      </w:r>
    </w:p>
    <w:p>
      <w:pPr>
        <w:pStyle w:val="ListParagraph"/>
        <w:ind w:left="360" w:hanging="360"/>
      </w:pPr>
      <w:r>
        <w:t xml:space="preserve">•  </w:t>
      </w:r>
      <w:r>
        <w:t xml:space="preserve">It prices the </w:t>
      </w:r>
      <w:r>
        <w:rPr>
          <w:b/>
        </w:rPr>
        <w:t xml:space="preserve">wrong sign</w:t>
      </w:r>
      <w:r>
        <w:t xml:space="preserve"> (1939: it </w:t>
      </w:r>
      <w:r>
        <w:rPr>
          <w:i/>
        </w:rPr>
        <w:t xml:space="preserve">rallied</w:t>
      </w:r>
      <w:r>
        <w:t xml:space="preserve"> 21% on the outbreak of WWII — the war it could</w:t>
      </w:r>
    </w:p>
    <w:p>
      <w:r>
        <w:t xml:space="preserve">  profit from).</w:t>
      </w:r>
    </w:p>
    <w:p>
      <w:pPr>
        <w:pStyle w:val="ListParagraph"/>
        <w:ind w:left="360" w:hanging="360"/>
      </w:pPr>
      <w:r>
        <w:t xml:space="preserve">•  </w:t>
      </w:r>
      <w:r>
        <w:t xml:space="preserve">It is </w:t>
      </w:r>
      <w:r>
        <w:rPr>
          <w:b/>
        </w:rPr>
        <w:t xml:space="preserve">blindsided by surprises</w:t>
      </w:r>
      <w:r>
        <w:t xml:space="preserve"> (Pearl Harbor; the fall of France in eleven days; July 1914's</w:t>
      </w:r>
    </w:p>
    <w:p>
      <w:r>
        <w:t xml:space="preserve">  flat tape before Sarajevo).</w:t>
      </w:r>
    </w:p>
    <w:p>
      <w:pPr>
        <w:pStyle w:val="ListParagraph"/>
        <w:ind w:left="360" w:hanging="360"/>
      </w:pPr>
      <w:r>
        <w:t xml:space="preserve">•  </w:t>
      </w:r>
      <w:r>
        <w:t xml:space="preserve">At the limit it </w:t>
      </w:r>
      <w:r>
        <w:rPr>
          <w:b/>
        </w:rPr>
        <w:t xml:space="preserve">cannot price</w:t>
      </w:r>
      <w:r>
        <w:t xml:space="preserve"> the catastrophe at all (Cuba '62).</w:t>
      </w:r>
    </w:p>
    <w:p>
      <w:r>
        <w:t xml:space="preserve">The "risk-averse advocacy" the reader names lives in this channel. It is </w:t>
      </w:r>
      <w:r>
        <w:rPr>
          <w:b/>
        </w:rPr>
        <w:t xml:space="preserve">real but mild, selective, and often overridden</w:t>
      </w:r>
      <w:r>
        <w:t xml:space="preserve"> — the freeze/weapon cases are finance deployed </w:t>
      </w:r>
      <w:r>
        <w:rPr>
          <w:i/>
        </w:rPr>
        <w:t xml:space="preserve">against</w:t>
      </w:r>
      <w:r>
        <w:t xml:space="preserve"> banker caution. So markets are mediocre war </w:t>
      </w:r>
      <w:r>
        <w:rPr>
          <w:i/>
        </w:rPr>
        <w:t xml:space="preserve">forecasters</w:t>
      </w:r>
      <w:r>
        <w:t xml:space="preserve">, and Kirshner over-reads this channel as decisive.</w:t>
      </w:r>
    </w:p>
    <w:p>
      <w:r>
        <w:rPr>
          <w:b/>
        </w:rPr>
        <w:t xml:space="preserve">Resolution (strong).</w:t>
      </w:r>
      <w:r>
        <w:t xml:space="preserve"> The instant a decision is taken and the uncertainty structure collapses, the market reprices </w:t>
      </w:r>
      <w:r>
        <w:rPr>
          <w:b/>
        </w:rPr>
        <w:t xml:space="preserve">fast and accurately</w:t>
      </w:r>
      <w:r>
        <w:t xml:space="preserve">:</w:t>
      </w:r>
    </w:p>
    <w:p>
      <w:pPr>
        <w:pStyle w:val="ListParagraph"/>
        <w:ind w:left="360" w:hanging="360"/>
      </w:pPr>
      <w:r>
        <w:t xml:space="preserve">•  </w:t>
      </w:r>
      <w:r>
        <w:t xml:space="preserve">The oil premium vanishing the night </w:t>
      </w:r>
      <w:r>
        <w:rPr>
          <w:b/>
        </w:rPr>
        <w:t xml:space="preserve">Desert Storm</w:t>
      </w:r>
      <w:r>
        <w:t xml:space="preserve"> begins (−30% in a day).</w:t>
      </w:r>
    </w:p>
    <w:p>
      <w:pPr>
        <w:pStyle w:val="ListParagraph"/>
        <w:ind w:left="360" w:hanging="360"/>
      </w:pPr>
      <w:r>
        <w:t xml:space="preserve">•  </w:t>
      </w:r>
      <w:r>
        <w:t xml:space="preserve">The </w:t>
      </w:r>
      <w:r>
        <w:rPr>
          <w:b/>
        </w:rPr>
        <w:t xml:space="preserve">Munich</w:t>
      </w:r>
      <w:r>
        <w:t xml:space="preserve"> relief rally; the </w:t>
      </w:r>
      <w:r>
        <w:rPr>
          <w:b/>
        </w:rPr>
        <w:t xml:space="preserve">Inchon</w:t>
      </w:r>
      <w:r>
        <w:t xml:space="preserve"> recovery; the </w:t>
      </w:r>
      <w:r>
        <w:rPr>
          <w:b/>
        </w:rPr>
        <w:t xml:space="preserve">2003</w:t>
      </w:r>
      <w:r>
        <w:t xml:space="preserve"> invasion rally.</w:t>
      </w:r>
    </w:p>
    <w:p>
      <w:pPr>
        <w:pStyle w:val="ListParagraph"/>
        <w:ind w:left="360" w:hanging="360"/>
      </w:pPr>
      <w:r>
        <w:t xml:space="preserve">•  </w:t>
      </w:r>
      <w:r>
        <w:t xml:space="preserve">The fall of France priced correctly (−29%) once the blitzkrieg was undeniable.</w:t>
      </w:r>
    </w:p>
    <w:p>
      <w:pPr>
        <w:pStyle w:val="ListParagraph"/>
        <w:ind w:left="360" w:hanging="360"/>
      </w:pPr>
      <w:r>
        <w:t xml:space="preserve">•  </w:t>
      </w:r>
      <w:r>
        <w:rPr>
          <w:b/>
        </w:rPr>
        <w:t xml:space="preserve">Iran 2025</w:t>
      </w:r>
      <w:r>
        <w:t xml:space="preserve"> (below) — the cleanest recent example.</w:t>
      </w:r>
    </w:p>
    <w:p>
      <w:r>
        <w:t xml:space="preserve">This is the market's genuine talent: not predicting the decision, but </w:t>
      </w:r>
      <w:r>
        <w:rPr>
          <w:b/>
        </w:rPr>
        <w:t xml:space="preserve">pricing its consequences once it's made.</w:t>
      </w:r>
      <w:r>
        <w:t xml:space="preserve"> The dissertation's title — </w:t>
      </w:r>
      <w:r>
        <w:rPr>
          <w:i/>
        </w:rPr>
        <w:t xml:space="preserve">"cried wolf once too often"</w:t>
      </w:r>
      <w:r>
        <w:t xml:space="preserve"> — is precisely the anticipation failure; the mature thesis adds that the market was never dumb, it was simply being asked the wrong question. Put a </w:t>
      </w:r>
      <w:r>
        <w:rPr>
          <w:i/>
        </w:rPr>
        <w:t xml:space="preserve">taken</w:t>
      </w:r>
      <w:r>
        <w:t xml:space="preserve"> decision to it and it excels.</w:t>
      </w:r>
    </w:p>
    <w:p>
      <w:pPr>
        <w:pStyle w:val="Heading3"/>
      </w:pPr>
      <w:r>
        <w:t xml:space="preserve">3. The live case — Iran, June 2025</w:t>
      </w:r>
    </w:p>
    <w:p>
      <w:r>
        <w:t xml:space="preserve">The framework applied to the present, and it behaves exactly as the theory predicts.</w:t>
      </w:r>
    </w:p>
    <w:p>
      <w:pPr>
        <w:pStyle w:val="ListParagraph"/>
        <w:ind w:left="360" w:hanging="360"/>
      </w:pPr>
      <w:r>
        <w:t xml:space="preserve">•  </w:t>
      </w:r>
      <w:r>
        <w:rPr>
          <w:b/>
        </w:rPr>
        <w:t xml:space="preserve">Israel strikes Iran (13 June):</w:t>
      </w:r>
      <w:r>
        <w:t xml:space="preserve"> WTI jumps +7%; the run-up peaks </w:t>
      </w:r>
      <w:r>
        <w:rPr>
          <w:b/>
        </w:rPr>
        <w:t xml:space="preserve">+10% ($75.89, 18 June)</w:t>
      </w:r>
      <w:r>
        <w:t xml:space="preserve"> as</w:t>
      </w:r>
    </w:p>
    <w:p>
      <w:r>
        <w:t xml:space="preserve">  the market prices the </w:t>
      </w:r>
      <w:r>
        <w:rPr>
          <w:b/>
        </w:rPr>
        <w:t xml:space="preserve">Hormuz-closure tail</w:t>
      </w:r>
      <w:r>
        <w:t xml:space="preserve">. The risk goes entirely into the </w:t>
      </w:r>
      <w:r>
        <w:rPr>
          <w:b/>
        </w:rPr>
        <w:t xml:space="preserve">barrel</w:t>
      </w:r>
      <w:r>
        <w:t xml:space="preserve"> —   equities barely move.</w:t>
      </w:r>
    </w:p>
    <w:p>
      <w:pPr>
        <w:pStyle w:val="ListParagraph"/>
        <w:ind w:left="360" w:hanging="360"/>
      </w:pPr>
      <w:r>
        <w:t xml:space="preserve">•  </w:t>
      </w:r>
      <w:r>
        <w:rPr>
          <w:b/>
        </w:rPr>
        <w:t xml:space="preserve">US "Midnight Hammer" strike (21–22 June):</w:t>
      </w:r>
      <w:r>
        <w:t xml:space="preserve"> oil </w:t>
      </w:r>
      <w:r>
        <w:rPr>
          <w:b/>
        </w:rPr>
        <w:t xml:space="preserve">falls</w:t>
      </w:r>
      <w:r>
        <w:t xml:space="preserve"> to $69 — *even as the US directly</w:t>
      </w:r>
    </w:p>
    <w:p>
      <w:r>
        <w:t xml:space="preserve">  enters the war* — because Iran's response was telegraphed and limited (a warned strike on Al   Udeid; the strait stayed open).</w:t>
      </w:r>
    </w:p>
    <w:p>
      <w:pPr>
        <w:pStyle w:val="ListParagraph"/>
        <w:ind w:left="360" w:hanging="360"/>
      </w:pPr>
      <w:r>
        <w:t xml:space="preserve">•  </w:t>
      </w:r>
      <w:r>
        <w:rPr>
          <w:b/>
        </w:rPr>
        <w:t xml:space="preserve">Ceasefire (24 June):</w:t>
      </w:r>
      <w:r>
        <w:t xml:space="preserve"> WTI </w:t>
      </w:r>
      <w:r>
        <w:rPr>
          <w:b/>
        </w:rPr>
        <w:t xml:space="preserve">$65.45 — below the pre-crisis level</w:t>
      </w:r>
      <w:r>
        <w:t xml:space="preserve"> — and the **S&amp;P at a new</w:t>
      </w:r>
    </w:p>
    <w:p>
      <w:r>
        <w:t xml:space="preserve">  high.** The entire premium unwound once the supply tail was removed.</w:t>
      </w:r>
    </w:p>
    <w:p>
      <w:r>
        <w:t xml:space="preserve">Two lessons crystallize here:</w:t>
      </w:r>
    </w:p>
    <w:p>
      <w:pPr>
        <w:pStyle w:val="ListParagraph"/>
        <w:ind w:left="360" w:hanging="360"/>
      </w:pPr>
      <w:r>
        <w:t xml:space="preserve">•  </w:t>
      </w:r>
      <w:r>
        <w:rPr>
          <w:b/>
        </w:rPr>
        <w:t xml:space="preserve">Oil is the instrument</w:t>
      </w:r>
      <w:r>
        <w:t xml:space="preserve"> (test #2): the barrel carried the whole signal; equities made new highs</w:t>
      </w:r>
    </w:p>
    <w:p>
      <w:r>
        <w:t xml:space="preserve">  throughout. This was priced as a </w:t>
      </w:r>
      <w:r>
        <w:rPr>
          <w:b/>
        </w:rPr>
        <w:t xml:space="preserve">localized energy event</w:t>
      </w:r>
      <w:r>
        <w:t xml:space="preserve">, not a systemic war (discrimination).</w:t>
      </w:r>
    </w:p>
    <w:p>
      <w:pPr>
        <w:pStyle w:val="ListParagraph"/>
        <w:ind w:left="360" w:hanging="360"/>
      </w:pPr>
      <w:r>
        <w:t xml:space="preserve">•  </w:t>
      </w:r>
      <w:r>
        <w:rPr>
          <w:b/>
        </w:rPr>
        <w:t xml:space="preserve">Resolution beats anticipation</w:t>
      </w:r>
      <w:r>
        <w:t xml:space="preserve">: the run-up </w:t>
      </w:r>
      <w:r>
        <w:rPr>
          <w:i/>
        </w:rPr>
        <w:t xml:space="preserve">over-priced</w:t>
      </w:r>
      <w:r>
        <w:t xml:space="preserve"> the disruption (oil ended below where</w:t>
      </w:r>
    </w:p>
    <w:p>
      <w:r>
        <w:t xml:space="preserve">  it started — the anticipation channel was wrong), while the repricing at the decision point was   right and fast. What moved the market was never </w:t>
      </w:r>
      <w:r>
        <w:rPr>
          <w:i/>
        </w:rPr>
        <w:t xml:space="preserve">"is the US at war"</w:t>
      </w:r>
      <w:r>
        <w:t xml:space="preserve"> but </w:t>
      </w:r>
      <w:r>
        <w:rPr>
          <w:i/>
        </w:rPr>
        <w:t xml:space="preserve">"will supply be cut"</w:t>
      </w:r>
      <w:r>
        <w:t xml:space="preserve"> —   and the moment that resolved to </w:t>
      </w:r>
      <w:r>
        <w:rPr>
          <w:i/>
        </w:rPr>
        <w:t xml:space="preserve">no</w:t>
      </w:r>
      <w:r>
        <w:t xml:space="preserve">, the premium was gone.</w:t>
      </w:r>
    </w:p>
    <w:p>
      <w:r>
        <w:t xml:space="preserve">Chart: </w:t>
      </w:r>
      <w:r>
        <w:rPr>
          <w:rFonts w:ascii="Consolas" w:hAnsi="Consolas"/>
          <w:sz w:val="18"/>
        </w:rPr>
        <w:t xml:space="preserve">war_premia/results/iran_2025_oil.svg</w:t>
      </w:r>
      <w:r>
        <w:t xml:space="preserve">. Data: </w:t>
      </w:r>
      <w:r>
        <w:rPr>
          <w:rFonts w:ascii="Consolas" w:hAnsi="Consolas"/>
          <w:sz w:val="18"/>
        </w:rPr>
        <w:t xml:space="preserve">war_premia/data/iran_2025.csv</w:t>
      </w:r>
      <w:r>
        <w:t xml:space="preserve">.</w:t>
      </w:r>
    </w:p>
    <w:p>
      <w:pPr>
        <w:pStyle w:val="Heading3"/>
      </w:pPr>
      <w:r>
        <w:t xml:space="preserve">4. Lessons for today</w:t>
      </w:r>
    </w:p>
    <w:p>
      <w:pPr>
        <w:pStyle w:val="ListParagraph"/>
        <w:ind w:left="360" w:hanging="360"/>
      </w:pPr>
      <w:r>
        <w:t xml:space="preserve">1.  </w:t>
      </w:r>
      <w:r>
        <w:rPr>
          <w:b/>
        </w:rPr>
        <w:t xml:space="preserve">Don't read market calm as a forecast of peace.</w:t>
      </w:r>
      <w:r>
        <w:t xml:space="preserve"> A quiet market is not evidence war won't come</w:t>
      </w:r>
    </w:p>
    <w:p>
      <w:r>
        <w:t xml:space="preserve">   — it may just mean the market can't price an undecided decision (July 1914) or won't survive to    collect on it (Cuba). Reading calm markets as reassurance about a Taiwan or a wider Middle East    war is the 1914 error.</w:t>
      </w:r>
    </w:p>
    <w:p>
      <w:pPr>
        <w:pStyle w:val="ListParagraph"/>
        <w:ind w:left="360" w:hanging="360"/>
      </w:pPr>
      <w:r>
        <w:t xml:space="preserve">2.  </w:t>
      </w:r>
      <w:r>
        <w:rPr>
          <w:b/>
        </w:rPr>
        <w:t xml:space="preserve">Weight consequence-pricing heavily, forecasting lightly.</w:t>
      </w:r>
      <w:r>
        <w:t xml:space="preserve"> Markets are a good decision-support</w:t>
      </w:r>
    </w:p>
    <w:p>
      <w:r>
        <w:t xml:space="preserve">   tool for </w:t>
      </w:r>
      <w:r>
        <w:rPr>
          <w:i/>
        </w:rPr>
        <w:t xml:space="preserve">"what will this cost once we commit"</w:t>
      </w:r>
      <w:r>
        <w:t xml:space="preserve"> and a poor one for </w:t>
      </w:r>
      <w:r>
        <w:rPr>
          <w:i/>
        </w:rPr>
        <w:t xml:space="preserve">"will they do it."</w:t>
      </w:r>
      <w:r>
        <w:t xml:space="preserve"> Iran 2025    priced the </w:t>
      </w:r>
      <w:r>
        <w:rPr>
          <w:i/>
        </w:rPr>
        <w:t xml:space="preserve">consequence</w:t>
      </w:r>
      <w:r>
        <w:t xml:space="preserve"> (strait open) correctly and the </w:t>
      </w:r>
      <w:r>
        <w:rPr>
          <w:i/>
        </w:rPr>
        <w:t xml:space="preserve">probability</w:t>
      </w:r>
      <w:r>
        <w:t xml:space="preserve"> (the run-up spike) poorly.</w:t>
      </w:r>
    </w:p>
    <w:p>
      <w:pPr>
        <w:pStyle w:val="ListParagraph"/>
        <w:ind w:left="360" w:hanging="360"/>
      </w:pPr>
      <w:r>
        <w:t xml:space="preserve">3.  </w:t>
      </w:r>
      <w:r>
        <w:rPr>
          <w:b/>
        </w:rPr>
        <w:t xml:space="preserve">Watch the exposed instrument, and watch the resolution, not the level.</w:t>
      </w:r>
      <w:r>
        <w:t xml:space="preserve"> Oil for</w:t>
      </w:r>
    </w:p>
    <w:p>
      <w:r>
        <w:t xml:space="preserve">   energy-transmitted conflict (the Gulf, Iran, 2022); reserves/FX for coercion; the target's    sovereign bonds for who bears it. The informative moment is the </w:t>
      </w:r>
      <w:r>
        <w:rPr>
          <w:b/>
        </w:rPr>
        <w:t xml:space="preserve">repricing at the decision</w:t>
      </w:r>
      <w:r>
        <w:t xml:space="preserve">,    not the ambient calm before.</w:t>
      </w:r>
    </w:p>
    <w:p>
      <w:pPr>
        <w:pStyle w:val="ListParagraph"/>
        <w:ind w:left="360" w:hanging="360"/>
      </w:pPr>
      <w:r>
        <w:t xml:space="preserve">4.  </w:t>
      </w:r>
      <w:r>
        <w:rPr>
          <w:b/>
        </w:rPr>
        <w:t xml:space="preserve">Finance is a weapon with contingent effects.</w:t>
      </w:r>
      <w:r>
        <w:t xml:space="preserve"> Sanctions and reserve freezes are the modern</w:t>
      </w:r>
    </w:p>
    <w:p>
      <w:r>
        <w:t xml:space="preserve">   coercive instrument; 2022 shows one can </w:t>
      </w:r>
      <w:r>
        <w:rPr>
          <w:i/>
        </w:rPr>
        <w:t xml:space="preserve">punish without halting</w:t>
      </w:r>
      <w:r>
        <w:t xml:space="preserve">. Don't assume financial pressure    is decisive — its effect turns on whether the target has a survivable alternative (Japan didn't in    1941; Britain did in 1956; Russia chose to absorb it in 2022).</w:t>
      </w:r>
    </w:p>
    <w:p>
      <w:pPr>
        <w:pStyle w:val="ListParagraph"/>
        <w:ind w:left="360" w:hanging="360"/>
      </w:pPr>
      <w:r>
        <w:t xml:space="preserve">5.  </w:t>
      </w:r>
      <w:r>
        <w:rPr>
          <w:b/>
        </w:rPr>
        <w:t xml:space="preserve">On existential risk, market silence means nothing.</w:t>
      </w:r>
      <w:r>
        <w:t xml:space="preserve"> You cannot price what you won't survive to</w:t>
      </w:r>
    </w:p>
    <w:p>
      <w:r>
        <w:t xml:space="preserve">   collect on — so the absence of a premium on nuclear (or arguably climate/AI tail) risk is not    evidence it is low-probability. Don't outsource existential-risk assessment to prices.</w:t>
      </w:r>
    </w:p>
    <w:p>
      <w:pPr>
        <w:pStyle w:val="Heading3"/>
      </w:pPr>
      <w:r>
        <w:t xml:space="preserve">4½. The new instrument — prediction markets and the anticipation channel</w:t>
      </w:r>
    </w:p>
    <w:p>
      <w:r>
        <w:t xml:space="preserve">The book's central distinction is that markets are weak at </w:t>
      </w:r>
      <w:r>
        <w:rPr>
          <w:b/>
        </w:rPr>
        <w:t xml:space="preserve">anticipation</w:t>
      </w:r>
      <w:r>
        <w:t xml:space="preserve"> and strong at </w:t>
      </w:r>
      <w:r>
        <w:rPr>
          <w:b/>
        </w:rPr>
        <w:t xml:space="preserve">resolution</w:t>
      </w:r>
      <w:r>
        <w:t xml:space="preserve">. As of 2026 there is a new instrument that attacks the weak channel head-on: </w:t>
      </w:r>
      <w:r>
        <w:rPr>
          <w:b/>
        </w:rPr>
        <w:t xml:space="preserve">prediction markets</w:t>
      </w:r>
      <w:r>
        <w:t xml:space="preserve"> (Polymarket, Kalshi) that price the </w:t>
      </w:r>
      <w:r>
        <w:rPr>
          <w:i/>
        </w:rPr>
        <w:t xml:space="preserve">political-military decision itself</w:t>
      </w:r>
      <w:r>
        <w:t xml:space="preserve"> — "will US forces enter Iran," "will Hormuz stay shut 7+ days," "will Kharg Island fall" — in the open, with real money. This is the first time the anticipation channel is </w:t>
      </w:r>
      <w:r>
        <w:rPr>
          <w:b/>
        </w:rPr>
        <w:t xml:space="preserve">directly observable</w:t>
      </w:r>
      <w:r>
        <w:t xml:space="preserve">.</w:t>
      </w:r>
    </w:p>
    <w:p>
      <w:r>
        <w:t xml:space="preserve">Why it matters: an oil price blends the </w:t>
      </w:r>
      <w:r>
        <w:rPr>
          <w:i/>
        </w:rPr>
        <w:t xml:space="preserve">probability</w:t>
      </w:r>
      <w:r>
        <w:t xml:space="preserve"> of disruption with its </w:t>
      </w:r>
      <w:r>
        <w:rPr>
          <w:i/>
        </w:rPr>
        <w:t xml:space="preserve">size</w:t>
      </w:r>
      <w:r>
        <w:t xml:space="preserve">, so you could never read war-probability off it cleanly. Now you can </w:t>
      </w:r>
      <w:r>
        <w:rPr>
          <w:b/>
        </w:rPr>
        <w:t xml:space="preserve">decompose</w:t>
      </w:r>
      <w:r>
        <w:t xml:space="preserve"> it — read </w:t>
      </w:r>
      <w:r>
        <w:rPr>
          <w:i/>
        </w:rPr>
        <w:t xml:space="preserve">P(disruption)</w:t>
      </w:r>
      <w:r>
        <w:t xml:space="preserve"> off the prediction market and </w:t>
      </w:r>
      <w:r>
        <w:rPr>
          <w:i/>
        </w:rPr>
        <w:t xml:space="preserve">size</w:t>
      </w:r>
      <w:r>
        <w:t xml:space="preserve"> off the oil futures curve — and in 2026 the two even move in sequence: prediction markets priced the Hormuz </w:t>
      </w:r>
      <w:r>
        <w:rPr>
          <w:b/>
        </w:rPr>
        <w:t xml:space="preserve">reopening</w:t>
      </w:r>
      <w:r>
        <w:t xml:space="preserve"> on the US strike pause and </w:t>
      </w:r>
      <w:r>
        <w:rPr>
          <w:b/>
        </w:rPr>
        <w:t xml:space="preserve">oil followed</w:t>
      </w:r>
      <w:r>
        <w:t xml:space="preserve">. The odds led the price.</w:t>
      </w:r>
    </w:p>
    <w:p>
      <w:r>
        <w:t xml:space="preserve">But the hierarchy holds, and the book's own discipline applies to the new instrument:</w:t>
      </w:r>
    </w:p>
    <w:p>
      <w:pPr>
        <w:pStyle w:val="ListParagraph"/>
        <w:ind w:left="360" w:hanging="360"/>
      </w:pPr>
      <w:r>
        <w:t xml:space="preserve">•  </w:t>
      </w:r>
      <w:r>
        <w:t xml:space="preserve">Prediction markets are </w:t>
      </w:r>
      <w:r>
        <w:rPr>
          <w:b/>
        </w:rPr>
        <w:t xml:space="preserve">better forecasters than oil</w:t>
      </w:r>
      <w:r>
        <w:t xml:space="preserve"> (finer-grained, faster) but **thin and</w:t>
      </w:r>
    </w:p>
    <w:p>
      <w:r>
        <w:t xml:space="preserve">  manipulable*</w:t>
      </w:r>
      <w:r>
        <w:rPr>
          <w:i/>
        </w:rPr>
        <w:t xml:space="preserve">, so the </w:t>
      </w:r>
      <w:r>
        <w:t xml:space="preserve">cried-wolf</w:t>
      </w:r>
      <w:r>
        <w:rPr>
          <w:i/>
        </w:rPr>
        <w:t xml:space="preserve"> caution now attaches to </w:t>
      </w:r>
      <w:r>
        <w:t xml:space="preserve">them*: a moving odds line is not proof.</w:t>
      </w:r>
    </w:p>
    <w:p>
      <w:pPr>
        <w:pStyle w:val="ListParagraph"/>
        <w:ind w:left="360" w:hanging="360"/>
      </w:pPr>
      <w:r>
        <w:t xml:space="preserve">•  </w:t>
      </w:r>
      <w:r>
        <w:rPr>
          <w:b/>
        </w:rPr>
        <w:t xml:space="preserve">Resolution still dominates</w:t>
      </w:r>
      <w:r>
        <w:t xml:space="preserve"> — the cleanest repricing is still at the taken decision, not the</w:t>
      </w:r>
    </w:p>
    <w:p>
      <w:r>
        <w:t xml:space="preserve">  forecast.</w:t>
      </w:r>
    </w:p>
    <w:p>
      <w:pPr>
        <w:pStyle w:val="ListParagraph"/>
        <w:ind w:left="360" w:hanging="360"/>
      </w:pPr>
      <w:r>
        <w:t xml:space="preserve">•  </w:t>
      </w:r>
      <w:r>
        <w:rPr>
          <w:b/>
        </w:rPr>
        <w:t xml:space="preserve">Reflexivity is new:</w:t>
      </w:r>
      <w:r>
        <w:t xml:space="preserve"> oil traders watch the odds and bettors watch oil, a feedback loop absent</w:t>
      </w:r>
    </w:p>
    <w:p>
      <w:r>
        <w:t xml:space="preserve">  in 1914 — it can sharpen discovery or amplify noise. A live research question. </w:t>
      </w:r>
      <w:r>
        <w:rPr>
          <w:i/>
        </w:rPr>
        <w:t xml:space="preserve">(Full write-up:   `docs/modern_iran_2026_prediction_markets.md`.)</w:t>
      </w:r>
    </w:p>
    <w:p>
      <w:pPr>
        <w:pStyle w:val="Heading3"/>
      </w:pPr>
      <w:r>
        <w:t xml:space="preserve">5. On Iran specifically (applying the frame forward)</w:t>
      </w:r>
    </w:p>
    <w:p>
      <w:r>
        <w:t xml:space="preserve">If the question is </w:t>
      </w:r>
      <w:r>
        <w:rPr>
          <w:i/>
        </w:rPr>
        <w:t xml:space="preserve">"what will the market tell us about an Iran war?"</w:t>
      </w:r>
      <w:r>
        <w:t xml:space="preserve"> — the frame says:</w:t>
      </w:r>
    </w:p>
    <w:p>
      <w:pPr>
        <w:pStyle w:val="ListParagraph"/>
        <w:ind w:left="360" w:hanging="360"/>
      </w:pPr>
      <w:r>
        <w:t xml:space="preserve">•  </w:t>
      </w:r>
      <w:r>
        <w:t xml:space="preserve">Expect the signal in </w:t>
      </w:r>
      <w:r>
        <w:rPr>
          <w:b/>
        </w:rPr>
        <w:t xml:space="preserve">oil</w:t>
      </w:r>
      <w:r>
        <w:t xml:space="preserve">, not equities, and expect the market to be </w:t>
      </w:r>
      <w:r>
        <w:rPr>
          <w:b/>
        </w:rPr>
        <w:t xml:space="preserve">poor at forecasting</w:t>
      </w:r>
    </w:p>
    <w:p>
      <w:r>
        <w:t xml:space="preserve">  escalation and </w:t>
      </w:r>
      <w:r>
        <w:rPr>
          <w:b/>
        </w:rPr>
        <w:t xml:space="preserve">good at pricing</w:t>
      </w:r>
      <w:r>
        <w:t xml:space="preserve"> each move once made (as in June 2025).</w:t>
      </w:r>
    </w:p>
    <w:p>
      <w:pPr>
        <w:pStyle w:val="ListParagraph"/>
        <w:ind w:left="360" w:hanging="360"/>
      </w:pPr>
      <w:r>
        <w:t xml:space="preserve">•  </w:t>
      </w:r>
      <w:r>
        <w:t xml:space="preserve">A calm oil price is </w:t>
      </w:r>
      <w:r>
        <w:rPr>
          <w:b/>
        </w:rPr>
        <w:t xml:space="preserve">not</w:t>
      </w:r>
      <w:r>
        <w:t xml:space="preserve"> a forecast that nothing will happen — it is the market declining to</w:t>
      </w:r>
    </w:p>
    <w:p>
      <w:r>
        <w:t xml:space="preserve">  handicap an undecided political choice. The informative event will be the </w:t>
      </w:r>
      <w:r>
        <w:rPr>
          <w:b/>
        </w:rPr>
        <w:t xml:space="preserve">resolution</w:t>
      </w:r>
      <w:r>
        <w:t xml:space="preserve"> of each   step (a strike, a Hormuz threat carried out or not), where oil will reprice fast.</w:t>
      </w:r>
    </w:p>
    <w:p>
      <w:pPr>
        <w:pStyle w:val="ListParagraph"/>
        <w:ind w:left="360" w:hanging="360"/>
      </w:pPr>
      <w:r>
        <w:t xml:space="preserve">•  </w:t>
      </w:r>
      <w:r>
        <w:t xml:space="preserve">The genuine tail is </w:t>
      </w:r>
      <w:r>
        <w:rPr>
          <w:b/>
        </w:rPr>
        <w:t xml:space="preserve">Hormuz</w:t>
      </w:r>
      <w:r>
        <w:t xml:space="preserve"> (a supply catastrophe) — a </w:t>
      </w:r>
      <w:r>
        <w:rPr>
          <w:i/>
        </w:rPr>
        <w:t xml:space="preserve">survivable, collectable</w:t>
      </w:r>
      <w:r>
        <w:t xml:space="preserve"> risk the</w:t>
      </w:r>
    </w:p>
    <w:p>
      <w:r>
        <w:t xml:space="preserve">  market </w:t>
      </w:r>
      <w:r>
        <w:rPr>
          <w:i/>
        </w:rPr>
        <w:t xml:space="preserve">can</w:t>
      </w:r>
      <w:r>
        <w:t xml:space="preserve"> price, so unlike a nuclear tail it will show up in the barrel when it becomes real,   and unwind the moment it's removed. June 2025 is the template.</w:t>
      </w:r>
    </w:p>
    <w:p>
      <w:pPr>
        <w:pBdr>
          <w:bottom w:val="single" w:sz="6" w:space="1" w:color="CCCCCC"/>
        </w:pBdr>
      </w:pPr>
    </w:p>
    <w:p>
      <w:r>
        <w:rPr>
          <w:i/>
        </w:rPr>
        <w:t xml:space="preserve">Sources &amp; data: the modern-arc write-ups (`docs/modern_</w:t>
      </w:r>
      <w:r>
        <w:t xml:space="preserve">.md</w:t>
      </w:r>
      <w:r>
        <w:rPr>
          <w:rFonts w:ascii="Consolas" w:hAnsi="Consolas"/>
          <w:sz w:val="18"/>
        </w:rPr>
        <w:t xml:space="preserve">), the contemporaneous-attribution map (</w:t>
      </w:r>
      <w:r>
        <w:t xml:space="preserve">docs/modern_contemporaneous_sources.md</w:t>
      </w:r>
      <w:r>
        <w:rPr>
          <w:rFonts w:ascii="Consolas" w:hAnsi="Consolas"/>
          <w:sz w:val="18"/>
        </w:rPr>
        <w:t xml:space="preserve">), and the Kirshner rebuttal (</w:t>
      </w:r>
      <w:r>
        <w:t xml:space="preserve">docs/answering_the_kirshner_critic.md`). Charted series are reproducible (Yahoo ^GSPC; FRED); documentary figures carry [VERIFY]. The distinction here is the book's conclusion — verify the tape values and cite the contemporaneous commentary before publication.*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pPr>
      <w:spacing w:after="140" w:line="288" w:lineRule="auto"/>
    </w:pPr>
    <w:rPr>
      <w:rFonts w:ascii="Georgia" w:hAnsi="Georgia"/>
      <w:sz w:val="22"/>
    </w:rPr>
  </w:style>
  <w:style w:type="paragraph" w:styleId="Title">
    <w:name w:val="Title"/>
    <w:basedOn w:val="Normal"/>
    <w:next w:val="Normal"/>
    <w:qFormat/>
    <w:pPr>
      <w:keepNext/>
      <w:spacing w:before="0" w:after="120"/>
      <w:outlineLvl w:val="0"/>
    </w:pPr>
    <w:rPr>
      <w:rFonts w:ascii="Arial" w:hAnsi="Arial"/>
      <w:b/>
      <w:color w:val="1A2A44"/>
      <w:sz w:val="64"/>
    </w:rPr>
  </w:style>
  <w:style w:type="paragraph" w:styleId="Subtitle">
    <w:name w:val="Subtitle"/>
    <w:basedOn w:val="Normal"/>
    <w:next w:val="Normal"/>
    <w:qFormat/>
    <w:pPr>
      <w:keepNext/>
      <w:spacing w:before="240" w:after="120"/>
      <w:outlineLvl w:val="0"/>
    </w:pPr>
    <w:rPr>
      <w:rFonts w:ascii="Arial" w:hAnsi="Arial"/>
      <w:b/>
      <w:color w:val="555555"/>
      <w:sz w:val="30"/>
    </w:rPr>
  </w:style>
  <w:style w:type="paragraph" w:styleId="Heading1">
    <w:name w:val="heading 1"/>
    <w:basedOn w:val="Normal"/>
    <w:next w:val="Normal"/>
    <w:qFormat/>
    <w:pPr>
      <w:keepNext/>
      <w:spacing w:before="240" w:after="120"/>
      <w:outlineLvl w:val="0"/>
    </w:pPr>
    <w:rPr>
      <w:rFonts w:ascii="Arial" w:hAnsi="Arial"/>
      <w:b/>
      <w:color w:val="1A2A44"/>
      <w:sz w:val="40"/>
    </w:rPr>
  </w:style>
  <w:style w:type="paragraph" w:styleId="Heading2">
    <w:name w:val="heading 2"/>
    <w:basedOn w:val="Normal"/>
    <w:next w:val="Normal"/>
    <w:qFormat/>
    <w:pPr>
      <w:keepNext/>
      <w:spacing w:before="240" w:after="120"/>
      <w:outlineLvl w:val="1"/>
    </w:pPr>
    <w:rPr>
      <w:rFonts w:ascii="Arial" w:hAnsi="Arial"/>
      <w:b/>
      <w:color w:val="24405F"/>
      <w:sz w:val="30"/>
    </w:rPr>
  </w:style>
  <w:style w:type="paragraph" w:styleId="Heading3">
    <w:name w:val="heading 3"/>
    <w:basedOn w:val="Normal"/>
    <w:next w:val="Normal"/>
    <w:qFormat/>
    <w:pPr>
      <w:keepNext/>
      <w:spacing w:before="240" w:after="120"/>
      <w:outlineLvl w:val="2"/>
    </w:pPr>
    <w:rPr>
      <w:rFonts w:ascii="Arial" w:hAnsi="Arial"/>
      <w:b/>
      <w:color w:val="333333"/>
      <w:sz w:val="25"/>
    </w:rPr>
  </w:style>
  <w:style w:type="paragraph" w:styleId="Heading4">
    <w:name w:val="heading 4"/>
    <w:basedOn w:val="Normal"/>
    <w:next w:val="Normal"/>
    <w:qFormat/>
    <w:pPr>
      <w:keepNext/>
      <w:spacing w:before="240" w:after="120"/>
      <w:outlineLvl w:val="3"/>
    </w:pPr>
    <w:rPr>
      <w:rFonts w:ascii="Arial" w:hAnsi="Arial"/>
      <w:b/>
      <w:color w:val="444444"/>
      <w:sz w:val="23"/>
    </w:rPr>
  </w:style>
  <w:style w:type="paragraph" w:styleId="Quote">
    <w:name w:val="Quote"/>
    <w:basedOn w:val="Normal"/>
    <w:pPr>
      <w:pBdr>
        <w:left w:val="single" w:sz="18" w:space="8" w:color="8A3B2E"/>
      </w:pBdr>
      <w:ind w:left="360"/>
    </w:pPr>
    <w:rPr>
      <w:i/>
      <w:color w:val="444444"/>
    </w:rPr>
  </w:style>
  <w:style w:type="paragraph" w:styleId="ListParagraph">
    <w:name w:val="List Paragraph"/>
    <w:basedOn w:val="Normal"/>
    <w:pPr>
      <w:spacing w:after="60"/>
    </w:pPr>
  </w:style>
  <w:style w:type="paragraph" w:styleId="Code">
    <w:name w:val="Code"/>
    <w:basedOn w:val="Normal"/>
    <w:pPr>
      <w:shd w:val="clear" w:fill="F3F1EA"/>
      <w:spacing w:after="0" w:line="240" w:lineRule="auto"/>
    </w:pPr>
    <w:rPr>
      <w:rFonts w:ascii="Consolas" w:hAnsi="Consolas"/>
      <w:sz w:val="18"/>
    </w:rPr>
  </w:style>
  <w:style w:type="paragraph" w:styleId="TableCell">
    <w:name w:val="Table Cell"/>
    <w:basedOn w:val="Normal"/>
    <w:pPr>
      <w:spacing w:after="40"/>
    </w:pPr>
    <w:rPr>
      <w:rFonts w:ascii="Arial" w:hAnsi="Arial"/>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