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where the money actually bit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Sources &amp; method: the Russian loan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r>
        <w:rPr>
          <w:i/>
        </w:rPr>
        <w:t xml:space="preserve">Full workings and reproduce steps: `finance_diplomacy_1905_1906.md`, `crisis_deviation_five_cases.md`.</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Sources &amp; method: Lansburgh's near-silence,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r>
        <w:rPr>
          <w:i/>
        </w:rPr>
        <w:t xml:space="preserve">Full workings and reproduce steps: `lansburgh_other_crises_1914.md`.</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r>
        <w:rPr>
          <w:i/>
        </w:rPr>
        <w:t xml:space="preserve">Full money-market workings and reproduce steps: `chapter3_digest_for_handoff.md`, `chapter3_spot_to_arrive_brief.md`.</w:t>
      </w:r>
    </w:p>
    <w:p>
      <w:pPr>
        <w:pStyle w:val="Heading3"/>
      </w:pPr>
      <w:r>
        <w:t xml:space="preserve">IV. The Balkans, 1912–13 — where the money actually bit</w:t>
      </w:r>
    </w:p>
    <w:p>
      <w:r>
        <w:rPr>
          <w:b/>
        </w:rPr>
        <w:t xml:space="preserve">This chapter is now the book's strongest empirical case and it is the least written.</w:t>
      </w:r>
    </w:p>
    <w:p>
      <w:r>
        <w:t xml:space="preserve">Two independent tests point here. On the crisis ledger it is the only pre-war episode rated </w:t>
      </w:r>
      <w:r>
        <w:rPr>
          <w:b/>
        </w:rPr>
        <w:t xml:space="preserve">real</w:t>
      </w:r>
      <w:r>
        <w:t xml:space="preserve"> — a great-power mobilisation scare, with the Austro-Hungarian Bank marching 5 → 5½ → 6% and deposit runs reported in the </w:t>
      </w:r>
      <w:r>
        <w:rPr>
          <w:i/>
        </w:rPr>
        <w:t xml:space="preserve">Neue Freie Presse</w:t>
      </w:r>
      <w:r>
        <w:t xml:space="preserve">. And on the cause-or-cover control test it is the one clean case: Austria's spread breaks its 1910–12 decline (0.56 → 0.70 → 1.00) above every control year — though it builds slowly across the crisis rather than sharply before the decision.</w:t>
      </w:r>
    </w:p>
    <w:p>
      <w:r>
        <w:rPr>
          <w:b/>
        </w:rPr>
        <w:t xml:space="preserve">The argument.</w:t>
      </w:r>
      <w:r>
        <w:t xml:space="preserve"> Austria-Hungary mobilised, spent enormously, fought nobody, and emerged unable to afford the next crisis. Of the five powers it is the only one that never closed the gap the crisis exposed — which is why, in July 1914, the repair had to be performed for it by an ally.</w:t>
      </w:r>
    </w:p>
    <w:p>
      <w:r>
        <w:rPr>
          <w:b/>
        </w:rPr>
        <w:t xml:space="preserve">A methodological point the book should make here.</w:t>
      </w:r>
      <w:r>
        <w:t xml:space="preserve"> The </w:t>
      </w:r>
      <w:r>
        <w:rPr>
          <w:i/>
        </w:rPr>
        <w:t xml:space="preserve">Neue Freie Presse</w:t>
      </w:r>
      <w:r>
        <w:t xml:space="preserve"> shows a Viennese term structure that the London-based trade press flattened to "Vienna 6%." The Anglophone record of continental money markets is a compression of the continental record. That is why this project reads Vienna in Vienna, Berlin in Berlin, Paris in Paris.</w:t>
      </w:r>
    </w:p>
    <w:p>
      <w:r>
        <w:rPr>
          <w:b/>
        </w:rPr>
        <w:t xml:space="preserve">Cast.</w:t>
      </w:r>
      <w:r>
        <w:t xml:space="preserve"> Biliński. Conrad. And on the German side, the December 1912 council that produced a request for postponement on material grounds.</w:t>
      </w:r>
    </w:p>
    <w:p>
      <w:r>
        <w:rPr>
          <w:b/>
        </w:rPr>
        <w:t xml:space="preserve">Open, and this is the priority.</w:t>
      </w:r>
      <w:r>
        <w:t xml:space="preserve"> Austro-Hungarian budget and delegation records: what the mobilisation actually cost and how it was funded. Whether Biliński said in writing what the ledger implies. Whether anything was attempted by way of repair.</w:t>
      </w:r>
    </w:p>
    <w:p>
      <w:pPr>
        <w:pBdr>
          <w:bottom w:val="single" w:sz="6" w:space="1" w:color="CCCCCC"/>
        </w:pBdr>
      </w:pPr>
    </w:p>
    <w:p>
      <w:pPr>
        <w:pStyle w:val="Heading4"/>
      </w:pPr>
      <w:r>
        <w:t xml:space="preserve">Chapter IV — Sources &amp; method: Vienna through the Balkan Wars</w:t>
      </w:r>
    </w:p>
    <w:p>
      <w:pPr>
        <w:pStyle w:val="Heading4"/>
      </w:pPr>
      <w:r>
        <w:t xml:space="preserve">Austria — the Vienna market through the Balkan Wars (</w:t>
      </w:r>
      <w:r>
        <w:rPr>
          <w:i/>
        </w:rPr>
        <w:t xml:space="preserve">Neue Freie Presse</w:t>
      </w:r>
      <w:r>
        <w:t xml:space="preserve">, 1912)</w:t>
      </w:r>
    </w:p>
    <w:p>
      <w:r>
        <w:t xml:space="preserve">The Vienna question the London-based </w:t>
      </w:r>
      <w:r>
        <w:rPr>
          <w:i/>
        </w:rPr>
        <w:t xml:space="preserve">Chronicle</w:t>
      </w:r>
      <w:r>
        <w:t xml:space="preserve"> couldn't answer (it quoted only a bare "Vienna 6%"): did Vienna's own market show the war scare? </w:t>
      </w:r>
      <w:r>
        <w:rPr>
          <w:b/>
        </w:rPr>
        <w:t xml:space="preserve">Yes — sharply.</w:t>
      </w:r>
    </w:p>
    <w:p>
      <w:pPr>
        <w:pStyle w:val="ListParagraph"/>
        <w:ind w:left="360" w:hanging="360"/>
      </w:pPr>
      <w:r>
        <w:t xml:space="preserve">•  </w:t>
      </w:r>
      <w:r>
        <w:rPr>
          <w:b/>
        </w:rPr>
        <w:t xml:space="preserve">The Austro-Hungarian Bank tightened step by step as the Balkan war escalated:</w:t>
      </w:r>
    </w:p>
    <w:p>
      <w:r>
        <w:t xml:space="preserve">  bank rate </w:t>
      </w:r>
      <w:r>
        <w:rPr>
          <w:b/>
        </w:rPr>
        <w:t xml:space="preserve">5%</w:t>
      </w:r>
      <w:r>
        <w:t xml:space="preserve"> (12 Oct 1912) → </w:t>
      </w:r>
      <w:r>
        <w:rPr>
          <w:b/>
        </w:rPr>
        <w:t xml:space="preserve">5½%</w:t>
      </w:r>
      <w:r>
        <w:t xml:space="preserve"> (26 Oct: </w:t>
      </w:r>
      <w:r>
        <w:rPr>
          <w:i/>
        </w:rPr>
        <w:t xml:space="preserve">"die Erhöhung des Bankzinsfußes auf   5½ Prozent"</w:t>
      </w:r>
      <w:r>
        <w:t xml:space="preserve">) → </w:t>
      </w:r>
      <w:r>
        <w:rPr>
          <w:b/>
        </w:rPr>
        <w:t xml:space="preserve">6%</w:t>
      </w:r>
      <w:r>
        <w:t xml:space="preserve"> (30 Nov) [verify]. The private discount rose from ~</w:t>
      </w:r>
      <w:r>
        <w:rPr>
          <w:b/>
        </w:rPr>
        <w:t xml:space="preserve">4%</w:t>
      </w:r>
      <w:r>
        <w:t xml:space="preserve"> to   </w:t>
      </w:r>
      <w:r>
        <w:rPr>
          <w:b/>
        </w:rPr>
        <w:t xml:space="preserve">5½%</w:t>
      </w:r>
      <w:r>
        <w:t xml:space="preserve">.</w:t>
      </w:r>
    </w:p>
    <w:p>
      <w:pPr>
        <w:pStyle w:val="ListParagraph"/>
        <w:ind w:left="360" w:hanging="360"/>
      </w:pPr>
      <w:r>
        <w:t xml:space="preserve">•  </w:t>
      </w:r>
      <w:r>
        <w:rPr>
          <w:b/>
        </w:rPr>
        <w:t xml:space="preserve">Vienna carried a real term structure</w:t>
      </w:r>
      <w:r>
        <w:t xml:space="preserve">, which the </w:t>
      </w:r>
      <w:r>
        <w:rPr>
          <w:i/>
        </w:rPr>
        <w:t xml:space="preserve">Chronicle</w:t>
      </w:r>
      <w:r>
        <w:t xml:space="preserve">'s single figure</w:t>
      </w:r>
    </w:p>
    <w:p>
      <w:r>
        <w:t xml:space="preserve">  flattened: 30 Nov 1912 — </w:t>
      </w:r>
      <w:r>
        <w:rPr>
          <w:i/>
        </w:rPr>
        <w:t xml:space="preserve">"Bankzinsfuß 6 Prozent, Privatdiskont 5½ Prozent, längere   Sichten 6 bis 6¼ Prozent"</w:t>
      </w:r>
      <w:r>
        <w:t xml:space="preserve"> (private discount below the 6% bank rate; longer bills   dearer). So the earlier "Vienna never splits" was a limit of the </w:t>
      </w:r>
      <w:r>
        <w:rPr>
          <w:i/>
        </w:rPr>
        <w:t xml:space="preserve">Chronicle</w:t>
      </w:r>
      <w:r>
        <w:t xml:space="preserve">'s   reporting, not of the Vienna market.</w:t>
      </w:r>
    </w:p>
    <w:p>
      <w:pPr>
        <w:pStyle w:val="ListParagraph"/>
        <w:ind w:left="360" w:hanging="360"/>
      </w:pPr>
      <w:r>
        <w:t xml:space="preserve">•  </w:t>
      </w:r>
      <w:r>
        <w:rPr>
          <w:b/>
        </w:rPr>
        <w:t xml:space="preserve">The market priced the scare and its easing</w:t>
      </w:r>
      <w:r>
        <w:t xml:space="preserve"> — the bourse firmed on news</w:t>
      </w:r>
    </w:p>
    <w:p>
      <w:r>
        <w:t xml:space="preserve">  </w:t>
      </w:r>
      <w:r>
        <w:rPr>
          <w:i/>
        </w:rPr>
        <w:t xml:space="preserve">"daß es wegen der schwebenden politischen Fragen nicht zu einem ernsten Zerwürfnis   unter den Großstaaten kommen werde"</w:t>
      </w:r>
      <w:r>
        <w:t xml:space="preserve"> (that the pending political questions would not   bring a serious rupture among the great powers).</w:t>
      </w:r>
    </w:p>
    <w:p>
      <w:pPr>
        <w:pStyle w:val="ListParagraph"/>
        <w:ind w:left="360" w:hanging="360"/>
      </w:pPr>
      <w:r>
        <w:t xml:space="preserve">•  </w:t>
      </w:r>
      <w:r>
        <w:rPr>
          <w:b/>
        </w:rPr>
        <w:t xml:space="preserve">Bonus — a third-party check on Berlin.</w:t>
      </w:r>
      <w:r>
        <w:t xml:space="preserve"> NFP's Berlin telegram the same day quotes</w:t>
      </w:r>
    </w:p>
    <w:p>
      <w:r>
        <w:t xml:space="preserve">  </w:t>
      </w:r>
      <w:r>
        <w:rPr>
          <w:i/>
        </w:rPr>
        <w:t xml:space="preserve">"über Ultimo 6 bis 7"</w:t>
      </w:r>
      <w:r>
        <w:t xml:space="preserve"> and </w:t>
      </w:r>
      <w:r>
        <w:rPr>
          <w:i/>
        </w:rPr>
        <w:t xml:space="preserve">"Privatdiskont lang 5¾, kurz 6"</w:t>
      </w:r>
      <w:r>
        <w:t xml:space="preserve"> — the month-end   short-over-long inversion, corroborating our Berlin spot/to-arrive finding from a   Vienna source.</w:t>
      </w:r>
    </w:p>
    <w:p>
      <w:pPr>
        <w:pStyle w:val="ListParagraph"/>
        <w:ind w:left="360" w:hanging="360"/>
      </w:pPr>
      <w:r>
        <w:t xml:space="preserve">•  </w:t>
      </w:r>
      <w:r>
        <w:rPr>
          <w:b/>
        </w:rPr>
        <w:t xml:space="preserve">July 1914:</w:t>
      </w:r>
      <w:r>
        <w:t xml:space="preserve"> at the outbreak the Austro-Hungarian Bank rate went to </w:t>
      </w:r>
      <w:r>
        <w:rPr>
          <w:b/>
        </w:rPr>
        <w:t xml:space="preserve">8%</w:t>
      </w:r>
      <w:r>
        <w:t xml:space="preserve"> (1 Aug</w:t>
      </w:r>
    </w:p>
    <w:p>
      <w:r>
        <w:t xml:space="preserve">  1914: </w:t>
      </w:r>
      <w:r>
        <w:rPr>
          <w:i/>
        </w:rPr>
        <w:t xml:space="preserve">"die Erhöhung des Bankzinsfußes auf 8 Prozent"</w:t>
      </w:r>
      <w:r>
        <w:t xml:space="preserve">) — Vienna's share of the   worldwide August spike.</w:t>
      </w:r>
    </w:p>
    <w:p>
      <w:pPr>
        <w:pStyle w:val="Heading4"/>
      </w:pPr>
      <w:r>
        <w:t xml:space="preserve">Balkan Wars (1912–13): a repeat of 1911, on the eastern border</w:t>
      </w:r>
    </w:p>
    <w:p>
      <w:r>
        <w:rPr>
          <w:b/>
        </w:rPr>
        <w:t xml:space="preserve">"Spargelder und Kriegsflucht"</w:t>
      </w:r>
      <w:r>
        <w:t xml:space="preserve"> (Bd 2, 1147–1153, late 1912) is the Balkan-winter analogue of the autumn-1911 post-mortem — the </w:t>
      </w:r>
      <w:r>
        <w:rPr>
          <w:i/>
        </w:rPr>
        <w:t xml:space="preserve">same</w:t>
      </w:r>
      <w:r>
        <w:t xml:space="preserve"> deposit-run mechanism, geographically concentrated toward Russia:</w:t>
      </w:r>
    </w:p>
    <w:p>
      <w:pPr>
        <w:pStyle w:val="Quote"/>
      </w:pPr>
      <w:r>
        <w:rPr>
          <w:i/>
        </w:rPr>
        <w:t xml:space="preserve">"Zahlreiche Sparer waren zu den Banken und Sparkassen gestürmt um einen Teil ihres Guthabens abzuheben oder zu kündigen… Eine Zeitlang hatte es sogar den Anschein als wenn die Reichsbank den Ansturm auf ihre Diskontkassen… mit einer weiteren Erhöhung ihres erst vor kurzem auf 6% hinaufgesetzten Diskontsatzes würde begegnen müssen."</w:t>
      </w:r>
    </w:p>
    <w:p>
      <w:r>
        <w:t xml:space="preserve">Savers stormed the banks and savings banks; the Reichsbank — its rate </w:t>
      </w:r>
      <w:r>
        <w:rPr>
          <w:b/>
        </w:rPr>
        <w:t xml:space="preserve">already at 6%</w:t>
      </w:r>
      <w:r>
        <w:t xml:space="preserve"> [VERIFY] — nearly had to raise again. Withdrawals were largest in </w:t>
      </w:r>
      <w:r>
        <w:rPr>
          <w:b/>
        </w:rPr>
        <w:t xml:space="preserve">East Prussia</w:t>
      </w:r>
      <w:r>
        <w:t xml:space="preserve">, so the </w:t>
      </w:r>
      <w:r>
        <w:rPr>
          <w:b/>
        </w:rPr>
        <w:t xml:space="preserve">Chancellor sent a calming telegram</w:t>
      </w:r>
      <w:r>
        <w:t xml:space="preserve"> to its Oberpräsident and the press opened a campaign against hoarding; the Magdeburg savings bank alone paid out </w:t>
      </w:r>
      <w:r>
        <w:rPr>
          <w:b/>
        </w:rPr>
        <w:t xml:space="preserve">~3 M in one week</w:t>
      </w:r>
      <w:r>
        <w:t xml:space="preserve"> [VERIFY]. Then </w:t>
      </w:r>
      <w:r>
        <w:rPr>
          <w:b/>
        </w:rPr>
        <w:t xml:space="preserve">"Geldklemme"</w:t>
      </w:r>
      <w:r>
        <w:t xml:space="preserve"> (Bd 1, 25–30, Jan 1913) records the continued squeeze: the Reichsbank president had warned for two years about excess credit and thin cash reserves; his sharpest steps were to stop discounting repeatedly-prolonged credit bills and to tighten Lombard terms. So autumn 1911 was </w:t>
      </w:r>
      <w:r>
        <w:rPr>
          <w:b/>
        </w:rPr>
        <w:t xml:space="preserve">not unique in kind</w:t>
      </w:r>
      <w:r>
        <w:t xml:space="preserve"> — the Balkan winter produced the same war-fear deposit flight and Reichsbank strain (and explains why the </w:t>
      </w:r>
      <w:r>
        <w:rPr>
          <w:i/>
        </w:rPr>
        <w:t xml:space="preserve">Chronicle</w:t>
      </w:r>
      <w:r>
        <w:t xml:space="preserve"> had Berlin at 6% that December, "for both spot and to arrive").</w:t>
      </w:r>
    </w:p>
    <w:p>
      <w:pPr>
        <w:pStyle w:val="Heading4"/>
      </w:pPr>
      <w:r>
        <w:t xml:space="preserve">Detrended — remove the cyclical level, and the war signals shrink to modest</w:t>
      </w:r>
    </w:p>
    <w:p>
      <w:r>
        <w:t xml:space="preserve">Re-running with </w:t>
      </w:r>
      <w:r>
        <w:rPr>
          <w:rFonts w:ascii="Consolas" w:hAnsi="Consolas"/>
          <w:sz w:val="18"/>
        </w:rPr>
        <w:t xml:space="preserve">--detrend</w:t>
      </w:r>
      <w:r>
        <w:t xml:space="preserve"> (centre each year's window at its own mean, so only the within-window </w:t>
      </w:r>
      <w:r>
        <w:rPr>
          <w:i/>
        </w:rPr>
        <w:t xml:space="preserve">shape</w:t>
      </w:r>
      <w:r>
        <w:t xml:space="preserve"> is compared) strips out the rate-level confound. Peak tightening above own norm, detrended: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Detrended peaks</w:t>
            </w:r>
          </w:p>
        </w:tc>
        <w:tc>
          <w:tcPr>
            <w:tcW w:w="3120" w:type="dxa"/>
            <w:shd w:val="clear" w:fill="EEEEF6"/>
          </w:tcPr>
          <w:p>
            <w:pPr>
              <w:pStyle w:val="TableCell"/>
            </w:pPr>
            <w:r>
              <w:rPr>
                <w:b/>
              </w:rPr>
              <w:t xml:space="preserve">Verdict</w:t>
            </w:r>
          </w:p>
        </w:tc>
      </w:tr>
      <w:tr>
        <w:tc>
          <w:tcPr>
            <w:tcW w:w="3120" w:type="dxa"/>
          </w:tcPr>
          <w:p>
            <w:pPr>
              <w:pStyle w:val="TableCell"/>
            </w:pPr>
            <w:r>
              <w:t xml:space="preserve">Algeciras 1906</w:t>
            </w:r>
          </w:p>
        </w:tc>
        <w:tc>
          <w:tcPr>
            <w:tcW w:w="3120" w:type="dxa"/>
          </w:tcPr>
          <w:p>
            <w:pPr>
              <w:pStyle w:val="TableCell"/>
            </w:pPr>
            <w:r>
              <w:t xml:space="preserve">Berlin </w:t>
            </w:r>
            <w:r>
              <w:rPr>
                <w:b/>
              </w:rPr>
              <w:t xml:space="preserve">+0.52</w:t>
            </w:r>
            <w:r>
              <w:t xml:space="preserve"> (17 Mar), Paris +0.37, London +0.33</w:t>
            </w:r>
          </w:p>
        </w:tc>
        <w:tc>
          <w:tcPr>
            <w:tcW w:w="3120" w:type="dxa"/>
          </w:tcPr>
          <w:p>
            <w:pPr>
              <w:pStyle w:val="TableCell"/>
            </w:pPr>
            <w:r>
              <w:t xml:space="preserve">a small Berlin-led bump survives at the conference climax</w:t>
            </w:r>
          </w:p>
        </w:tc>
      </w:tr>
      <w:tr>
        <w:tc>
          <w:tcPr>
            <w:tcW w:w="3120" w:type="dxa"/>
          </w:tcPr>
          <w:p>
            <w:pPr>
              <w:pStyle w:val="TableCell"/>
            </w:pPr>
            <w:r>
              <w:t xml:space="preserve">Tripolitania 1912</w:t>
            </w:r>
          </w:p>
        </w:tc>
        <w:tc>
          <w:tcPr>
            <w:tcW w:w="3120" w:type="dxa"/>
          </w:tcPr>
          <w:p>
            <w:pPr>
              <w:pStyle w:val="TableCell"/>
            </w:pPr>
            <w:r>
              <w:t xml:space="preserve">Genoa +0.64, Berlin +0.72, Vienna +0.62 — </w:t>
            </w:r>
            <w:r>
              <w:rPr>
                <w:b/>
              </w:rPr>
              <w:t xml:space="preserve">peaks scattered</w:t>
            </w:r>
            <w:r>
              <w:t xml:space="preserve"> (Feb, Mar, May)</w:t>
            </w:r>
          </w:p>
        </w:tc>
        <w:tc>
          <w:tcPr>
            <w:tcW w:w="3120" w:type="dxa"/>
          </w:tcPr>
          <w:p>
            <w:pPr>
              <w:pStyle w:val="TableCell"/>
            </w:pPr>
            <w:r>
              <w:t xml:space="preserve">not synchronized → stays inconclusive</w:t>
            </w:r>
          </w:p>
        </w:tc>
      </w:tr>
      <w:tr>
        <w:tc>
          <w:tcPr>
            <w:tcW w:w="3120" w:type="dxa"/>
          </w:tcPr>
          <w:p>
            <w:pPr>
              <w:pStyle w:val="TableCell"/>
            </w:pPr>
            <w:r>
              <w:t xml:space="preserve">Second Balkan 1913</w:t>
            </w:r>
          </w:p>
        </w:tc>
        <w:tc>
          <w:tcPr>
            <w:tcW w:w="3120" w:type="dxa"/>
          </w:tcPr>
          <w:p>
            <w:pPr>
              <w:pStyle w:val="TableCell"/>
            </w:pPr>
            <w:r>
              <w:t xml:space="preserve">London +0.64, Berlin +0.38, Paris +0.25, Vienna +0.16 — peaks at the onset week</w:t>
            </w:r>
          </w:p>
        </w:tc>
        <w:tc>
          <w:tcPr>
            <w:tcW w:w="3120" w:type="dxa"/>
          </w:tcPr>
          <w:p>
            <w:pPr>
              <w:pStyle w:val="TableCell"/>
            </w:pPr>
            <w:r>
              <w:t xml:space="preserve">timing survives, </w:t>
            </w:r>
            <w:r>
              <w:rPr>
                <w:b/>
              </w:rPr>
              <w:t xml:space="preserve">magnitude collapses</w:t>
            </w:r>
            <w:r>
              <w:t xml:space="preserve"> (raw +2.3 was the 1913 level)</w:t>
            </w:r>
          </w:p>
        </w:tc>
      </w:tr>
      <w:tr>
        <w:tc>
          <w:tcPr>
            <w:tcW w:w="3120" w:type="dxa"/>
          </w:tcPr>
          <w:p>
            <w:pPr>
              <w:pStyle w:val="TableCell"/>
            </w:pPr>
            <w:r>
              <w:t xml:space="preserve">Agadir 1911 (clean baselines)</w:t>
            </w:r>
          </w:p>
        </w:tc>
        <w:tc>
          <w:tcPr>
            <w:tcW w:w="3120" w:type="dxa"/>
          </w:tcPr>
          <w:p>
            <w:pPr>
              <w:pStyle w:val="TableCell"/>
            </w:pPr>
            <w:r>
              <w:t xml:space="preserve">Berlin +0.64 &amp; Paris +0.60, both 30 Sep</w:t>
            </w:r>
          </w:p>
        </w:tc>
        <w:tc>
          <w:tcPr>
            <w:tcW w:w="3120" w:type="dxa"/>
          </w:tcPr>
          <w:p>
            <w:pPr>
              <w:pStyle w:val="TableCell"/>
            </w:pPr>
            <w:r>
              <w:t xml:space="preserve">the two protagonists co-move at the climax</w:t>
            </w:r>
          </w:p>
        </w:tc>
      </w:tr>
    </w:tbl>
    <w:p>
      <w:r>
        <w:t xml:space="preserve">The headline: </w:t>
      </w:r>
      <w:r>
        <w:rPr>
          <w:b/>
        </w:rPr>
        <w:t xml:space="preserve">once the cyclical level is removed, every pre-war money-market signal is modest — roughly +0.3 to +0.7 points.</w:t>
      </w:r>
      <w:r>
        <w:t xml:space="preserve"> None is a dramatic squeeze; the large raw numbers were the business cycle. What survives is </w:t>
      </w:r>
      <w:r>
        <w:rPr>
          <w:i/>
        </w:rPr>
        <w:t xml:space="preserve">timing</w:t>
      </w:r>
      <w:r>
        <w:t xml:space="preserve"> (synchronization at the event week), not magnitude — consistent with the spot-vs-to-arrive reversal, where the war component was likewise small once the quarter-end seasonal was controlled.</w:t>
      </w:r>
    </w:p>
    <w:p>
      <w:r>
        <w:rPr>
          <w:i/>
        </w:rPr>
        <w:t xml:space="preserve">Full workings and reproduce steps: `continental_press_warscares.md`, `lansburgh_other_crises_1914.md`, `crisis_deviation_five_cases.md`.</w:t>
      </w:r>
    </w:p>
    <w:p>
      <w:pPr>
        <w:pStyle w:val="Heading3"/>
      </w:pPr>
      <w:r>
        <w:t xml:space="preserve">V. July 1914 — the question nobody asked</w:t>
      </w:r>
    </w:p>
    <w:p>
      <w:r>
        <w:rPr>
          <w:b/>
        </w:rPr>
        <w:t xml:space="preserve">The argument.</w:t>
      </w:r>
      <w:r>
        <w:t xml:space="preserve"> In every crisis from 1905 to 1913 the money question was asked, and a finance principal answered it. In July 1914 the decision circle was Bethmann, Wilhelm, Jagow, Zimmermann, Moltke. No Reichsbank president. No Treasury secretary.</w:t>
      </w:r>
    </w:p>
    <w:p>
      <w:r>
        <w:rPr>
          <w:b/>
        </w:rPr>
        <w:t xml:space="preserve">And the German financial apparatus did nothing during the quiet weeks.</w:t>
      </w:r>
      <w:r>
        <w:t xml:space="preserve">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r>
        <w:rPr>
          <w:b/>
        </w:rPr>
        <w:t xml:space="preserve">Why the market said nothing.</w:t>
      </w:r>
      <w:r>
        <w:t xml:space="preserve">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r>
        <w:t xml:space="preserve">So the market's first opportunity to price the crisis was the ultimatum — and the ultimatum was not a step toward the decision. It was the decision becoming visible.</w:t>
      </w:r>
    </w:p>
    <w:p>
      <w:r>
        <w:rPr>
          <w:b/>
        </w:rPr>
        <w:t xml:space="preserve">Be careful with the timing claim.</w:t>
      </w:r>
      <w:r>
        <w:t xml:space="preserve">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w:t>
      </w:r>
      <w:r>
        <w:rPr>
          <w:b/>
        </w:rPr>
        <w:t xml:space="preserve">The argument rests on sequence, not duration</w:t>
      </w:r>
      <w:r>
        <w:t xml:space="preserve"> — the assurance of 5 July and the ultimatum of 23 July both precede any possible market reaction — and that rests on dates alone, which is where it should stay.</w:t>
      </w:r>
    </w:p>
    <w:p>
      <w:r>
        <w:rPr>
          <w:b/>
        </w:rPr>
        <w:t xml:space="preserve">And the last-week cross-section measures marketability, not war risk.</w:t>
      </w:r>
      <w:r>
        <w:t xml:space="preserve"> Consols fell hardest because they were the most saleable asset on earth. The aggregate fall is the war signal; the ordering is liquidity.</w:t>
      </w:r>
    </w:p>
    <w:p>
      <w:r>
        <w:rPr>
          <w:b/>
        </w:rPr>
        <w:t xml:space="preserve">Cast.</w:t>
      </w:r>
      <w:r>
        <w:t xml:space="preserve"> Bethmann. Berchtold. Havenstein, not consulted.</w:t>
      </w:r>
    </w:p>
    <w:p>
      <w:r>
        <w:rPr>
          <w:b/>
        </w:rPr>
        <w:t xml:space="preserve">Open.</w:t>
      </w:r>
      <w:r>
        <w:t xml:space="preserve"> Whether anything in the Reichsbank or Treasury files shows action in the 5–23 July window. Zilch; the Reichsbank </w:t>
      </w:r>
      <w:r>
        <w:rPr>
          <w:i/>
        </w:rPr>
        <w:t xml:space="preserve">Verwaltungsbericht</w:t>
      </w:r>
      <w:r>
        <w:t xml:space="preserve"> for 1914; BArch R 2 and R 2501.</w:t>
      </w:r>
    </w:p>
    <w:p>
      <w:pPr>
        <w:pBdr>
          <w:bottom w:val="single" w:sz="6" w:space="1" w:color="CCCCCC"/>
        </w:pBdr>
      </w:pPr>
    </w:p>
    <w:p>
      <w:pPr>
        <w:pStyle w:val="Heading4"/>
      </w:pPr>
      <w:r>
        <w:t xml:space="preserve">Chapter V — Sources &amp; method: mechanism, not motive, and the archival test</w:t>
      </w:r>
    </w:p>
    <w:p>
      <w:pPr>
        <w:pStyle w:val="Heading4"/>
      </w:pPr>
      <w:r>
        <w:t xml:space="preserve">The correction</w:t>
      </w:r>
    </w:p>
    <w:p>
      <w:r>
        <w:t xml:space="preserve">Every </w:t>
      </w:r>
      <w:r>
        <w:rPr>
          <w:i/>
        </w:rPr>
        <w:t xml:space="preserve">documented</w:t>
      </w:r>
      <w:r>
        <w:t xml:space="preserve"> motive for the July 1914 tempo is diplomatic: localize the war, present Russia and France a fait accompli, exploit the post-Sarajevo sympathy window. No participant minuted "move before the money market can react." </w:t>
      </w:r>
      <w:r>
        <w:rPr>
          <w:b/>
        </w:rPr>
        <w:t xml:space="preserve">Any claim of financial *intent* invents a source that does not exist</w:t>
      </w:r>
      <w:r>
        <w:t xml:space="preserve">, and this repo should not make it.</w:t>
      </w:r>
    </w:p>
    <w:p>
      <w:r>
        <w:t xml:space="preserve">The defensible claim is the stronger one. The secrecy and speed were chosen for diplomatic ends and </w:t>
      </w:r>
      <w:r>
        <w:rPr>
          <w:i/>
        </w:rPr>
        <w:t xml:space="preserve">had</w:t>
      </w:r>
      <w:r>
        <w:t xml:space="preserve"> a financial </w:t>
      </w:r>
      <w:r>
        <w:rPr>
          <w:b/>
        </w:rPr>
        <w:t xml:space="preserve">effect</w:t>
      </w:r>
      <w:r>
        <w:t xml:space="preserve">: the market could not price what it could not see (the money-market and bond evidence in </w:t>
      </w:r>
      <w:r>
        <w:rPr>
          <w:rFonts w:ascii="Consolas" w:hAnsi="Consolas"/>
          <w:sz w:val="18"/>
        </w:rPr>
        <w:t xml:space="preserve">war_premia</w:t>
      </w:r>
      <w:r>
        <w:t xml:space="preserve"> shows it saw nothing until the last week of July, then seized). A restraining financial reaction, if one would have formed, was never given time to form. </w:t>
      </w:r>
      <w:r>
        <w:rPr>
          <w:b/>
        </w:rPr>
        <w:t xml:space="preserve">Mechanism does not require intent.</w:t>
      </w:r>
      <w:r>
        <w:t xml:space="preserve"> Where this repo uses the word "brake" (</w:t>
      </w:r>
      <w:r>
        <w:rPr>
          <w:rFonts w:ascii="Consolas" w:hAnsi="Consolas"/>
          <w:sz w:val="18"/>
        </w:rPr>
        <w:t xml:space="preserve">crisis_lag</w:t>
      </w:r>
      <w:r>
        <w:t xml:space="preserve">), read it as a statement about the </w:t>
      </w:r>
      <w:r>
        <w:rPr>
          <w:i/>
        </w:rPr>
        <w:t xml:space="preserve">market's</w:t>
      </w:r>
      <w:r>
        <w:t xml:space="preserve"> capacity to react in time, never as a claim that anyone timed the crisis to defeat it.</w:t>
      </w:r>
    </w:p>
    <w:p>
      <w:r>
        <w:t xml:space="preserve">What the market-side evidence here establishes: markets were surprised and repriced too late to matter. What it says about the </w:t>
      </w:r>
      <w:r>
        <w:rPr>
          <w:i/>
        </w:rPr>
        <w:t xml:space="preserve">state's</w:t>
      </w:r>
      <w:r>
        <w:t xml:space="preserve"> knowledge or intent: </w:t>
      </w:r>
      <w:r>
        <w:rPr>
          <w:b/>
        </w:rPr>
        <w:t xml:space="preserve">nothing.</w:t>
      </w:r>
      <w:r>
        <w:t xml:space="preserve"> That is a separate, archival question.</w:t>
      </w:r>
    </w:p>
    <w:p>
      <w:pPr>
        <w:pStyle w:val="Quote"/>
      </w:pPr>
      <w:r>
        <w:rPr>
          <w:b/>
        </w:rPr>
        <w:t xml:space="preserve">The parallel across the earlier crises — cause or cover?</w:t>
      </w:r>
      <w:r>
        <w:t xml:space="preserve"> The same intent-vs-mechanism split applies to Rouvier (1905), Kokovtsov (1908–09) and Biliński (1912–13): were their </w:t>
      </w:r>
      <w:r>
        <w:rPr>
          <w:i/>
        </w:rPr>
        <w:t xml:space="preserve">fiscal</w:t>
      </w:r>
      <w:r>
        <w:t xml:space="preserve"> justifications the cause of each climb-down, or cover for a decision taken on other grounds? Market data cannot settle that either — but it gives one asymmetric, timing-based handle, run in </w:t>
      </w:r>
      <w:r>
        <w:rPr>
          <w:i/>
        </w:rPr>
        <w:t xml:space="preserve">`../crisis_lag/results/cause_or_cover.md`</w:t>
      </w:r>
      <w:r>
        <w:t xml:space="preserve">. Properly controlled — benchmarked against a </w:t>
      </w:r>
      <w:r>
        <w:rPr>
          <w:b/>
        </w:rPr>
        <w:t xml:space="preserve">neutral</w:t>
      </w:r>
      <w:r>
        <w:t xml:space="preserve"> creditor (the Dutch yield), measured as a </w:t>
      </w:r>
      <w:r>
        <w:rPr>
          <w:b/>
        </w:rPr>
        <w:t xml:space="preserve">change</w:t>
      </w:r>
      <w:r>
        <w:t xml:space="preserve">, against a </w:t>
      </w:r>
      <w:r>
        <w:rPr>
          <w:b/>
        </w:rPr>
        <w:t xml:space="preserve">null distribution</w:t>
      </w:r>
      <w:r>
        <w:t xml:space="preserve"> — each power whose own solvency was in question shows an abnormal rise in its bonds during its crisis: </w:t>
      </w:r>
      <w:r>
        <w:rPr>
          <w:b/>
        </w:rPr>
        <w:t xml:space="preserve">Germany</w:t>
      </w:r>
      <w:r>
        <w:t xml:space="preserve"> (Agadir, ~90th percentile), </w:t>
      </w:r>
      <w:r>
        <w:rPr>
          <w:b/>
        </w:rPr>
        <w:t xml:space="preserve">Russia</w:t>
      </w:r>
      <w:r>
        <w:t xml:space="preserve"> (Bosnia, ~80th), </w:t>
      </w:r>
      <w:r>
        <w:rPr>
          <w:b/>
        </w:rPr>
        <w:t xml:space="preserve">Austria</w:t>
      </w:r>
      <w:r>
        <w:t xml:space="preserve"> (Balkans, ~90th but only at the long horizon its two-winter war needed). </w:t>
      </w:r>
      <w:r>
        <w:rPr>
          <w:b/>
        </w:rPr>
        <w:t xml:space="preserve">France (Morocco) shows none</w:t>
      </w:r>
      <w:r>
        <w:t xml:space="preserve"> — the creditor power, no own-market stress, consistent with the constraint lying in Russia's collapse, not French finances. So the timing evidence </w:t>
      </w:r>
      <w:r>
        <w:rPr>
          <w:i/>
        </w:rPr>
        <w:t xml:space="preserve">is</w:t>
      </w:r>
      <w:r>
        <w:t xml:space="preserve"> consistent with finance-as-constraint for three of four (a crude level check first understated this, then I over-corrected to "artifact" — the neutral-benchmark control corrects both). Still consistency, never proof; intent still needs the archives named there, and France stays the case where the objection is most alive.</w:t>
      </w:r>
    </w:p>
    <w:p>
      <w:pPr>
        <w:pStyle w:val="Heading4"/>
      </w:pPr>
      <w:r>
        <w:t xml:space="preserve">The finite question</w:t>
      </w:r>
    </w:p>
    <w:p>
      <w:r>
        <w:t xml:space="preserve">Did the Reichsbank or the Reich Treasury (Reichsschatzamt) take a </w:t>
      </w:r>
      <w:r>
        <w:rPr>
          <w:b/>
        </w:rPr>
        <w:t xml:space="preserve">concrete preparatory financial step during 5–23 July 1914</w:t>
      </w:r>
      <w:r>
        <w:t xml:space="preserve"> — after the "blank cheque" (5–6 July), before the Austrian ultimatum (23 July) — </w:t>
      </w:r>
      <w:r>
        <w:rPr>
          <w:i/>
        </w:rPr>
        <w:t xml:space="preserve">while the market was still calm</w:t>
      </w:r>
      <w:r>
        <w:t xml:space="preserve">?</w:t>
      </w:r>
    </w:p>
    <w:p>
      <w:pPr>
        <w:pStyle w:val="ListParagraph"/>
        <w:ind w:left="360" w:hanging="360"/>
      </w:pPr>
      <w:r>
        <w:t xml:space="preserve">•  </w:t>
      </w:r>
      <w:r>
        <w:rPr>
          <w:b/>
        </w:rPr>
        <w:t xml:space="preserve">If yes</w:t>
      </w:r>
      <w:r>
        <w:t xml:space="preserve">, the state acted on knowledge the market lacked: an information</w:t>
      </w:r>
    </w:p>
    <w:p>
      <w:r>
        <w:t xml:space="preserve">  asymmetry, the sharpest form of the mechanism. (Still not "intent to outrun the   bourse" — it could be prudent contingency — but a state moving ahead of the   market is the closest thing to a smoking gun.)</w:t>
      </w:r>
    </w:p>
    <w:p>
      <w:pPr>
        <w:pStyle w:val="ListParagraph"/>
        <w:ind w:left="360" w:hanging="360"/>
      </w:pPr>
      <w:r>
        <w:t xml:space="preserve">•  </w:t>
      </w:r>
      <w:r>
        <w:rPr>
          <w:b/>
        </w:rPr>
        <w:t xml:space="preserve">If no</w:t>
      </w:r>
      <w:r>
        <w:t xml:space="preserve"> — if the Treasury, like the market, was quiet until the ultimatum —</w:t>
      </w:r>
    </w:p>
    <w:p>
      <w:r>
        <w:t xml:space="preserve">  the asymmetric-information version is </w:t>
      </w:r>
      <w:r>
        <w:rPr>
          <w:i/>
        </w:rPr>
        <w:t xml:space="preserve">refuted</w:t>
      </w:r>
      <w:r>
        <w:t xml:space="preserve">: the state was as surprised by   the tempo as the market, and the mechanism reduces to "the market could not   react in time," with no privileged state foresight.</w:t>
      </w:r>
    </w:p>
    <w:p>
      <w:r>
        <w:t xml:space="preserve">It is a binary question with a findable answer.</w:t>
      </w:r>
    </w:p>
    <w:p>
      <w:pPr>
        <w:pStyle w:val="Heading4"/>
      </w:pPr>
      <w:r>
        <w:t xml:space="preserve">Evidence state (audited against the scholarship that cites Zilch and BArch R 2)</w:t>
      </w:r>
    </w:p>
    <w:p>
      <w:r>
        <w:rPr>
          <w:b/>
        </w:rPr>
        <w:t xml:space="preserve">Established (documented):</w:t>
      </w:r>
    </w:p>
    <w:p>
      <w:pPr>
        <w:pStyle w:val="ListParagraph"/>
        <w:ind w:left="360" w:hanging="360"/>
      </w:pPr>
      <w:r>
        <w:t xml:space="preserve">•  </w:t>
      </w:r>
      <w:r>
        <w:t xml:space="preserve">The financial-mobilization </w:t>
      </w:r>
      <w:r>
        <w:rPr>
          <w:b/>
        </w:rPr>
        <w:t xml:space="preserve">framework is old — 1891</w:t>
      </w:r>
      <w:r>
        <w:t xml:space="preserve">: the Reichsbank as fiscal</w:t>
      </w:r>
    </w:p>
    <w:p>
      <w:r>
        <w:t xml:space="preserve">  agent, loan-bank (Darlehnskassen) creation, and </w:t>
      </w:r>
      <w:r>
        <w:rPr>
          <w:i/>
        </w:rPr>
        <w:t xml:space="preserve">draft war-finance laws to be   enacted in case of war</w:t>
      </w:r>
      <w:r>
        <w:t xml:space="preserve">, with "details added in later years." Refined by the   Wermuth/Havenstein gold-accumulation program to 1914. </w:t>
      </w:r>
      <w:r>
        <w:rPr>
          <w:b/>
        </w:rPr>
        <w:t xml:space="preserve">Readiness is a 23-year   contingency plan, not a July 1914 initiative.</w:t>
      </w:r>
    </w:p>
    <w:p>
      <w:pPr>
        <w:pStyle w:val="ListParagraph"/>
        <w:ind w:left="360" w:hanging="360"/>
      </w:pPr>
      <w:r>
        <w:t xml:space="preserve">•  </w:t>
      </w:r>
      <w:r>
        <w:t xml:space="preserve">Operational steps are dated to the </w:t>
      </w:r>
      <w:r>
        <w:rPr>
          <w:b/>
        </w:rPr>
        <w:t xml:space="preserve">crisis, not the quiet weeks</w:t>
      </w:r>
      <w:r>
        <w:t xml:space="preserve">: specie</w:t>
      </w:r>
    </w:p>
    <w:p>
      <w:r>
        <w:t xml:space="preserve">  payments suspended </w:t>
      </w:r>
      <w:r>
        <w:rPr>
          <w:b/>
        </w:rPr>
        <w:t xml:space="preserve">31 July</w:t>
      </w:r>
      <w:r>
        <w:t xml:space="preserve">; the imperial gold reserve (Kriegsschatz, 240 M   ℳ) transferred to the Reichsbank </w:t>
      </w:r>
      <w:r>
        <w:rPr>
          <w:b/>
        </w:rPr>
        <w:t xml:space="preserve">2 August</w:t>
      </w:r>
      <w:r>
        <w:t xml:space="preserve"> (BArch </w:t>
      </w:r>
      <w:r>
        <w:rPr>
          <w:b/>
        </w:rPr>
        <w:t xml:space="preserve">R 2/41134</w:t>
      </w:r>
      <w:r>
        <w:t xml:space="preserve">); the bank   laws enacted </w:t>
      </w:r>
      <w:r>
        <w:rPr>
          <w:b/>
        </w:rPr>
        <w:t xml:space="preserve">4 August</w:t>
      </w:r>
      <w:r>
        <w:t xml:space="preserve">.</w:t>
      </w:r>
    </w:p>
    <w:p>
      <w:pPr>
        <w:pStyle w:val="ListParagraph"/>
        <w:ind w:left="360" w:hanging="360"/>
      </w:pPr>
      <w:r>
        <w:t xml:space="preserve">•  </w:t>
      </w:r>
      <w:r>
        <w:t xml:space="preserve">The plan was built </w:t>
      </w:r>
      <w:r>
        <w:rPr>
          <w:b/>
        </w:rPr>
        <w:t xml:space="preserve">for a short, victorious war</w:t>
      </w:r>
      <w:r>
        <w:t xml:space="preserve"> ("the departure from the gold</w:t>
      </w:r>
    </w:p>
    <w:p>
      <w:r>
        <w:t xml:space="preserve">  standard was only temporary"). The state's </w:t>
      </w:r>
      <w:r>
        <w:rPr>
          <w:i/>
        </w:rPr>
        <w:t xml:space="preserve">own</w:t>
      </w:r>
      <w:r>
        <w:t xml:space="preserve"> financial design shared the   short-war assumption that mispriced the actual conflict — </w:t>
      </w:r>
      <w:r>
        <w:rPr>
          <w:b/>
        </w:rPr>
        <w:t xml:space="preserve">readiness was not   foresight.</w:t>
      </w:r>
    </w:p>
    <w:p>
      <w:r>
        <w:rPr>
          <w:b/>
        </w:rPr>
        <w:t xml:space="preserve">Not established:</w:t>
      </w:r>
    </w:p>
    <w:p>
      <w:pPr>
        <w:pStyle w:val="ListParagraph"/>
        <w:ind w:left="360" w:hanging="360"/>
      </w:pPr>
      <w:r>
        <w:t xml:space="preserve">•  </w:t>
      </w:r>
      <w:r>
        <w:t xml:space="preserve">Any concrete Reichsbank/Treasury action dated </w:t>
      </w:r>
      <w:r>
        <w:rPr>
          <w:b/>
        </w:rPr>
        <w:t xml:space="preserve">5–23 July 1914</w:t>
      </w:r>
      <w:r>
        <w:t xml:space="preserve">. The</w:t>
      </w:r>
    </w:p>
    <w:p>
      <w:r>
        <w:t xml:space="preserve">  authoritative </w:t>
      </w:r>
      <w:r>
        <w:rPr>
          <w:i/>
        </w:rPr>
        <w:t xml:space="preserve">1914-1918-Online</w:t>
      </w:r>
      <w:r>
        <w:t xml:space="preserve"> synthesis — which </w:t>
      </w:r>
      <w:r>
        <w:rPr>
          <w:i/>
        </w:rPr>
        <w:t xml:space="preserve">does</w:t>
      </w:r>
      <w:r>
        <w:t xml:space="preserve"> cite Zilch and even   gives BArch R 2 signatures for the August steps — reports </w:t>
      </w:r>
      <w:r>
        <w:rPr>
          <w:b/>
        </w:rPr>
        <w:t xml:space="preserve">no</w:t>
      </w:r>
      <w:r>
        <w:t xml:space="preserve"> discount-rate   or gold-policy change before ~31 July, and nothing in the blank-cheque-to-   ultimatum window. The public central bank was calm because it </w:t>
      </w:r>
      <w:r>
        <w:rPr>
          <w:i/>
        </w:rPr>
        <w:t xml:space="preserve">was</w:t>
      </w:r>
      <w:r>
        <w:t xml:space="preserve"> calm.</w:t>
      </w:r>
    </w:p>
    <w:p>
      <w:r>
        <w:rPr>
          <w:b/>
        </w:rPr>
        <w:t xml:space="preserve">Unreliable (do not use):</w:t>
      </w:r>
    </w:p>
    <w:p>
      <w:pPr>
        <w:pStyle w:val="ListParagraph"/>
        <w:ind w:left="360" w:hanging="360"/>
      </w:pPr>
      <w:r>
        <w:t xml:space="preserve">•  </w:t>
      </w:r>
      <w:r>
        <w:t xml:space="preserve">The popular "Havenstein demanded all banks' gold on 18 June 1914" line (Mises</w:t>
      </w:r>
    </w:p>
    <w:p>
      <w:r>
        <w:t xml:space="preserve">  op-ed) — conflates the multi-year campaign and supplies the </w:t>
      </w:r>
      <w:r>
        <w:rPr>
          <w:i/>
        </w:rPr>
        <w:t xml:space="preserve">intent</w:t>
      </w:r>
      <w:r>
        <w:t xml:space="preserve"> framing to   be avoided.</w:t>
      </w:r>
    </w:p>
    <w:p>
      <w:pPr>
        <w:pStyle w:val="Heading4"/>
      </w:pPr>
      <w:r>
        <w:t xml:space="preserve">Provisional verdict — and it leans </w:t>
      </w:r>
      <w:r>
        <w:rPr>
          <w:i/>
        </w:rPr>
        <w:t xml:space="preserve">against</w:t>
      </w:r>
      <w:r>
        <w:t xml:space="preserve"> the smoking gun</w:t>
      </w:r>
    </w:p>
    <w:p>
      <w:r>
        <w:t xml:space="preserve">On the currently documented evidence, the </w:t>
      </w:r>
      <w:r>
        <w:rPr>
          <w:b/>
        </w:rPr>
        <w:t xml:space="preserve">asymmetric-information version is not supported</w:t>
      </w:r>
      <w:r>
        <w:t xml:space="preserve">: the Reichsbank did not act ahead of the market in the quiet weeks. It held a long-standing plan and </w:t>
      </w:r>
      <w:r>
        <w:rPr>
          <w:i/>
        </w:rPr>
        <w:t xml:space="preserve">activated it at the crisis</w:t>
      </w:r>
      <w:r>
        <w:t xml:space="preserve"> — 31 July onward, roughly when the market itself woke up; in the last days it was even reacting to a gold run, not front-running one. So the mechanism reduces to its honest core: </w:t>
      </w:r>
      <w:r>
        <w:rPr>
          <w:b/>
        </w:rPr>
        <w:t xml:space="preserve">the market could not react in time to a diplomatic tempo — not that the state knew and moved first.</w:t>
      </w:r>
      <w:r>
        <w:t xml:space="preserve"> And the sharper irony is that the state's readiness was calibrated to the </w:t>
      </w:r>
      <w:r>
        <w:rPr>
          <w:i/>
        </w:rPr>
        <w:t xml:space="preserve">wrong</w:t>
      </w:r>
      <w:r>
        <w:t xml:space="preserve"> war (short, victorious), the same misjudgment the market made about pricing one at all.</w:t>
      </w:r>
    </w:p>
    <w:p>
      <w:r>
        <w:t xml:space="preserve">This is </w:t>
      </w:r>
      <w:r>
        <w:rPr>
          <w:i/>
        </w:rPr>
        <w:t xml:space="preserve">provisional</w:t>
      </w:r>
      <w:r>
        <w:t xml:space="preserve"> because it rests on the English-language synthesis of Zilch, not a line-by-line read of Zilch's German text or the 1914 </w:t>
      </w:r>
      <w:r>
        <w:rPr>
          <w:i/>
        </w:rPr>
        <w:t xml:space="preserve">Verwaltungsbericht</w:t>
      </w:r>
      <w:r>
        <w:t xml:space="preserve"> — either of which could surface a finer mid-July detail. But the burden has shifted: the default reading is now </w:t>
      </w:r>
      <w:r>
        <w:rPr>
          <w:b/>
        </w:rPr>
        <w:t xml:space="preserve">no privileged state action in the quiet weeks</w:t>
      </w:r>
      <w:r>
        <w:t xml:space="preserve">, and it would take a positive find in those two sources to overturn it.</w:t>
      </w:r>
    </w:p>
    <w:p>
      <w:r>
        <w:rPr>
          <w:b/>
        </w:rPr>
        <w:t xml:space="preserve">This note reports no archival finding of my own</w:t>
      </w:r>
      <w:r>
        <w:t xml:space="preserve"> — I have not read Zilch or the 1914 report directly. It names the two sources that decide the question, records what the scholarship citing them already shows (a 1891 framework, no 5–23 July step, a short-war premise), and states which way the evidence now points. Read the two sources before asserting more.</w:t>
      </w:r>
    </w:p>
    <w:p>
      <w:r>
        <w:rPr>
          <w:i/>
        </w:rPr>
        <w:t xml:space="preserve">Full workings and reproduce steps: `july1914_mechanism_and_archival_test.md`.</w:t>
      </w: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r>
        <w:t xml:space="preserve">The framework's modern apotheosis. The 2022 invasion lets us run the same four tests on live, high-frequency data that we ran on Fraktur OCR — and both edges of the argument show up cleanly: the </w:t>
      </w:r>
      <w:r>
        <w:rPr>
          <w:b/>
        </w:rPr>
        <w:t xml:space="preserve">discrimination test</w:t>
      </w:r>
      <w:r>
        <w:t xml:space="preserve"> (what the great markets priced) </w:t>
      </w:r>
      <w:r>
        <w:rPr>
          <w:i/>
        </w:rPr>
        <w:t xml:space="preserve">and</w:t>
      </w:r>
      <w:r>
        <w:t xml:space="preserve"> the </w:t>
      </w:r>
      <w:r>
        <w:rPr>
          <w:b/>
        </w:rPr>
        <w:t xml:space="preserve">state-wielded weapon</w:t>
      </w:r>
      <w:r>
        <w:t xml:space="preserve"> (what finance was used to do). It is the direct descendant of the Ruhr/1941-freeze/Suez lineage, now at superpower-sanctions scale.</w:t>
      </w:r>
    </w:p>
    <w:p>
      <w:r>
        <w:t xml:space="preserve">Charted series are pulled reproducibly from </w:t>
      </w:r>
      <w:r>
        <w:rPr>
          <w:b/>
        </w:rPr>
        <w:t xml:space="preserve">FRED</w:t>
      </w:r>
      <w:r>
        <w:t xml:space="preserve"> (daily). Russian-side figures are from the contemporary record, cited and flagged for verification — the same discipline as the OCR figures elsewhere (here it is </w:t>
      </w:r>
      <w:r>
        <w:rPr>
          <w:i/>
        </w:rPr>
        <w:t xml:space="preserve">feed-grade until checked against the primary release</w:t>
      </w:r>
      <w:r>
        <w:t xml:space="preserve">).</w:t>
      </w:r>
    </w:p>
    <w:p>
      <w:pPr>
        <w:pStyle w:val="Heading3"/>
      </w:pPr>
      <w:r>
        <w:t xml:space="preserve">1. The discrimination test — the great markets barely flinched</w:t>
      </w:r>
    </w:p>
    <w:p>
      <w:r>
        <w:t xml:space="preserve">The largest European land war since 1945, and </w:t>
      </w:r>
      <w:r>
        <w:rPr>
          <w:b/>
        </w:rPr>
        <w:t xml:space="preserve">Western equity shrugged</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Signal (FRED)</w:t>
            </w:r>
          </w:p>
        </w:tc>
        <w:tc>
          <w:tcPr>
            <w:tcW w:w="2340" w:type="dxa"/>
            <w:shd w:val="clear" w:fill="EEEEF6"/>
          </w:tcPr>
          <w:p>
            <w:pPr>
              <w:pStyle w:val="TableCell"/>
            </w:pPr>
            <w:r>
              <w:rPr>
                <w:b/>
              </w:rPr>
              <w:t xml:space="preserve">Invasion eve (23 Feb)</w:t>
            </w:r>
          </w:p>
        </w:tc>
        <w:tc>
          <w:tcPr>
            <w:tcW w:w="2340" w:type="dxa"/>
            <w:shd w:val="clear" w:fill="EEEEF6"/>
          </w:tcPr>
          <w:p>
            <w:pPr>
              <w:pStyle w:val="TableCell"/>
            </w:pPr>
            <w:r>
              <w:rPr>
                <w:b/>
              </w:rPr>
              <w:t xml:space="preserve">Crisis extreme</w:t>
            </w:r>
          </w:p>
        </w:tc>
        <w:tc>
          <w:tcPr>
            <w:tcW w:w="2340" w:type="dxa"/>
            <w:shd w:val="clear" w:fill="EEEEF6"/>
          </w:tcPr>
          <w:p>
            <w:pPr>
              <w:pStyle w:val="TableCell"/>
            </w:pPr>
            <w:r>
              <w:rPr>
                <w:b/>
              </w:rPr>
              <w:t xml:space="preserve">Reading</w:t>
            </w:r>
          </w:p>
        </w:tc>
      </w:tr>
      <w:tr>
        <w:tc>
          <w:tcPr>
            <w:tcW w:w="2340" w:type="dxa"/>
          </w:tcPr>
          <w:p>
            <w:pPr>
              <w:pStyle w:val="TableCell"/>
            </w:pPr>
            <w:r>
              <w:rPr>
                <w:b/>
              </w:rPr>
              <w:t xml:space="preserve">S&amp;P 500</w:t>
            </w:r>
          </w:p>
        </w:tc>
        <w:tc>
          <w:tcPr>
            <w:tcW w:w="2340" w:type="dxa"/>
          </w:tcPr>
          <w:p>
            <w:pPr>
              <w:pStyle w:val="TableCell"/>
            </w:pPr>
            <w:r>
              <w:t xml:space="preserve">4225</w:t>
            </w:r>
          </w:p>
        </w:tc>
        <w:tc>
          <w:tcPr>
            <w:tcW w:w="2340" w:type="dxa"/>
          </w:tcPr>
          <w:p>
            <w:pPr>
              <w:pStyle w:val="TableCell"/>
            </w:pPr>
            <w:r>
              <w:t xml:space="preserve">4385 (25 Feb, </w:t>
            </w:r>
            <w:r>
              <w:rPr>
                <w:b/>
              </w:rPr>
              <w:t xml:space="preserve">up</w:t>
            </w:r>
            <w:r>
              <w:t xml:space="preserve">)</w:t>
            </w:r>
          </w:p>
        </w:tc>
        <w:tc>
          <w:tcPr>
            <w:tcW w:w="2340" w:type="dxa"/>
          </w:tcPr>
          <w:p>
            <w:pPr>
              <w:pStyle w:val="TableCell"/>
            </w:pPr>
            <w:r>
              <w:rPr>
                <w:b/>
              </w:rPr>
              <w:t xml:space="preserve">Closed UP on invasion day</w:t>
            </w:r>
            <w:r>
              <w:t xml:space="preserve">; above the pre-war level by 29 Mar (4632). The June low (3667) was the </w:t>
            </w:r>
            <w:r>
              <w:rPr>
                <w:b/>
              </w:rPr>
              <w:t xml:space="preserve">Fed/inflation</w:t>
            </w:r>
            <w:r>
              <w:t xml:space="preserve">, not the war.</w:t>
            </w:r>
          </w:p>
        </w:tc>
      </w:tr>
      <w:tr>
        <w:tc>
          <w:tcPr>
            <w:tcW w:w="2340" w:type="dxa"/>
          </w:tcPr>
          <w:p>
            <w:pPr>
              <w:pStyle w:val="TableCell"/>
            </w:pPr>
            <w:r>
              <w:rPr>
                <w:b/>
              </w:rPr>
              <w:t xml:space="preserve">VIX</w:t>
            </w:r>
          </w:p>
        </w:tc>
        <w:tc>
          <w:tcPr>
            <w:tcW w:w="2340" w:type="dxa"/>
          </w:tcPr>
          <w:p>
            <w:pPr>
              <w:pStyle w:val="TableCell"/>
            </w:pPr>
            <w:r>
              <w:t xml:space="preserve">31</w:t>
            </w:r>
          </w:p>
        </w:tc>
        <w:tc>
          <w:tcPr>
            <w:tcW w:w="2340" w:type="dxa"/>
          </w:tcPr>
          <w:p>
            <w:pPr>
              <w:pStyle w:val="TableCell"/>
            </w:pPr>
            <w:r>
              <w:rPr>
                <w:b/>
              </w:rPr>
              <w:t xml:space="preserve">36</w:t>
            </w:r>
            <w:r>
              <w:t xml:space="preserve"> (7 Mar)</w:t>
            </w:r>
          </w:p>
        </w:tc>
        <w:tc>
          <w:tcPr>
            <w:tcW w:w="2340" w:type="dxa"/>
          </w:tcPr>
          <w:p>
            <w:pPr>
              <w:pStyle w:val="TableCell"/>
            </w:pPr>
            <w:r>
              <w:t xml:space="preserve">Elevated but </w:t>
            </w:r>
            <w:r>
              <w:rPr>
                <w:b/>
              </w:rPr>
              <w:t xml:space="preserve">far below panic</w:t>
            </w:r>
            <w:r>
              <w:t xml:space="preserve"> (COVID 82, GFC 80). The war scarcely registered as </w:t>
            </w:r>
            <w:r>
              <w:rPr>
                <w:i/>
              </w:rPr>
              <w:t xml:space="preserve">systemic</w:t>
            </w:r>
            <w:r>
              <w:t xml:space="preserve"> risk.</w:t>
            </w:r>
          </w:p>
        </w:tc>
      </w:tr>
      <w:tr>
        <w:tc>
          <w:tcPr>
            <w:tcW w:w="2340" w:type="dxa"/>
          </w:tcPr>
          <w:p>
            <w:pPr>
              <w:pStyle w:val="TableCell"/>
            </w:pPr>
            <w:r>
              <w:rPr>
                <w:b/>
              </w:rPr>
              <w:t xml:space="preserve">Brent crude</w:t>
            </w:r>
          </w:p>
        </w:tc>
        <w:tc>
          <w:tcPr>
            <w:tcW w:w="2340" w:type="dxa"/>
          </w:tcPr>
          <w:p>
            <w:pPr>
              <w:pStyle w:val="TableCell"/>
            </w:pPr>
            <w:r>
              <w:t xml:space="preserve">$99</w:t>
            </w:r>
          </w:p>
        </w:tc>
        <w:tc>
          <w:tcPr>
            <w:tcW w:w="2340" w:type="dxa"/>
          </w:tcPr>
          <w:p>
            <w:pPr>
              <w:pStyle w:val="TableCell"/>
            </w:pPr>
            <w:r>
              <w:rPr>
                <w:b/>
              </w:rPr>
              <w:t xml:space="preserve">$133</w:t>
            </w:r>
            <w:r>
              <w:t xml:space="preserve"> (8 Mar, +34%)</w:t>
            </w:r>
          </w:p>
        </w:tc>
        <w:tc>
          <w:tcPr>
            <w:tcW w:w="2340" w:type="dxa"/>
          </w:tcPr>
          <w:p>
            <w:pPr>
              <w:pStyle w:val="TableCell"/>
            </w:pPr>
            <w:r>
              <w:t xml:space="preserve">The transmission channel: the market priced </w:t>
            </w:r>
            <w:r>
              <w:rPr>
                <w:b/>
              </w:rPr>
              <w:t xml:space="preserve">energy</w:t>
            </w:r>
            <w:r>
              <w:t xml:space="preserve">, narrowly — not a general war.</w:t>
            </w:r>
          </w:p>
        </w:tc>
      </w:tr>
      <w:tr>
        <w:tc>
          <w:tcPr>
            <w:tcW w:w="2340" w:type="dxa"/>
          </w:tcPr>
          <w:p>
            <w:pPr>
              <w:pStyle w:val="TableCell"/>
            </w:pPr>
            <w:r>
              <w:rPr>
                <w:b/>
              </w:rPr>
              <w:t xml:space="preserve">10y UST</w:t>
            </w:r>
          </w:p>
        </w:tc>
        <w:tc>
          <w:tcPr>
            <w:tcW w:w="2340" w:type="dxa"/>
          </w:tcPr>
          <w:p>
            <w:pPr>
              <w:pStyle w:val="TableCell"/>
            </w:pPr>
            <w:r>
              <w:t xml:space="preserve">1.99%</w:t>
            </w:r>
          </w:p>
        </w:tc>
        <w:tc>
          <w:tcPr>
            <w:tcW w:w="2340" w:type="dxa"/>
          </w:tcPr>
          <w:p>
            <w:pPr>
              <w:pStyle w:val="TableCell"/>
            </w:pPr>
            <w:r>
              <w:t xml:space="preserve">3.49% (rose)</w:t>
            </w:r>
          </w:p>
        </w:tc>
        <w:tc>
          <w:tcPr>
            <w:tcW w:w="2340" w:type="dxa"/>
          </w:tcPr>
          <w:p>
            <w:pPr>
              <w:pStyle w:val="TableCell"/>
            </w:pPr>
            <w:r>
              <w:rPr>
                <w:b/>
              </w:rPr>
              <w:t xml:space="preserve">No sustained safe-haven bid</w:t>
            </w:r>
            <w:r>
              <w:t xml:space="preserve">; the Fed dominated Treasuries.</w:t>
            </w:r>
          </w:p>
        </w:tc>
      </w:tr>
      <w:tr>
        <w:tc>
          <w:tcPr>
            <w:tcW w:w="2340" w:type="dxa"/>
          </w:tcPr>
          <w:p>
            <w:pPr>
              <w:pStyle w:val="TableCell"/>
            </w:pPr>
            <w:r>
              <w:rPr>
                <w:b/>
              </w:rPr>
              <w:t xml:space="preserve">Broad dollar</w:t>
            </w:r>
          </w:p>
        </w:tc>
        <w:tc>
          <w:tcPr>
            <w:tcW w:w="2340" w:type="dxa"/>
          </w:tcPr>
          <w:p>
            <w:pPr>
              <w:pStyle w:val="TableCell"/>
            </w:pPr>
            <w:r>
              <w:t xml:space="preserve">114.7</w:t>
            </w:r>
          </w:p>
        </w:tc>
        <w:tc>
          <w:tcPr>
            <w:tcW w:w="2340" w:type="dxa"/>
          </w:tcPr>
          <w:p>
            <w:pPr>
              <w:pStyle w:val="TableCell"/>
            </w:pPr>
            <w:r>
              <w:t xml:space="preserve">121.7</w:t>
            </w:r>
          </w:p>
        </w:tc>
        <w:tc>
          <w:tcPr>
            <w:tcW w:w="2340" w:type="dxa"/>
          </w:tcPr>
          <w:p>
            <w:pPr>
              <w:pStyle w:val="TableCell"/>
            </w:pPr>
            <w:r>
              <w:t xml:space="preserve">A modest, durable </w:t>
            </w:r>
            <w:r>
              <w:rPr>
                <w:b/>
              </w:rPr>
              <w:t xml:space="preserve">flight-to-quality</w:t>
            </w:r>
            <w:r>
              <w:t xml:space="preserve"> to the dollar — the one clean safe-haven signal.</w:t>
            </w:r>
          </w:p>
        </w:tc>
      </w:tr>
    </w:tbl>
    <w:p>
      <w:r>
        <w:t xml:space="preserve">Chart: </w:t>
      </w:r>
      <w:r>
        <w:rPr>
          <w:rFonts w:ascii="Consolas" w:hAnsi="Consolas"/>
          <w:sz w:val="18"/>
        </w:rPr>
        <w:t xml:space="preserve">war_premia/results/modern_2022_discrimination.svg</w:t>
      </w:r>
      <w:r>
        <w:t xml:space="preserve"> — S&amp;P vs Brent indexed to the invasion eve. Equity roughly flat-to-recovering; oil spikes. </w:t>
      </w:r>
      <w:r>
        <w:rPr>
          <w:b/>
        </w:rPr>
        <w:t xml:space="preserve">That divergence *is* the discrimination finding</w:t>
      </w:r>
      <w:r>
        <w:t xml:space="preserve">: the market did not price a general/systemic war for the West; it priced a </w:t>
      </w:r>
      <w:r>
        <w:rPr>
          <w:i/>
        </w:rPr>
        <w:t xml:space="preserve">commodity shock</w:t>
      </w:r>
      <w:r>
        <w:t xml:space="preserve"> through the energy channel.</w:t>
      </w:r>
    </w:p>
    <w:p>
      <w:r>
        <w:t xml:space="preserve">This is the </w:t>
      </w:r>
      <w:r>
        <w:rPr>
          <w:b/>
        </w:rPr>
        <w:t xml:space="preserve">Falklands pattern at scale</w:t>
      </w:r>
      <w:r>
        <w:t xml:space="preserve"> (a localized-in-impact war the great markets discount) — and it maps onto the pre-1914 result exactly: the market prices </w:t>
      </w:r>
      <w:r>
        <w:rPr>
          <w:i/>
        </w:rPr>
        <w:t xml:space="preserve">systemic/general</w:t>
      </w:r>
      <w:r>
        <w:t xml:space="preserve"> war risk, not war-as-such. 2022 was catastrophic locally and narrow globally, and the price signals sorted it correctly in days.</w:t>
      </w:r>
    </w:p>
    <w:p>
      <w:pPr>
        <w:pStyle w:val="Heading3"/>
      </w:pPr>
      <w:r>
        <w:t xml:space="preserve">2. Which instrument carried the risk — the target's own market</w:t>
      </w:r>
    </w:p>
    <w:p>
      <w:r>
        <w:t xml:space="preserve">As in 1905 (the </w:t>
      </w:r>
      <w:r>
        <w:rPr>
          <w:i/>
        </w:rPr>
        <w:t xml:space="preserve">fonds russes</w:t>
      </w:r>
      <w:r>
        <w:t xml:space="preserve">, not the money market), the violence sat where the exposure was — </w:t>
      </w:r>
      <w:r>
        <w:rPr>
          <w:b/>
        </w:rPr>
        <w:t xml:space="preserve">on Russia</w:t>
      </w:r>
      <w:r>
        <w:t xml:space="preserve">, not on Western equity:</w:t>
      </w:r>
    </w:p>
    <w:p>
      <w:pPr>
        <w:pStyle w:val="ListParagraph"/>
        <w:ind w:left="360" w:hanging="360"/>
      </w:pPr>
      <w:r>
        <w:t xml:space="preserve">•  </w:t>
      </w:r>
      <w:r>
        <w:t xml:space="preserve">The </w:t>
      </w:r>
      <w:r>
        <w:rPr>
          <w:b/>
        </w:rPr>
        <w:t xml:space="preserve">ruble</w:t>
      </w:r>
      <w:r>
        <w:t xml:space="preserve"> fell from ~80 to ~</w:t>
      </w:r>
      <w:r>
        <w:rPr>
          <w:b/>
        </w:rPr>
        <w:t xml:space="preserve">135/USD</w:t>
      </w:r>
      <w:r>
        <w:t xml:space="preserve"> (7 Mar 2022) before capital controls + a 20% policy</w:t>
      </w:r>
    </w:p>
    <w:p>
      <w:r>
        <w:t xml:space="preserve">  rate + "gas-for-rubles" forced a rebound to </w:t>
      </w:r>
      <w:r>
        <w:rPr>
          <w:b/>
        </w:rPr>
        <w:t xml:space="preserve">pre-war levels by ~June</w:t>
      </w:r>
      <w:r>
        <w:t xml:space="preserve"> </w:t>
      </w:r>
      <w:r>
        <w:rPr>
          <w:i/>
        </w:rPr>
        <w:t xml:space="preserve">[VERIFY vs CBR/market   data]</w:t>
      </w:r>
      <w:r>
        <w:t xml:space="preserve">.</w:t>
      </w:r>
    </w:p>
    <w:p>
      <w:pPr>
        <w:pStyle w:val="ListParagraph"/>
        <w:ind w:left="360" w:hanging="360"/>
      </w:pPr>
      <w:r>
        <w:t xml:space="preserve">•  </w:t>
      </w:r>
      <w:r>
        <w:t xml:space="preserve">The </w:t>
      </w:r>
      <w:r>
        <w:rPr>
          <w:b/>
        </w:rPr>
        <w:t xml:space="preserve">Moscow Exchange (MOEX) closed for equities ~25 Feb–24 Mar 2022</w:t>
      </w:r>
      <w:r>
        <w:t xml:space="preserve"> — roughly a month — the</w:t>
      </w:r>
    </w:p>
    <w:p>
      <w:r>
        <w:t xml:space="preserve">  modern echo of a bourse suspending trading in a panic </w:t>
      </w:r>
      <w:r>
        <w:rPr>
          <w:i/>
        </w:rPr>
        <w:t xml:space="preserve">[VERIFY]</w:t>
      </w:r>
      <w:r>
        <w:t xml:space="preserve">.</w:t>
      </w:r>
    </w:p>
    <w:p>
      <w:pPr>
        <w:pStyle w:val="ListParagraph"/>
        <w:ind w:left="360" w:hanging="360"/>
      </w:pPr>
      <w:r>
        <w:t xml:space="preserve">•  </w:t>
      </w:r>
      <w:r>
        <w:t xml:space="preserve">Russia entered its </w:t>
      </w:r>
      <w:r>
        <w:rPr>
          <w:b/>
        </w:rPr>
        <w:t xml:space="preserve">first foreign-currency sovereign default since 1918</w:t>
      </w:r>
      <w:r>
        <w:t xml:space="preserve"> in </w:t>
      </w:r>
      <w:r>
        <w:rPr>
          <w:b/>
        </w:rPr>
        <w:t xml:space="preserve">June 2022</w:t>
      </w:r>
    </w:p>
    <w:p>
      <w:r>
        <w:t xml:space="preserve">  </w:t>
      </w:r>
      <w:r>
        <w:rPr>
          <w:i/>
        </w:rPr>
        <w:t xml:space="preserve">[VERIFY vs rating-agency/press record]</w:t>
      </w:r>
      <w:r>
        <w:t xml:space="preserve">.</w:t>
      </w:r>
    </w:p>
    <w:p>
      <w:r>
        <w:t xml:space="preserve">The great markets discriminated; the belligerent's own market took the hit. Same lesson, opposite century.</w:t>
      </w:r>
    </w:p>
    <w:p>
      <w:pPr>
        <w:pStyle w:val="Heading3"/>
      </w:pPr>
      <w:r>
        <w:t xml:space="preserve">3. Exposure vs. constraint — finance as the weapon (state, coercive edge)</w:t>
      </w:r>
    </w:p>
    <w:p>
      <w:r>
        <w:t xml:space="preserve">2022 is the cleanest modern case of the </w:t>
      </w:r>
      <w:r>
        <w:rPr>
          <w:b/>
        </w:rPr>
        <w:t xml:space="preserve">coercive edge</w:t>
      </w:r>
      <w:r>
        <w:t xml:space="preserve"> in the "three faces" taxonomy — finance wielded </w:t>
      </w:r>
      <w:r>
        <w:rPr>
          <w:i/>
        </w:rPr>
        <w:t xml:space="preserve">by states, offensively</w:t>
      </w:r>
      <w:r>
        <w:t xml:space="preserve">:</w:t>
      </w:r>
    </w:p>
    <w:p>
      <w:pPr>
        <w:pStyle w:val="ListParagraph"/>
        <w:ind w:left="360" w:hanging="360"/>
      </w:pPr>
      <w:r>
        <w:t xml:space="preserve">•  </w:t>
      </w:r>
      <w:r>
        <w:t xml:space="preserve">The </w:t>
      </w:r>
      <w:r>
        <w:rPr>
          <w:b/>
        </w:rPr>
        <w:t xml:space="preserve">G7/EU froze ~$300 billion of Russian central-bank reserves</w:t>
      </w:r>
      <w:r>
        <w:t xml:space="preserve"> — immobilizing roughly half</w:t>
      </w:r>
    </w:p>
    <w:p>
      <w:r>
        <w:t xml:space="preserve">  the war chest Russia had built precisely to sanction-proof itself </w:t>
      </w:r>
      <w:r>
        <w:rPr>
          <w:i/>
        </w:rPr>
        <w:t xml:space="preserve">[VERIFY vs official   statements]</w:t>
      </w:r>
      <w:r>
        <w:t xml:space="preserve">.</w:t>
      </w:r>
    </w:p>
    <w:p>
      <w:pPr>
        <w:pStyle w:val="ListParagraph"/>
        <w:ind w:left="360" w:hanging="360"/>
      </w:pPr>
      <w:r>
        <w:t xml:space="preserve">•  </w:t>
      </w:r>
      <w:r>
        <w:rPr>
          <w:b/>
        </w:rPr>
        <w:t xml:space="preserve">Major Russian banks were expelled from SWIFT</w:t>
      </w:r>
      <w:r>
        <w:t xml:space="preserve">; a wave of corporate exit and secondary-sanction</w:t>
      </w:r>
    </w:p>
    <w:p>
      <w:r>
        <w:t xml:space="preserve">  pressure followed.</w:t>
      </w:r>
    </w:p>
    <w:p>
      <w:r>
        <w:t xml:space="preserve">This is the direct lineage of </w:t>
      </w:r>
      <w:r>
        <w:rPr>
          <w:b/>
        </w:rPr>
        <w:t xml:space="preserve">Ruhr 1923 → the 1941 asset freeze → Suez 1956 → 2022</w:t>
      </w:r>
      <w:r>
        <w:t xml:space="preserve"> — the negative/coercive edge of face #3 (state-wielded finance). Note the honesty rule still applies: the </w:t>
      </w:r>
      <w:r>
        <w:rPr>
          <w:i/>
        </w:rPr>
        <w:t xml:space="preserve">effect</w:t>
      </w:r>
      <w:r>
        <w:t xml:space="preserve"> (severe damage to the Russian economy) is documented; the </w:t>
      </w:r>
      <w:r>
        <w:rPr>
          <w:i/>
        </w:rPr>
        <w:t xml:space="preserve">decisiveness</w:t>
      </w:r>
      <w:r>
        <w:t xml:space="preserve"> (did it change the war's course?) is contested and should not be overclaimed — the reserve freeze squeezed without, by itself, halting the invasion.</w:t>
      </w:r>
    </w:p>
    <w:p>
      <w:pPr>
        <w:pStyle w:val="Heading3"/>
      </w:pPr>
      <w:r>
        <w:t xml:space="preserve">4. Press triangulation — the modern equivalent</w:t>
      </w:r>
    </w:p>
    <w:p>
      <w:r>
        <w:t xml:space="preserve">The contemporary financial press named the drivers in real time (sanctions, energy, the reserve freeze) exactly as </w:t>
      </w:r>
      <w:r>
        <w:rPr>
          <w:i/>
        </w:rPr>
        <w:t xml:space="preserve">Le Temps</w:t>
      </w:r>
      <w:r>
        <w:t xml:space="preserve"> and Lansburgh did — the difference is only frequency and access, not method. A full write-up would quote the FT/Bloomberg/</w:t>
      </w:r>
      <w:r>
        <w:rPr>
          <w:i/>
        </w:rPr>
        <w:t xml:space="preserve">Economist</w:t>
      </w:r>
      <w:r>
        <w:t xml:space="preserve"> "what the market is pricing" copy against the price series, the same cause-vs-cover check used throughout.</w:t>
      </w:r>
    </w:p>
    <w:p>
      <w:pPr>
        <w:pStyle w:val="Heading3"/>
      </w:pPr>
      <w:r>
        <w:t xml:space="preserve">Why it matters for the book</w:t>
      </w:r>
    </w:p>
    <w:p>
      <w:pPr>
        <w:pStyle w:val="ListParagraph"/>
        <w:ind w:left="360" w:hanging="360"/>
      </w:pPr>
      <w:r>
        <w:t xml:space="preserve">•  </w:t>
      </w:r>
      <w:r>
        <w:t xml:space="preserve">It shows the framework </w:t>
      </w:r>
      <w:r>
        <w:rPr>
          <w:b/>
        </w:rPr>
        <w:t xml:space="preserve">scales from Fraktur OCR to real-time FRED</w:t>
      </w:r>
      <w:r>
        <w:t xml:space="preserve"> without changing the four</w:t>
      </w:r>
    </w:p>
    <w:p>
      <w:r>
        <w:t xml:space="preserve">  tests — the strongest possible evidence that the method is about </w:t>
      </w:r>
      <w:r>
        <w:rPr>
          <w:i/>
        </w:rPr>
        <w:t xml:space="preserve">structure</w:t>
      </w:r>
      <w:r>
        <w:t xml:space="preserve">, not a period.</w:t>
      </w:r>
    </w:p>
    <w:p>
      <w:pPr>
        <w:pStyle w:val="ListParagraph"/>
        <w:ind w:left="360" w:hanging="360"/>
      </w:pPr>
      <w:r>
        <w:t xml:space="preserve">•  </w:t>
      </w:r>
      <w:r>
        <w:t xml:space="preserve">It supplies a </w:t>
      </w:r>
      <w:r>
        <w:rPr>
          <w:b/>
        </w:rPr>
        <w:t xml:space="preserve">live discrimination result</w:t>
      </w:r>
      <w:r>
        <w:t xml:space="preserve">: even a war this large was priced by the West as a</w:t>
      </w:r>
    </w:p>
    <w:p>
      <w:r>
        <w:t xml:space="preserve">  </w:t>
      </w:r>
      <w:r>
        <w:rPr>
          <w:i/>
        </w:rPr>
        <w:t xml:space="preserve">commodity shock</w:t>
      </w:r>
      <w:r>
        <w:t xml:space="preserve">, not a systemic threat — the pre-1914 "general-war-only" finding, replayed.</w:t>
      </w:r>
    </w:p>
    <w:p>
      <w:pPr>
        <w:pStyle w:val="ListParagraph"/>
        <w:ind w:left="360" w:hanging="360"/>
      </w:pPr>
      <w:r>
        <w:t xml:space="preserve">•  </w:t>
      </w:r>
      <w:r>
        <w:t xml:space="preserve">It anchors the </w:t>
      </w:r>
      <w:r>
        <w:rPr>
          <w:b/>
        </w:rPr>
        <w:t xml:space="preserve">finance-as-weapon</w:t>
      </w:r>
      <w:r>
        <w:t xml:space="preserve"> extension (the face Kirshner's dove frame does not contain)</w:t>
      </w:r>
    </w:p>
    <w:p>
      <w:r>
        <w:t xml:space="preserve">  in an unambiguous modern case, so the taxonomy is not a period curiosity.</w:t>
      </w:r>
    </w:p>
    <w:p>
      <w:pPr>
        <w:pStyle w:val="Heading3"/>
      </w:pPr>
      <w:r>
        <w:t xml:space="preserve">Reproduce</w:t>
      </w:r>
    </w:p>
    <w:p>
      <w:pPr>
        <w:pStyle w:val="Code"/>
      </w:pPr>
      <w:r>
        <w:rPr>
          <w:rFonts w:ascii="Consolas" w:hAnsi="Consolas"/>
          <w:sz w:val="18"/>
        </w:rPr>
        <w:t xml:space="preserve">for ID in SP500 VIXCLS DCOILBRENTEU DGS10 DTWEXBGS; do</w:t>
      </w:r>
    </w:p>
    <w:p>
      <w:pPr>
        <w:pStyle w:val="Code"/>
      </w:pPr>
      <w:r>
        <w:rPr>
          <w:rFonts w:ascii="Consolas" w:hAnsi="Consolas"/>
          <w:sz w:val="18"/>
        </w:rPr>
        <w:t xml:space="preserve">  curl -sS "https://fred.stlouisfed.org/graph/fredgraph.csv?id=$ID&amp;cosd=2022-01-03&amp;coed=2022-06-30" -o fred_$ID.csv</w:t>
      </w:r>
    </w:p>
    <w:p>
      <w:pPr>
        <w:pStyle w:val="Code"/>
      </w:pPr>
      <w:r>
        <w:rPr>
          <w:rFonts w:ascii="Consolas" w:hAnsi="Consolas"/>
          <w:sz w:val="18"/>
        </w:rPr>
        <w:t xml:space="preserve">done</w:t>
      </w:r>
    </w:p>
    <w:p>
      <w:pPr>
        <w:pStyle w:val="Code"/>
      </w:pPr>
      <w:r>
        <w:rPr>
          <w:rFonts w:ascii="Consolas" w:hAnsi="Consolas"/>
          <w:sz w:val="18"/>
        </w:rPr>
        <w:t xml:space="preserve">## invasion: 24 Feb 2022. Index S&amp;P and Brent to the 23 Feb eve to see the divergence.</w:t>
      </w:r>
    </w:p>
    <w:p>
      <w:r>
        <w:rPr>
          <w:i/>
        </w:rPr>
        <w:t xml:space="preserve">Caveats: charted series are FRED daily (reproducible). Russian-side figures (ruble low, MOEX closure dates, reserve-freeze size, default date) are from the contemporary record and flagged [VERIFY] against primary/official sources before publication. The June equity low was Fed-driven, not the war — do not attribute it to Ukraine.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