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A1A1A"/>
          <w:spacing w:val="26"/>
          <w:sz w:val="30"/>
          <w:szCs w:val="30"/>
        </w:rPr>
        <w:t xml:space="preserve">MEMORANDUM</w:t>
      </w:r>
    </w:p>
    <w:p>
      <w:pPr>
        <w:pBdr>
          <w:bottom w:val="single" w:color="1A1A1A" w:sz="12" w:space="2"/>
        </w:pBdr>
        <w:spacing w:after="190"/>
      </w:pPr>
    </w:p>
    <w:p>
      <w:pPr>
        <w:spacing w:after="70"/>
      </w:pPr>
      <w:r>
        <w:rPr>
          <w:rFonts w:ascii="Calibri" w:cs="Calibri" w:eastAsia="Calibri" w:hAnsi="Calibri"/>
          <w:b/>
          <w:bCs/>
          <w:color w:val="555555"/>
          <w:sz w:val="18"/>
          <w:szCs w:val="18"/>
        </w:rPr>
        <w:t xml:space="preserve">DATE</w:t>
      </w:r>
      <w:r>
        <w:rPr>
          <w:rFonts w:ascii="Cambria" w:cs="Cambria" w:eastAsia="Cambria" w:hAnsi="Cambria"/>
          <w:color w:val="1A1A1A"/>
          <w:sz w:val="21"/>
          <w:szCs w:val="21"/>
        </w:rPr>
        <w:t xml:space="preserve"> September 2026</w:t>
      </w:r>
    </w:p>
    <w:p>
      <w:pPr>
        <w:spacing w:after="70"/>
      </w:pPr>
      <w:r>
        <w:rPr>
          <w:rFonts w:ascii="Calibri" w:cs="Calibri" w:eastAsia="Calibri" w:hAnsi="Calibri"/>
          <w:b/>
          <w:bCs/>
          <w:color w:val="555555"/>
          <w:sz w:val="18"/>
          <w:szCs w:val="18"/>
        </w:rPr>
        <w:t xml:space="preserve">RE</w:t>
      </w:r>
      <w:r>
        <w:rPr>
          <w:rFonts w:ascii="Cambria" w:cs="Cambria" w:eastAsia="Cambria" w:hAnsi="Cambria"/>
          <w:color w:val="1A1A1A"/>
          <w:sz w:val="21"/>
          <w:szCs w:val="21"/>
        </w:rPr>
        <w:t xml:space="preserve"> Walmart fluid-milk pricing and racial composition — summary of findings</w:t>
      </w:r>
    </w:p>
    <w:p>
      <w:pPr>
        <w:spacing w:after="70"/>
      </w:pPr>
      <w:r>
        <w:rPr>
          <w:rFonts w:ascii="Calibri" w:cs="Calibri" w:eastAsia="Calibri" w:hAnsi="Calibri"/>
          <w:b/>
          <w:bCs/>
          <w:color w:val="555555"/>
          <w:sz w:val="18"/>
          <w:szCs w:val="18"/>
        </w:rPr>
        <w:t xml:space="preserve">BASIS</w:t>
      </w:r>
      <w:r>
        <w:rPr>
          <w:rFonts w:ascii="Cambria" w:cs="Cambria" w:eastAsia="Cambria" w:hAnsi="Cambria"/>
          <w:color w:val="1A1A1A"/>
          <w:sz w:val="21"/>
          <w:szCs w:val="21"/>
        </w:rPr>
        <w:t xml:space="preserve"> 3,768 Walmart store-ZIPs across 43 states, joined to Census ACS B03002 and B19013</w:t>
      </w:r>
    </w:p>
    <w:p>
      <w:pPr>
        <w:spacing w:after="140"/>
      </w:pPr>
    </w:p>
    <w:p>
      <w:pPr>
        <w:pBdr>
          <w:left w:val="single" w:color="1B4A6B" w:sz="18" w:space="10"/>
        </w:pBdr>
        <w:spacing w:after="180" w:line="276"/>
        <w:ind w:left="170"/>
      </w:pPr>
      <w:r>
        <w:rPr>
          <w:rFonts w:ascii="Cambria" w:cs="Cambria" w:eastAsia="Cambria" w:hAnsi="Cambria"/>
          <w:b/>
          <w:bCs/>
          <w:color w:val="1A1A1A"/>
          <w:sz w:val="21"/>
          <w:szCs w:val="21"/>
        </w:rPr>
        <w:t xml:space="preserve">Bottom line.</w:t>
      </w:r>
      <w:r>
        <w:rPr>
          <w:rFonts w:ascii="Cambria" w:cs="Cambria" w:eastAsia="Cambria" w:hAnsi="Cambria"/>
          <w:color w:val="1A1A1A"/>
          <w:sz w:val="21"/>
          <w:szCs w:val="21"/>
        </w:rPr>
        <w:t xml:space="preserve"> A racial gradient in Walmart milk prices exists in </w:t>
      </w:r>
      <w:r>
        <w:rPr>
          <w:rFonts w:ascii="Cambria" w:cs="Cambria" w:eastAsia="Cambria" w:hAnsi="Cambria"/>
          <w:b/>
          <w:bCs/>
          <w:color w:val="1A1A1A"/>
          <w:sz w:val="21"/>
          <w:szCs w:val="21"/>
        </w:rPr>
        <w:t xml:space="preserve">low-income rural areas</w:t>
      </w:r>
      <w:r>
        <w:rPr>
          <w:rFonts w:ascii="Cambria" w:cs="Cambria" w:eastAsia="Cambria" w:hAnsi="Cambria"/>
          <w:color w:val="1A1A1A"/>
          <w:sz w:val="21"/>
          <w:szCs w:val="21"/>
        </w:rPr>
        <w:t xml:space="preserve"> and only there: roughly </w:t>
      </w:r>
      <w:r>
        <w:rPr>
          <w:rFonts w:ascii="Cambria" w:cs="Cambria" w:eastAsia="Cambria" w:hAnsi="Cambria"/>
          <w:b/>
          <w:bCs/>
          <w:color w:val="1A1A1A"/>
          <w:sz w:val="21"/>
          <w:szCs w:val="21"/>
        </w:rPr>
        <w:t xml:space="preserve">19¢/gallon</w:t>
      </w:r>
      <w:r>
        <w:rPr>
          <w:rFonts w:ascii="Cambria" w:cs="Cambria" w:eastAsia="Cambria" w:hAnsi="Cambria"/>
          <w:color w:val="1A1A1A"/>
          <w:sz w:val="21"/>
          <w:szCs w:val="21"/>
        </w:rPr>
        <w:t xml:space="preserve">, of which about half survives comparing within the same state. In urban areas the gradient runs the </w:t>
      </w:r>
      <w:r>
        <w:rPr>
          <w:rFonts w:ascii="Cambria" w:cs="Cambria" w:eastAsia="Cambria" w:hAnsi="Cambria"/>
          <w:b/>
          <w:bCs/>
          <w:color w:val="1A1A1A"/>
          <w:sz w:val="21"/>
          <w:szCs w:val="21"/>
        </w:rPr>
        <w:t xml:space="preserve">other way</w:t>
      </w:r>
      <w:r>
        <w:rPr>
          <w:rFonts w:ascii="Cambria" w:cs="Cambria" w:eastAsia="Cambria" w:hAnsi="Cambria"/>
          <w:color w:val="1A1A1A"/>
          <w:sz w:val="21"/>
          <w:szCs w:val="21"/>
        </w:rPr>
        <w:t xml:space="preserve">, which is why a pooled national estimate reads as zero.</w:t>
      </w:r>
    </w:p>
    <w:p>
      <w:pPr>
        <w:pBdr>
          <w:left w:val="single" w:color="1B4A6B" w:sz="18" w:space="10"/>
        </w:pBdr>
        <w:spacing w:after="180" w:line="276"/>
        <w:ind w:left="170"/>
      </w:pPr>
      <w:r>
        <w:rPr>
          <w:rFonts w:ascii="Cambria" w:cs="Cambria" w:eastAsia="Cambria" w:hAnsi="Cambria"/>
          <w:color w:val="1A1A1A"/>
          <w:sz w:val="21"/>
          <w:szCs w:val="21"/>
        </w:rPr>
        <w:t xml:space="preserve">The obvious objection — that this is the rural South rather than Walmart — can be tested, because Aldi prices the same ZIP codes. </w:t>
      </w:r>
      <w:r>
        <w:rPr>
          <w:rFonts w:ascii="Cambria" w:cs="Cambria" w:eastAsia="Cambria" w:hAnsi="Cambria"/>
          <w:b/>
          <w:bCs/>
          <w:color w:val="1A1A1A"/>
          <w:sz w:val="21"/>
          <w:szCs w:val="21"/>
        </w:rPr>
        <w:t xml:space="preserve">In 295 shared low-income rural ZIPs, Walmart charges 14¢ more in the Blacker ones and Aldi charges 11¢ less: a retailer difference of 24¢/gallon.</w:t>
      </w:r>
      <w:r>
        <w:rPr>
          <w:rFonts w:ascii="Cambria" w:cs="Cambria" w:eastAsia="Cambria" w:hAnsi="Cambria"/>
          <w:color w:val="1A1A1A"/>
          <w:sz w:val="21"/>
          <w:szCs w:val="21"/>
        </w:rPr>
        <w:t xml:space="preserve"> That is the strongest evidence in this analysis, and it is still </w:t>
      </w:r>
      <w:r>
        <w:rPr>
          <w:rFonts w:ascii="Cambria" w:cs="Cambria" w:eastAsia="Cambria" w:hAnsi="Cambria"/>
          <w:b/>
          <w:bCs/>
          <w:color w:val="1A1A1A"/>
          <w:sz w:val="21"/>
          <w:szCs w:val="21"/>
        </w:rPr>
        <w:t xml:space="preserve">not statistically significant</w:t>
      </w:r>
      <w:r>
        <w:rPr>
          <w:rFonts w:ascii="Cambria" w:cs="Cambria" w:eastAsia="Cambria" w:hAnsi="Cambria"/>
          <w:color w:val="1A1A1A"/>
          <w:sz w:val="21"/>
          <w:szCs w:val="21"/>
        </w:rPr>
        <w:t xml:space="preserve"> once errors are clustered. The finding should be described as a pattern worth investigating, not as a demonstrated practice.</w:t>
      </w:r>
    </w:p>
    <w:p>
      <w:pPr>
        <w:pStyle w:val="Heading2"/>
        <w:spacing w:after="150" w:before="340"/>
      </w:pPr>
      <w:r>
        <w:rPr>
          <w:rFonts w:ascii="Calibri" w:cs="Calibri" w:eastAsia="Calibri" w:hAnsi="Calibri"/>
          <w:b/>
          <w:bCs/>
          <w:color w:val="1B4A6B"/>
          <w:sz w:val="26"/>
          <w:szCs w:val="26"/>
        </w:rPr>
        <w:t xml:space="preserve">1. Where the finding is, and where it is not</w:t>
      </w:r>
    </w:p>
    <w:p>
      <w:pPr>
        <w:spacing w:after="140" w:line="276"/>
      </w:pPr>
      <w:r>
        <w:rPr>
          <w:rFonts w:ascii="Cambria" w:cs="Cambria" w:eastAsia="Cambria" w:hAnsi="Cambria"/>
          <w:color w:val="1A1A1A"/>
          <w:sz w:val="21"/>
          <w:szCs w:val="21"/>
        </w:rPr>
        <w:t xml:space="preserve">Comparing ZIP codes at least 30% Black against ZIP codes under 10% Black, matched on median household income and on urban/rural status:</w:t>
      </w:r>
    </w:p>
    <w:tbl>
      <w:tblPr>
        <w:tblW w:type="dxa" w:w="9360"/>
        <w:tblBorders>
          <w:top w:val="single" w:color="9AA7B2" w:sz="6"/>
          <w:left w:val="none" w:color="FFFFFF" w:sz="0"/>
          <w:bottom w:val="single" w:color="9AA7B2" w:sz="6"/>
          <w:right w:val="none" w:color="FFFFFF" w:sz="0"/>
          <w:insideH w:val="single" w:color="D6DDE3" w:sz="2"/>
          <w:insideV w:val="none" w:color="FFFFFF" w:sz="0"/>
        </w:tblBorders>
      </w:tblPr>
      <w:tblGrid>
        <w:gridCol w:w="2621"/>
        <w:gridCol w:w="1310"/>
        <w:gridCol w:w="1310"/>
        <w:gridCol w:w="1404"/>
        <w:gridCol w:w="1404"/>
        <w:gridCol w:w="1311"/>
      </w:tblGrid>
      <w:tr>
        <w:trPr>
          <w:tblHeader/>
        </w:trPr>
        <w:tc>
          <w:tcPr>
            <w:tcW w:type="dxa" w:w="2621"/>
            <w:shd w:fill="EDF1F5" w:color="auto" w:val="clear"/>
            <w:tcMar>
              <w:top w:type="dxa" w:w="70"/>
              <w:left w:type="dxa" w:w="110"/>
              <w:bottom w:type="dxa" w:w="70"/>
              <w:right w:type="dxa" w:w="110"/>
            </w:tcMar>
          </w:tcPr>
          <w:p>
            <w:pPr>
              <w:spacing w:after="0" w:line="250"/>
            </w:pPr>
            <w:r>
              <w:rPr>
                <w:rFonts w:ascii="Calibri" w:cs="Calibri" w:eastAsia="Calibri" w:hAnsi="Calibri"/>
                <w:b/>
                <w:bCs/>
                <w:color w:val="1A1A1A"/>
                <w:sz w:val="17"/>
                <w:szCs w:val="17"/>
              </w:rPr>
              <w:t xml:space="preserve">Income quartile × setting</w:t>
            </w:r>
          </w:p>
        </w:tc>
        <w:tc>
          <w:tcPr>
            <w:tcW w:type="dxa" w:w="1310"/>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n high</w:t>
            </w:r>
          </w:p>
        </w:tc>
        <w:tc>
          <w:tcPr>
            <w:tcW w:type="dxa" w:w="1310"/>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n low</w:t>
            </w:r>
          </w:p>
        </w:tc>
        <w:tc>
          <w:tcPr>
            <w:tcW w:type="dxa" w:w="1404"/>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High-Black</w:t>
            </w:r>
          </w:p>
        </w:tc>
        <w:tc>
          <w:tcPr>
            <w:tcW w:type="dxa" w:w="1404"/>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Low-Black</w:t>
            </w:r>
          </w:p>
        </w:tc>
        <w:tc>
          <w:tcPr>
            <w:tcW w:type="dxa" w:w="1311"/>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Gap</w:t>
            </w:r>
          </w:p>
        </w:tc>
      </w:tr>
      <w:tr>
        <w:tc>
          <w:tcPr>
            <w:tcW w:type="dxa" w:w="2621"/>
            <w:tcMar>
              <w:top w:type="dxa" w:w="70"/>
              <w:left w:type="dxa" w:w="110"/>
              <w:bottom w:type="dxa" w:w="70"/>
              <w:right w:type="dxa" w:w="110"/>
            </w:tcMar>
          </w:tcPr>
          <w:p>
            <w:pPr>
              <w:spacing w:after="0" w:line="250"/>
            </w:pPr>
            <w:r>
              <w:rPr>
                <w:rFonts w:ascii="Calibri" w:cs="Calibri" w:eastAsia="Calibri" w:hAnsi="Calibri"/>
                <w:b/>
                <w:bCs/>
                <w:color w:val="1A1A1A"/>
                <w:sz w:val="18"/>
                <w:szCs w:val="18"/>
              </w:rPr>
              <w:t xml:space="preserve">Q1 (lowest), rural</w:t>
            </w:r>
          </w:p>
        </w:tc>
        <w:tc>
          <w:tcPr>
            <w:tcW w:type="dxa" w:w="131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165</w:t>
            </w:r>
          </w:p>
        </w:tc>
        <w:tc>
          <w:tcPr>
            <w:tcW w:type="dxa" w:w="131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383</w:t>
            </w:r>
          </w:p>
        </w:tc>
        <w:tc>
          <w:tcPr>
            <w:tcW w:type="dxa" w:w="140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$3.988</w:t>
            </w:r>
          </w:p>
        </w:tc>
        <w:tc>
          <w:tcPr>
            <w:tcW w:type="dxa" w:w="140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$3.799</w:t>
            </w:r>
          </w:p>
        </w:tc>
        <w:tc>
          <w:tcPr>
            <w:tcW w:type="dxa" w:w="1311"/>
            <w:tcMar>
              <w:top w:type="dxa" w:w="70"/>
              <w:left w:type="dxa" w:w="110"/>
              <w:bottom w:type="dxa" w:w="70"/>
              <w:right w:type="dxa" w:w="110"/>
            </w:tcMar>
          </w:tcPr>
          <w:p>
            <w:pPr>
              <w:spacing w:after="0" w:line="250"/>
              <w:jc w:val="right"/>
            </w:pPr>
            <w:r>
              <w:rPr>
                <w:rFonts w:ascii="Calibri" w:cs="Calibri" w:eastAsia="Calibri" w:hAnsi="Calibri"/>
                <w:b/>
                <w:bCs/>
                <w:color w:val="8C2F22"/>
                <w:sz w:val="18"/>
                <w:szCs w:val="18"/>
              </w:rPr>
              <w:t xml:space="preserve">+$0.189</w:t>
            </w:r>
          </w:p>
        </w:tc>
      </w:tr>
      <w:tr>
        <w:tc>
          <w:tcPr>
            <w:tcW w:type="dxa" w:w="2621"/>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Q1, urban</w:t>
            </w:r>
          </w:p>
        </w:tc>
        <w:tc>
          <w:tcPr>
            <w:tcW w:type="dxa" w:w="131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84</w:t>
            </w:r>
          </w:p>
        </w:tc>
        <w:tc>
          <w:tcPr>
            <w:tcW w:type="dxa" w:w="131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94</w:t>
            </w:r>
          </w:p>
        </w:tc>
        <w:tc>
          <w:tcPr>
            <w:tcW w:type="dxa" w:w="140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$3.298</w:t>
            </w:r>
          </w:p>
        </w:tc>
        <w:tc>
          <w:tcPr>
            <w:tcW w:type="dxa" w:w="140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$3.348</w:t>
            </w:r>
          </w:p>
        </w:tc>
        <w:tc>
          <w:tcPr>
            <w:tcW w:type="dxa" w:w="1311"/>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−$0.050</w:t>
            </w:r>
          </w:p>
        </w:tc>
      </w:tr>
      <w:tr>
        <w:tc>
          <w:tcPr>
            <w:tcW w:type="dxa" w:w="2621"/>
            <w:tcMar>
              <w:top w:type="dxa" w:w="70"/>
              <w:left w:type="dxa" w:w="110"/>
              <w:bottom w:type="dxa" w:w="70"/>
              <w:right w:type="dxa" w:w="110"/>
            </w:tcMar>
          </w:tcPr>
          <w:p>
            <w:pPr>
              <w:spacing w:after="0" w:line="250"/>
            </w:pPr>
            <w:r>
              <w:rPr>
                <w:rFonts w:ascii="Calibri" w:cs="Calibri" w:eastAsia="Calibri" w:hAnsi="Calibri"/>
                <w:b/>
                <w:bCs/>
                <w:color w:val="1A1A1A"/>
                <w:sz w:val="18"/>
                <w:szCs w:val="18"/>
              </w:rPr>
              <w:t xml:space="preserve">Q2, rural</w:t>
            </w:r>
          </w:p>
        </w:tc>
        <w:tc>
          <w:tcPr>
            <w:tcW w:type="dxa" w:w="131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41</w:t>
            </w:r>
          </w:p>
        </w:tc>
        <w:tc>
          <w:tcPr>
            <w:tcW w:type="dxa" w:w="131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503</w:t>
            </w:r>
          </w:p>
        </w:tc>
        <w:tc>
          <w:tcPr>
            <w:tcW w:type="dxa" w:w="140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$3.680</w:t>
            </w:r>
          </w:p>
        </w:tc>
        <w:tc>
          <w:tcPr>
            <w:tcW w:type="dxa" w:w="140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$3.608</w:t>
            </w:r>
          </w:p>
        </w:tc>
        <w:tc>
          <w:tcPr>
            <w:tcW w:type="dxa" w:w="1311"/>
            <w:tcMar>
              <w:top w:type="dxa" w:w="70"/>
              <w:left w:type="dxa" w:w="110"/>
              <w:bottom w:type="dxa" w:w="70"/>
              <w:right w:type="dxa" w:w="110"/>
            </w:tcMar>
          </w:tcPr>
          <w:p>
            <w:pPr>
              <w:spacing w:after="0" w:line="250"/>
              <w:jc w:val="right"/>
            </w:pPr>
            <w:r>
              <w:rPr>
                <w:rFonts w:ascii="Calibri" w:cs="Calibri" w:eastAsia="Calibri" w:hAnsi="Calibri"/>
                <w:b/>
                <w:bCs/>
                <w:color w:val="8C2F22"/>
                <w:sz w:val="18"/>
                <w:szCs w:val="18"/>
              </w:rPr>
              <w:t xml:space="preserve">+$0.071</w:t>
            </w:r>
          </w:p>
        </w:tc>
      </w:tr>
      <w:tr>
        <w:tc>
          <w:tcPr>
            <w:tcW w:type="dxa" w:w="2621"/>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Q2, urban</w:t>
            </w:r>
          </w:p>
        </w:tc>
        <w:tc>
          <w:tcPr>
            <w:tcW w:type="dxa" w:w="131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51</w:t>
            </w:r>
          </w:p>
        </w:tc>
        <w:tc>
          <w:tcPr>
            <w:tcW w:type="dxa" w:w="131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121</w:t>
            </w:r>
          </w:p>
        </w:tc>
        <w:tc>
          <w:tcPr>
            <w:tcW w:type="dxa" w:w="140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$3.287</w:t>
            </w:r>
          </w:p>
        </w:tc>
        <w:tc>
          <w:tcPr>
            <w:tcW w:type="dxa" w:w="140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$3.337</w:t>
            </w:r>
          </w:p>
        </w:tc>
        <w:tc>
          <w:tcPr>
            <w:tcW w:type="dxa" w:w="1311"/>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−$0.050</w:t>
            </w:r>
          </w:p>
        </w:tc>
      </w:tr>
      <w:tr>
        <w:tc>
          <w:tcPr>
            <w:tcW w:type="dxa" w:w="2621"/>
            <w:tcMar>
              <w:top w:type="dxa" w:w="70"/>
              <w:left w:type="dxa" w:w="110"/>
              <w:bottom w:type="dxa" w:w="70"/>
              <w:right w:type="dxa" w:w="110"/>
            </w:tcMar>
          </w:tcPr>
          <w:p>
            <w:pPr>
              <w:spacing w:after="0" w:line="250"/>
            </w:pPr>
            <w:r>
              <w:rPr>
                <w:rFonts w:ascii="Calibri" w:cs="Calibri" w:eastAsia="Calibri" w:hAnsi="Calibri"/>
                <w:b/>
                <w:bCs/>
                <w:color w:val="1A1A1A"/>
                <w:sz w:val="18"/>
                <w:szCs w:val="18"/>
              </w:rPr>
              <w:t xml:space="preserve">Q3, rural</w:t>
            </w:r>
          </w:p>
        </w:tc>
        <w:tc>
          <w:tcPr>
            <w:tcW w:type="dxa" w:w="131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24</w:t>
            </w:r>
          </w:p>
        </w:tc>
        <w:tc>
          <w:tcPr>
            <w:tcW w:type="dxa" w:w="131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407</w:t>
            </w:r>
          </w:p>
        </w:tc>
        <w:tc>
          <w:tcPr>
            <w:tcW w:type="dxa" w:w="140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$3.616</w:t>
            </w:r>
          </w:p>
        </w:tc>
        <w:tc>
          <w:tcPr>
            <w:tcW w:type="dxa" w:w="140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$3.521</w:t>
            </w:r>
          </w:p>
        </w:tc>
        <w:tc>
          <w:tcPr>
            <w:tcW w:type="dxa" w:w="1311"/>
            <w:tcMar>
              <w:top w:type="dxa" w:w="70"/>
              <w:left w:type="dxa" w:w="110"/>
              <w:bottom w:type="dxa" w:w="70"/>
              <w:right w:type="dxa" w:w="110"/>
            </w:tcMar>
          </w:tcPr>
          <w:p>
            <w:pPr>
              <w:spacing w:after="0" w:line="250"/>
              <w:jc w:val="right"/>
            </w:pPr>
            <w:r>
              <w:rPr>
                <w:rFonts w:ascii="Calibri" w:cs="Calibri" w:eastAsia="Calibri" w:hAnsi="Calibri"/>
                <w:b/>
                <w:bCs/>
                <w:color w:val="8C2F22"/>
                <w:sz w:val="18"/>
                <w:szCs w:val="18"/>
              </w:rPr>
              <w:t xml:space="preserve">+$0.095</w:t>
            </w:r>
          </w:p>
        </w:tc>
      </w:tr>
      <w:tr>
        <w:tc>
          <w:tcPr>
            <w:tcW w:type="dxa" w:w="2621"/>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Q3, urban</w:t>
            </w:r>
          </w:p>
        </w:tc>
        <w:tc>
          <w:tcPr>
            <w:tcW w:type="dxa" w:w="131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33</w:t>
            </w:r>
          </w:p>
        </w:tc>
        <w:tc>
          <w:tcPr>
            <w:tcW w:type="dxa" w:w="131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242</w:t>
            </w:r>
          </w:p>
        </w:tc>
        <w:tc>
          <w:tcPr>
            <w:tcW w:type="dxa" w:w="140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$3.093</w:t>
            </w:r>
          </w:p>
        </w:tc>
        <w:tc>
          <w:tcPr>
            <w:tcW w:type="dxa" w:w="140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$3.351</w:t>
            </w:r>
          </w:p>
        </w:tc>
        <w:tc>
          <w:tcPr>
            <w:tcW w:type="dxa" w:w="1311"/>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−$0.258</w:t>
            </w:r>
          </w:p>
        </w:tc>
      </w:tr>
      <w:tr>
        <w:tc>
          <w:tcPr>
            <w:tcW w:type="dxa" w:w="2621"/>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Q4 (highest), rural</w:t>
            </w:r>
          </w:p>
        </w:tc>
        <w:tc>
          <w:tcPr>
            <w:tcW w:type="dxa" w:w="131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5</w:t>
            </w:r>
          </w:p>
        </w:tc>
        <w:tc>
          <w:tcPr>
            <w:tcW w:type="dxa" w:w="131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298</w:t>
            </w:r>
          </w:p>
        </w:tc>
        <w:tc>
          <w:tcPr>
            <w:tcW w:type="dxa" w:w="140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$3.036</w:t>
            </w:r>
          </w:p>
        </w:tc>
        <w:tc>
          <w:tcPr>
            <w:tcW w:type="dxa" w:w="140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$3.417</w:t>
            </w:r>
          </w:p>
        </w:tc>
        <w:tc>
          <w:tcPr>
            <w:tcW w:type="dxa" w:w="1311"/>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−$0.381</w:t>
            </w:r>
          </w:p>
        </w:tc>
      </w:tr>
      <w:tr>
        <w:tc>
          <w:tcPr>
            <w:tcW w:type="dxa" w:w="2621"/>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Q4, urban</w:t>
            </w:r>
          </w:p>
        </w:tc>
        <w:tc>
          <w:tcPr>
            <w:tcW w:type="dxa" w:w="131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23</w:t>
            </w:r>
          </w:p>
        </w:tc>
        <w:tc>
          <w:tcPr>
            <w:tcW w:type="dxa" w:w="131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429</w:t>
            </w:r>
          </w:p>
        </w:tc>
        <w:tc>
          <w:tcPr>
            <w:tcW w:type="dxa" w:w="140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$2.941</w:t>
            </w:r>
          </w:p>
        </w:tc>
        <w:tc>
          <w:tcPr>
            <w:tcW w:type="dxa" w:w="1404"/>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$3.338</w:t>
            </w:r>
          </w:p>
        </w:tc>
        <w:tc>
          <w:tcPr>
            <w:tcW w:type="dxa" w:w="1311"/>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−$0.397</w:t>
            </w:r>
          </w:p>
        </w:tc>
      </w:tr>
    </w:tbl>
    <w:p>
      <w:pPr>
        <w:spacing w:after="110"/>
      </w:pPr>
    </w:p>
    <w:p>
      <w:pPr>
        <w:spacing w:after="140" w:line="276"/>
      </w:pPr>
      <w:r>
        <w:rPr>
          <w:rFonts w:ascii="Cambria" w:cs="Cambria" w:eastAsia="Cambria" w:hAnsi="Cambria"/>
          <w:b/>
          <w:bCs/>
          <w:color w:val="1A1A1A"/>
          <w:sz w:val="21"/>
          <w:szCs w:val="21"/>
        </w:rPr>
        <w:t xml:space="preserve">Every lower-income rural cell is positive; every urban cell is negative.</w:t>
      </w:r>
      <w:r>
        <w:rPr>
          <w:rFonts w:ascii="Cambria" w:cs="Cambria" w:eastAsia="Cambria" w:hAnsi="Cambria"/>
          <w:color w:val="1A1A1A"/>
          <w:sz w:val="21"/>
          <w:szCs w:val="21"/>
        </w:rPr>
        <w:t xml:space="preserve"> Pooled together they cancel — a national regression of price on percent Black, controlling for income and urbanicity, returns −0.00024 (t −0.39), which is indistinguishable from zero. That pooled figure is arithmetically correct and substantively misleading: it averages two opposite patterns.</w:t>
      </w:r>
    </w:p>
    <w:p>
      <w:pPr>
        <w:spacing w:after="140" w:line="276"/>
      </w:pPr>
      <w:r>
        <w:rPr>
          <w:rFonts w:ascii="Cambria" w:cs="Cambria" w:eastAsia="Cambria" w:hAnsi="Cambria"/>
          <w:color w:val="1A1A1A"/>
          <w:sz w:val="21"/>
          <w:szCs w:val="21"/>
        </w:rPr>
        <w:t xml:space="preserve">This also explains why tests conducted inside metropolitan areas find nothing. Those tests are </w:t>
      </w:r>
      <w:r>
        <w:rPr>
          <w:rFonts w:ascii="Cambria" w:cs="Cambria" w:eastAsia="Cambria" w:hAnsi="Cambria"/>
          <w:b/>
          <w:bCs/>
          <w:color w:val="1A1A1A"/>
          <w:sz w:val="21"/>
          <w:szCs w:val="21"/>
        </w:rPr>
        <w:t xml:space="preserve">urban by construction</w:t>
      </w:r>
      <w:r>
        <w:rPr>
          <w:rFonts w:ascii="Cambria" w:cs="Cambria" w:eastAsia="Cambria" w:hAnsi="Cambria"/>
          <w:color w:val="1A1A1A"/>
          <w:sz w:val="21"/>
          <w:szCs w:val="21"/>
        </w:rPr>
        <w:t xml:space="preserve"> and cannot reach the segment where the effect appears.</w:t>
      </w:r>
    </w:p>
    <w:p>
      <w:pPr>
        <w:pStyle w:val="Heading2"/>
        <w:spacing w:after="150" w:before="340"/>
      </w:pPr>
      <w:r>
        <w:rPr>
          <w:rFonts w:ascii="Calibri" w:cs="Calibri" w:eastAsia="Calibri" w:hAnsi="Calibri"/>
          <w:b/>
          <w:bCs/>
          <w:color w:val="1B4A6B"/>
          <w:sz w:val="26"/>
          <w:szCs w:val="26"/>
        </w:rPr>
        <w:t xml:space="preserve">2. Inside the segment: the result, and its limits</w:t>
      </w:r>
    </w:p>
    <w:p>
      <w:pPr>
        <w:spacing w:after="140" w:line="276"/>
      </w:pPr>
      <w:r>
        <w:rPr>
          <w:rFonts w:ascii="Cambria" w:cs="Cambria" w:eastAsia="Cambria" w:hAnsi="Cambria"/>
          <w:color w:val="1A1A1A"/>
          <w:sz w:val="21"/>
          <w:szCs w:val="21"/>
        </w:rPr>
        <w:t xml:space="preserve">Bottom-income-quartile rural stores, n = 691 across 37 states and 440 counties. Regression of shelf price on percent Black, controlling for income and log population:</w:t>
      </w:r>
    </w:p>
    <w:tbl>
      <w:tblPr>
        <w:tblW w:type="dxa" w:w="9360"/>
        <w:tblBorders>
          <w:top w:val="single" w:color="9AA7B2" w:sz="6"/>
          <w:left w:val="none" w:color="FFFFFF" w:sz="0"/>
          <w:bottom w:val="single" w:color="9AA7B2" w:sz="6"/>
          <w:right w:val="none" w:color="FFFFFF" w:sz="0"/>
          <w:insideH w:val="single" w:color="D6DDE3" w:sz="2"/>
          <w:insideV w:val="none" w:color="FFFFFF" w:sz="0"/>
        </w:tblBorders>
      </w:tblPr>
      <w:tblGrid>
        <w:gridCol w:w="3182"/>
        <w:gridCol w:w="2059"/>
        <w:gridCol w:w="2059"/>
        <w:gridCol w:w="2060"/>
      </w:tblGrid>
      <w:tr>
        <w:trPr>
          <w:tblHeader/>
        </w:trPr>
        <w:tc>
          <w:tcPr>
            <w:tcW w:type="dxa" w:w="3182"/>
            <w:shd w:fill="EDF1F5" w:color="auto" w:val="clear"/>
            <w:tcMar>
              <w:top w:type="dxa" w:w="70"/>
              <w:left w:type="dxa" w:w="110"/>
              <w:bottom w:type="dxa" w:w="70"/>
              <w:right w:type="dxa" w:w="110"/>
            </w:tcMar>
          </w:tcPr>
          <w:p>
            <w:pPr>
              <w:spacing w:after="0" w:line="250"/>
            </w:pPr>
            <w:r>
              <w:rPr>
                <w:rFonts w:ascii="Calibri" w:cs="Calibri" w:eastAsia="Calibri" w:hAnsi="Calibri"/>
                <w:b/>
                <w:bCs/>
                <w:color w:val="1A1A1A"/>
                <w:sz w:val="17"/>
                <w:szCs w:val="17"/>
              </w:rPr>
              <w:t xml:space="preserve">Geographic control</w:t>
            </w:r>
          </w:p>
        </w:tc>
        <w:tc>
          <w:tcPr>
            <w:tcW w:type="dxa" w:w="2059"/>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Coef $/gal per point</w:t>
            </w:r>
          </w:p>
        </w:tc>
        <w:tc>
          <w:tcPr>
            <w:tcW w:type="dxa" w:w="2059"/>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t (conventional)</w:t>
            </w:r>
          </w:p>
        </w:tc>
        <w:tc>
          <w:tcPr>
            <w:tcW w:type="dxa" w:w="2060"/>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t (clustered on state)</w:t>
            </w:r>
          </w:p>
        </w:tc>
      </w:tr>
      <w:tr>
        <w:tc>
          <w:tcPr>
            <w:tcW w:type="dxa" w:w="3182"/>
            <w:tcMar>
              <w:top w:type="dxa" w:w="70"/>
              <w:left w:type="dxa" w:w="110"/>
              <w:bottom w:type="dxa" w:w="70"/>
              <w:right w:type="dxa" w:w="110"/>
            </w:tcMar>
          </w:tcPr>
          <w:p>
            <w:pPr>
              <w:spacing w:after="0" w:line="250"/>
            </w:pPr>
            <w:r>
              <w:rPr>
                <w:rFonts w:ascii="Calibri" w:cs="Calibri" w:eastAsia="Calibri" w:hAnsi="Calibri"/>
                <w:b/>
                <w:bCs/>
                <w:color w:val="1A1A1A"/>
                <w:sz w:val="18"/>
                <w:szCs w:val="18"/>
              </w:rPr>
              <w:t xml:space="preserve">None</w:t>
            </w:r>
          </w:p>
        </w:tc>
        <w:tc>
          <w:tcPr>
            <w:tcW w:type="dxa" w:w="2059"/>
            <w:tcMar>
              <w:top w:type="dxa" w:w="70"/>
              <w:left w:type="dxa" w:w="110"/>
              <w:bottom w:type="dxa" w:w="70"/>
              <w:right w:type="dxa" w:w="110"/>
            </w:tcMar>
          </w:tcPr>
          <w:p>
            <w:pPr>
              <w:spacing w:after="0" w:line="250"/>
              <w:jc w:val="right"/>
            </w:pPr>
            <w:r>
              <w:rPr>
                <w:rFonts w:ascii="Calibri" w:cs="Calibri" w:eastAsia="Calibri" w:hAnsi="Calibri"/>
                <w:b/>
                <w:bCs/>
                <w:color w:val="8C2F22"/>
                <w:sz w:val="18"/>
                <w:szCs w:val="18"/>
              </w:rPr>
              <w:t xml:space="preserve">+0.00334</w:t>
            </w:r>
          </w:p>
        </w:tc>
        <w:tc>
          <w:tcPr>
            <w:tcW w:type="dxa" w:w="2059"/>
            <w:tcMar>
              <w:top w:type="dxa" w:w="70"/>
              <w:left w:type="dxa" w:w="110"/>
              <w:bottom w:type="dxa" w:w="70"/>
              <w:right w:type="dxa" w:w="110"/>
            </w:tcMar>
          </w:tcPr>
          <w:p>
            <w:pPr>
              <w:spacing w:after="0" w:line="250"/>
              <w:jc w:val="right"/>
            </w:pPr>
            <w:r>
              <w:rPr>
                <w:rFonts w:ascii="Calibri" w:cs="Calibri" w:eastAsia="Calibri" w:hAnsi="Calibri"/>
                <w:b/>
                <w:bCs/>
                <w:color w:val="8C2F22"/>
                <w:sz w:val="18"/>
                <w:szCs w:val="18"/>
              </w:rPr>
              <w:t xml:space="preserve">+2.77</w:t>
            </w:r>
          </w:p>
        </w:tc>
        <w:tc>
          <w:tcPr>
            <w:tcW w:type="dxa" w:w="206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+1.00</w:t>
            </w:r>
          </w:p>
        </w:tc>
      </w:tr>
      <w:tr>
        <w:tc>
          <w:tcPr>
            <w:tcW w:type="dxa" w:w="3182"/>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State fixed effects</w:t>
            </w:r>
          </w:p>
        </w:tc>
        <w:tc>
          <w:tcPr>
            <w:tcW w:type="dxa" w:w="2059"/>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−0.00159</w:t>
            </w:r>
          </w:p>
        </w:tc>
        <w:tc>
          <w:tcPr>
            <w:tcW w:type="dxa" w:w="2059"/>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−1.34</w:t>
            </w:r>
          </w:p>
        </w:tc>
        <w:tc>
          <w:tcPr>
            <w:tcW w:type="dxa" w:w="206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−0.78</w:t>
            </w:r>
          </w:p>
        </w:tc>
      </w:tr>
      <w:tr>
        <w:tc>
          <w:tcPr>
            <w:tcW w:type="dxa" w:w="3182"/>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ZIP3 fixed effects</w:t>
            </w:r>
          </w:p>
        </w:tc>
        <w:tc>
          <w:tcPr>
            <w:tcW w:type="dxa" w:w="2059"/>
            <w:tcMar>
              <w:top w:type="dxa" w:w="70"/>
              <w:left w:type="dxa" w:w="110"/>
              <w:bottom w:type="dxa" w:w="70"/>
              <w:right w:type="dxa" w:w="110"/>
            </w:tcMar>
          </w:tcPr>
          <w:p>
            <w:pPr>
              <w:spacing w:after="0" w:line="250"/>
              <w:jc w:val="right"/>
            </w:pPr>
            <w:r>
              <w:rPr>
                <w:rFonts w:ascii="Calibri" w:cs="Calibri" w:eastAsia="Calibri" w:hAnsi="Calibri"/>
                <w:b/>
                <w:bCs/>
                <w:color w:val="8C2F22"/>
                <w:sz w:val="18"/>
                <w:szCs w:val="18"/>
              </w:rPr>
              <w:t xml:space="preserve">−0.00525</w:t>
            </w:r>
          </w:p>
        </w:tc>
        <w:tc>
          <w:tcPr>
            <w:tcW w:type="dxa" w:w="2059"/>
            <w:tcMar>
              <w:top w:type="dxa" w:w="70"/>
              <w:left w:type="dxa" w:w="110"/>
              <w:bottom w:type="dxa" w:w="70"/>
              <w:right w:type="dxa" w:w="110"/>
            </w:tcMar>
          </w:tcPr>
          <w:p>
            <w:pPr>
              <w:spacing w:after="0" w:line="250"/>
              <w:jc w:val="right"/>
            </w:pPr>
            <w:r>
              <w:rPr>
                <w:rFonts w:ascii="Calibri" w:cs="Calibri" w:eastAsia="Calibri" w:hAnsi="Calibri"/>
                <w:b/>
                <w:bCs/>
                <w:color w:val="8C2F22"/>
                <w:sz w:val="18"/>
                <w:szCs w:val="18"/>
              </w:rPr>
              <w:t xml:space="preserve">−2.80</w:t>
            </w:r>
          </w:p>
        </w:tc>
        <w:tc>
          <w:tcPr>
            <w:tcW w:type="dxa" w:w="2060"/>
            <w:tcMar>
              <w:top w:type="dxa" w:w="70"/>
              <w:left w:type="dxa" w:w="110"/>
              <w:bottom w:type="dxa" w:w="70"/>
              <w:right w:type="dxa" w:w="110"/>
            </w:tcMar>
          </w:tcPr>
          <w:p>
            <w:pPr>
              <w:spacing w:after="0" w:line="250"/>
              <w:jc w:val="right"/>
            </w:pPr>
            <w:r>
              <w:rPr>
                <w:rFonts w:ascii="Calibri" w:cs="Calibri" w:eastAsia="Calibri" w:hAnsi="Calibri"/>
                <w:b/>
                <w:bCs/>
                <w:color w:val="8C2F22"/>
                <w:sz w:val="18"/>
                <w:szCs w:val="18"/>
              </w:rPr>
              <w:t xml:space="preserve">−2.16</w:t>
            </w:r>
          </w:p>
        </w:tc>
      </w:tr>
      <w:tr>
        <w:tc>
          <w:tcPr>
            <w:tcW w:type="dxa" w:w="3182"/>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County fixed effects</w:t>
            </w:r>
          </w:p>
        </w:tc>
        <w:tc>
          <w:tcPr>
            <w:tcW w:type="dxa" w:w="2059"/>
            <w:tcMar>
              <w:top w:type="dxa" w:w="70"/>
              <w:left w:type="dxa" w:w="110"/>
              <w:bottom w:type="dxa" w:w="70"/>
              <w:right w:type="dxa" w:w="110"/>
            </w:tcMar>
          </w:tcPr>
          <w:p>
            <w:pPr>
              <w:spacing w:after="0" w:line="250"/>
              <w:jc w:val="right"/>
            </w:pPr>
            <w:r>
              <w:rPr>
                <w:rFonts w:ascii="Calibri" w:cs="Calibri" w:eastAsia="Calibri" w:hAnsi="Calibri"/>
                <w:b/>
                <w:bCs/>
                <w:color w:val="2F6E4E"/>
                <w:sz w:val="18"/>
                <w:szCs w:val="18"/>
              </w:rPr>
              <w:t xml:space="preserve">+0.00450</w:t>
            </w:r>
          </w:p>
        </w:tc>
        <w:tc>
          <w:tcPr>
            <w:tcW w:type="dxa" w:w="2059"/>
            <w:tcMar>
              <w:top w:type="dxa" w:w="70"/>
              <w:left w:type="dxa" w:w="110"/>
              <w:bottom w:type="dxa" w:w="70"/>
              <w:right w:type="dxa" w:w="110"/>
            </w:tcMar>
          </w:tcPr>
          <w:p>
            <w:pPr>
              <w:spacing w:after="0" w:line="250"/>
              <w:jc w:val="right"/>
            </w:pPr>
            <w:r>
              <w:rPr>
                <w:rFonts w:ascii="Calibri" w:cs="Calibri" w:eastAsia="Calibri" w:hAnsi="Calibri"/>
                <w:b/>
                <w:bCs/>
                <w:color w:val="2F6E4E"/>
                <w:sz w:val="18"/>
                <w:szCs w:val="18"/>
              </w:rPr>
              <w:t xml:space="preserve">+2.01</w:t>
            </w:r>
          </w:p>
        </w:tc>
        <w:tc>
          <w:tcPr>
            <w:tcW w:type="dxa" w:w="206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+1.42</w:t>
            </w:r>
          </w:p>
        </w:tc>
      </w:tr>
    </w:tbl>
    <w:p>
      <w:pPr>
        <w:spacing w:after="110"/>
      </w:pPr>
    </w:p>
    <w:p>
      <w:pPr>
        <w:spacing w:after="140" w:line="276"/>
      </w:pPr>
      <w:r>
        <w:rPr>
          <w:rFonts w:ascii="Cambria" w:cs="Cambria" w:eastAsia="Cambria" w:hAnsi="Cambria"/>
          <w:b/>
          <w:bCs/>
          <w:color w:val="1A1A1A"/>
          <w:sz w:val="21"/>
          <w:szCs w:val="21"/>
        </w:rPr>
        <w:t xml:space="preserve">The uncontrolled result is positive and conventionally significant.</w:t>
      </w:r>
      <w:r>
        <w:rPr>
          <w:rFonts w:ascii="Cambria" w:cs="Cambria" w:eastAsia="Cambria" w:hAnsi="Cambria"/>
          <w:color w:val="1A1A1A"/>
          <w:sz w:val="21"/>
          <w:szCs w:val="21"/>
        </w:rPr>
        <w:t xml:space="preserve"> Two things qualify it, and both belong in any account of this work:</w:t>
      </w:r>
    </w:p>
    <w:p>
      <w:pPr>
        <w:pStyle w:val="ListParagraph"/>
        <w:numPr>
          <w:ilvl w:val="0"/>
          <w:numId w:val="2"/>
        </w:numPr>
        <w:spacing w:after="95" w:line="276"/>
      </w:pPr>
      <w:r>
        <w:rPr>
          <w:rFonts w:ascii="Cambria" w:cs="Cambria" w:eastAsia="Cambria" w:hAnsi="Cambria"/>
          <w:b/>
          <w:bCs/>
          <w:color w:val="1A1A1A"/>
          <w:sz w:val="21"/>
          <w:szCs w:val="21"/>
        </w:rPr>
        <w:t xml:space="preserve">It does not survive clustering.</w:t>
      </w:r>
      <w:r>
        <w:rPr>
          <w:rFonts w:ascii="Cambria" w:cs="Cambria" w:eastAsia="Cambria" w:hAnsi="Cambria"/>
          <w:color w:val="1A1A1A"/>
          <w:sz w:val="21"/>
          <w:szCs w:val="21"/>
        </w:rPr>
        <w:t xml:space="preserve"> Standard errors clustered on state — the appropriate treatment when stores within a state share pricing infrastructure and market conditions — reduce the statistic to t = +1.00.</w:t>
      </w:r>
    </w:p>
    <w:p>
      <w:pPr>
        <w:pStyle w:val="ListParagraph"/>
        <w:numPr>
          <w:ilvl w:val="0"/>
          <w:numId w:val="2"/>
        </w:numPr>
        <w:spacing w:after="95" w:line="276"/>
      </w:pPr>
      <w:r>
        <w:rPr>
          <w:rFonts w:ascii="Cambria" w:cs="Cambria" w:eastAsia="Cambria" w:hAnsi="Cambria"/>
          <w:b/>
          <w:bCs/>
          <w:color w:val="1A1A1A"/>
          <w:sz w:val="21"/>
          <w:szCs w:val="21"/>
        </w:rPr>
        <w:t xml:space="preserve">The sign depends on how “same area” is defined.</w:t>
      </w:r>
      <w:r>
        <w:rPr>
          <w:rFonts w:ascii="Cambria" w:cs="Cambria" w:eastAsia="Cambria" w:hAnsi="Cambria"/>
          <w:color w:val="1A1A1A"/>
          <w:sz w:val="21"/>
          <w:szCs w:val="21"/>
        </w:rPr>
        <w:t xml:space="preserve"> Under county controls the coefficient is positive and significant; under the finer ZIP3 control it is </w:t>
      </w:r>
      <w:r>
        <w:rPr>
          <w:rFonts w:ascii="Cambria" w:cs="Cambria" w:eastAsia="Cambria" w:hAnsi="Cambria"/>
          <w:i/>
          <w:iCs/>
          <w:color w:val="1A1A1A"/>
          <w:sz w:val="21"/>
          <w:szCs w:val="21"/>
        </w:rPr>
        <w:t xml:space="preserve">negative</w:t>
      </w:r>
      <w:r>
        <w:rPr>
          <w:rFonts w:ascii="Cambria" w:cs="Cambria" w:eastAsia="Cambria" w:hAnsi="Cambria"/>
          <w:color w:val="1A1A1A"/>
          <w:sz w:val="21"/>
          <w:szCs w:val="21"/>
        </w:rPr>
        <w:t xml:space="preserve"> and significant. A result that changes sign with the geographic unit is not a stable estimate, and that instability is as much the finding as the point estimate.</w:t>
      </w:r>
    </w:p>
    <w:p>
      <w:pPr>
        <w:pStyle w:val="Heading2"/>
        <w:spacing w:after="150" w:before="340"/>
      </w:pPr>
      <w:r>
        <w:rPr>
          <w:rFonts w:ascii="Calibri" w:cs="Calibri" w:eastAsia="Calibri" w:hAnsi="Calibri"/>
          <w:b/>
          <w:bCs/>
          <w:color w:val="1B4A6B"/>
          <w:sz w:val="26"/>
          <w:szCs w:val="26"/>
        </w:rPr>
        <w:t xml:space="preserve">3. Why the controls disagree</w:t>
      </w:r>
    </w:p>
    <w:p>
      <w:pPr>
        <w:spacing w:after="140" w:line="276"/>
      </w:pPr>
      <w:r>
        <w:rPr>
          <w:rFonts w:ascii="Cambria" w:cs="Cambria" w:eastAsia="Cambria" w:hAnsi="Cambria"/>
          <w:color w:val="1A1A1A"/>
          <w:sz w:val="21"/>
          <w:szCs w:val="21"/>
        </w:rPr>
        <w:t xml:space="preserve">The two comparison groups are largely in different places:</w:t>
      </w:r>
    </w:p>
    <w:tbl>
      <w:tblPr>
        <w:tblW w:type="dxa" w:w="9360"/>
        <w:tblBorders>
          <w:top w:val="single" w:color="9AA7B2" w:sz="6"/>
          <w:left w:val="none" w:color="FFFFFF" w:sz="0"/>
          <w:bottom w:val="single" w:color="9AA7B2" w:sz="6"/>
          <w:right w:val="none" w:color="FFFFFF" w:sz="0"/>
          <w:insideH w:val="single" w:color="D6DDE3" w:sz="2"/>
          <w:insideV w:val="none" w:color="FFFFFF" w:sz="0"/>
        </w:tblBorders>
      </w:tblPr>
      <w:tblGrid>
        <w:gridCol w:w="3744"/>
        <w:gridCol w:w="2808"/>
        <w:gridCol w:w="2808"/>
      </w:tblGrid>
      <w:tr>
        <w:trPr>
          <w:tblHeader/>
        </w:trPr>
        <w:tc>
          <w:tcPr>
            <w:tcW w:type="dxa" w:w="3744"/>
            <w:shd w:fill="EDF1F5" w:color="auto" w:val="clear"/>
            <w:tcMar>
              <w:top w:type="dxa" w:w="70"/>
              <w:left w:type="dxa" w:w="110"/>
              <w:bottom w:type="dxa" w:w="70"/>
              <w:right w:type="dxa" w:w="110"/>
            </w:tcMar>
          </w:tcPr>
          <w:p>
            <w:pPr>
              <w:spacing w:after="0" w:line="250"/>
            </w:pPr>
          </w:p>
        </w:tc>
        <w:tc>
          <w:tcPr>
            <w:tcW w:type="dxa" w:w="2808"/>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States represented</w:t>
            </w:r>
          </w:p>
        </w:tc>
        <w:tc>
          <w:tcPr>
            <w:tcW w:type="dxa" w:w="2808"/>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Counties represented</w:t>
            </w:r>
          </w:p>
        </w:tc>
      </w:tr>
      <w:tr>
        <w:tc>
          <w:tcPr>
            <w:tcW w:type="dxa" w:w="3744"/>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Stores in ZIPs ≥30% Black</w:t>
            </w:r>
          </w:p>
        </w:tc>
        <w:tc>
          <w:tcPr>
            <w:tcW w:type="dxa" w:w="280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15</w:t>
            </w:r>
          </w:p>
        </w:tc>
        <w:tc>
          <w:tcPr>
            <w:tcW w:type="dxa" w:w="280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128</w:t>
            </w:r>
          </w:p>
        </w:tc>
      </w:tr>
      <w:tr>
        <w:tc>
          <w:tcPr>
            <w:tcW w:type="dxa" w:w="3744"/>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Stores in ZIPs ≤10% Black</w:t>
            </w:r>
          </w:p>
        </w:tc>
        <w:tc>
          <w:tcPr>
            <w:tcW w:type="dxa" w:w="280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35</w:t>
            </w:r>
          </w:p>
        </w:tc>
        <w:tc>
          <w:tcPr>
            <w:tcW w:type="dxa" w:w="280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267</w:t>
            </w:r>
          </w:p>
        </w:tc>
      </w:tr>
      <w:tr>
        <w:tc>
          <w:tcPr>
            <w:tcW w:type="dxa" w:w="3744"/>
            <w:tcMar>
              <w:top w:type="dxa" w:w="70"/>
              <w:left w:type="dxa" w:w="110"/>
              <w:bottom w:type="dxa" w:w="70"/>
              <w:right w:type="dxa" w:w="110"/>
            </w:tcMar>
          </w:tcPr>
          <w:p>
            <w:pPr>
              <w:spacing w:after="0" w:line="250"/>
            </w:pPr>
            <w:r>
              <w:rPr>
                <w:rFonts w:ascii="Calibri" w:cs="Calibri" w:eastAsia="Calibri" w:hAnsi="Calibri"/>
                <w:b/>
                <w:bCs/>
                <w:color w:val="1A1A1A"/>
                <w:sz w:val="18"/>
                <w:szCs w:val="18"/>
              </w:rPr>
              <w:t xml:space="preserve">Containing both groups</w:t>
            </w:r>
          </w:p>
        </w:tc>
        <w:tc>
          <w:tcPr>
            <w:tcW w:type="dxa" w:w="2808"/>
            <w:tcMar>
              <w:top w:type="dxa" w:w="70"/>
              <w:left w:type="dxa" w:w="110"/>
              <w:bottom w:type="dxa" w:w="70"/>
              <w:right w:type="dxa" w:w="110"/>
            </w:tcMar>
          </w:tcPr>
          <w:p>
            <w:pPr>
              <w:spacing w:after="0" w:line="250"/>
              <w:jc w:val="right"/>
            </w:pPr>
            <w:r>
              <w:rPr>
                <w:rFonts w:ascii="Calibri" w:cs="Calibri" w:eastAsia="Calibri" w:hAnsi="Calibri"/>
                <w:b/>
                <w:bCs/>
                <w:color w:val="1A1A1A"/>
                <w:sz w:val="18"/>
                <w:szCs w:val="18"/>
              </w:rPr>
              <w:t xml:space="preserve">13</w:t>
            </w:r>
          </w:p>
        </w:tc>
        <w:tc>
          <w:tcPr>
            <w:tcW w:type="dxa" w:w="2808"/>
            <w:tcMar>
              <w:top w:type="dxa" w:w="70"/>
              <w:left w:type="dxa" w:w="110"/>
              <w:bottom w:type="dxa" w:w="70"/>
              <w:right w:type="dxa" w:w="110"/>
            </w:tcMar>
          </w:tcPr>
          <w:p>
            <w:pPr>
              <w:spacing w:after="0" w:line="250"/>
              <w:jc w:val="right"/>
            </w:pPr>
            <w:r>
              <w:rPr>
                <w:rFonts w:ascii="Calibri" w:cs="Calibri" w:eastAsia="Calibri" w:hAnsi="Calibri"/>
                <w:b/>
                <w:bCs/>
                <w:color w:val="8C2F22"/>
                <w:sz w:val="18"/>
                <w:szCs w:val="18"/>
              </w:rPr>
              <w:t xml:space="preserve">29 of 440</w:t>
            </w:r>
          </w:p>
        </w:tc>
      </w:tr>
    </w:tbl>
    <w:p>
      <w:pPr>
        <w:spacing w:after="110"/>
      </w:pPr>
    </w:p>
    <w:p>
      <w:pPr>
        <w:spacing w:after="140" w:line="276"/>
      </w:pPr>
      <w:r>
        <w:rPr>
          <w:rFonts w:ascii="Cambria" w:cs="Cambria" w:eastAsia="Cambria" w:hAnsi="Cambria"/>
          <w:color w:val="1A1A1A"/>
          <w:sz w:val="21"/>
          <w:szCs w:val="21"/>
        </w:rPr>
        <w:t xml:space="preserve">High-Black rural stores sit in Mississippi (26), Georgia (25), Louisiana (23), South Carolina (20), Alabama (18), North Carolina (17) and Arkansas (13) — the Deep South. Low-Black rural stores sit in Missouri (39), Texas (33), Kentucky (30), Tennessee (27), Oklahoma (25) and West Virginia (21) — the Ozarks, Appalachia and the plains.</w:t>
      </w:r>
    </w:p>
    <w:p>
      <w:pPr>
        <w:spacing w:after="140" w:line="276"/>
      </w:pPr>
      <w:r>
        <w:rPr>
          <w:rFonts w:ascii="Cambria" w:cs="Cambria" w:eastAsia="Cambria" w:hAnsi="Cambria"/>
          <w:b/>
          <w:bCs/>
          <w:color w:val="1A1A1A"/>
          <w:sz w:val="21"/>
          <w:szCs w:val="21"/>
        </w:rPr>
        <w:t xml:space="preserve">Only 29 of 440 counties contain both groups.</w:t>
      </w:r>
      <w:r>
        <w:rPr>
          <w:rFonts w:ascii="Cambria" w:cs="Cambria" w:eastAsia="Cambria" w:hAnsi="Cambria"/>
          <w:color w:val="1A1A1A"/>
          <w:sz w:val="21"/>
          <w:szCs w:val="21"/>
        </w:rPr>
        <w:t xml:space="preserve"> Any county-level control is therefore estimated from a thin slice of the data, and a ZIP3 control thinner still. This is the central measurement problem: the comparison that would isolate race from place barely exists in the data.</w:t>
      </w:r>
    </w:p>
    <w:p>
      <w:pPr>
        <w:pStyle w:val="Heading2"/>
        <w:spacing w:after="150" w:before="340"/>
      </w:pPr>
      <w:r>
        <w:rPr>
          <w:rFonts w:ascii="Calibri" w:cs="Calibri" w:eastAsia="Calibri" w:hAnsi="Calibri"/>
          <w:b/>
          <w:bCs/>
          <w:color w:val="1B4A6B"/>
          <w:sz w:val="26"/>
          <w:szCs w:val="26"/>
        </w:rPr>
        <w:t xml:space="preserve">4. The same-state comparison</w:t>
      </w:r>
    </w:p>
    <w:p>
      <w:pPr>
        <w:spacing w:after="140" w:line="276"/>
      </w:pPr>
      <w:r>
        <w:rPr>
          <w:rFonts w:ascii="Cambria" w:cs="Cambria" w:eastAsia="Cambria" w:hAnsi="Cambria"/>
          <w:color w:val="1A1A1A"/>
          <w:sz w:val="21"/>
          <w:szCs w:val="21"/>
        </w:rPr>
        <w:t xml:space="preserve">Restricting to states where both groups appear, inside the low-income rural segment:</w:t>
      </w:r>
    </w:p>
    <w:tbl>
      <w:tblPr>
        <w:tblW w:type="dxa" w:w="9360"/>
        <w:tblBorders>
          <w:top w:val="single" w:color="9AA7B2" w:sz="6"/>
          <w:left w:val="none" w:color="FFFFFF" w:sz="0"/>
          <w:bottom w:val="single" w:color="9AA7B2" w:sz="6"/>
          <w:right w:val="none" w:color="FFFFFF" w:sz="0"/>
          <w:insideH w:val="single" w:color="D6DDE3" w:sz="2"/>
          <w:insideV w:val="none" w:color="FFFFFF" w:sz="0"/>
        </w:tblBorders>
      </w:tblPr>
      <w:tblGrid>
        <w:gridCol w:w="2434"/>
        <w:gridCol w:w="1217"/>
        <w:gridCol w:w="1217"/>
        <w:gridCol w:w="1498"/>
        <w:gridCol w:w="1498"/>
        <w:gridCol w:w="1496"/>
      </w:tblGrid>
      <w:tr>
        <w:trPr>
          <w:tblHeader/>
        </w:trPr>
        <w:tc>
          <w:tcPr>
            <w:tcW w:type="dxa" w:w="2434"/>
            <w:shd w:fill="EDF1F5" w:color="auto" w:val="clear"/>
            <w:tcMar>
              <w:top w:type="dxa" w:w="70"/>
              <w:left w:type="dxa" w:w="110"/>
              <w:bottom w:type="dxa" w:w="70"/>
              <w:right w:type="dxa" w:w="110"/>
            </w:tcMar>
          </w:tcPr>
          <w:p>
            <w:pPr>
              <w:spacing w:after="0" w:line="250"/>
            </w:pPr>
            <w:r>
              <w:rPr>
                <w:rFonts w:ascii="Calibri" w:cs="Calibri" w:eastAsia="Calibri" w:hAnsi="Calibri"/>
                <w:b/>
                <w:bCs/>
                <w:color w:val="1A1A1A"/>
                <w:sz w:val="17"/>
                <w:szCs w:val="17"/>
              </w:rPr>
              <w:t xml:space="preserve">State</w:t>
            </w:r>
          </w:p>
        </w:tc>
        <w:tc>
          <w:tcPr>
            <w:tcW w:type="dxa" w:w="1217"/>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n high</w:t>
            </w:r>
          </w:p>
        </w:tc>
        <w:tc>
          <w:tcPr>
            <w:tcW w:type="dxa" w:w="1217"/>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n low</w:t>
            </w:r>
          </w:p>
        </w:tc>
        <w:tc>
          <w:tcPr>
            <w:tcW w:type="dxa" w:w="1498"/>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High-Black</w:t>
            </w:r>
          </w:p>
        </w:tc>
        <w:tc>
          <w:tcPr>
            <w:tcW w:type="dxa" w:w="1498"/>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Low-Black</w:t>
            </w:r>
          </w:p>
        </w:tc>
        <w:tc>
          <w:tcPr>
            <w:tcW w:type="dxa" w:w="1496"/>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Gap</w:t>
            </w:r>
          </w:p>
        </w:tc>
      </w:tr>
      <w:tr>
        <w:tc>
          <w:tcPr>
            <w:tcW w:type="dxa" w:w="2434"/>
            <w:tcMar>
              <w:top w:type="dxa" w:w="70"/>
              <w:left w:type="dxa" w:w="110"/>
              <w:bottom w:type="dxa" w:w="70"/>
              <w:right w:type="dxa" w:w="110"/>
            </w:tcMar>
          </w:tcPr>
          <w:p>
            <w:pPr>
              <w:spacing w:after="0" w:line="250"/>
            </w:pPr>
            <w:r>
              <w:rPr>
                <w:rFonts w:ascii="Calibri" w:cs="Calibri" w:eastAsia="Calibri" w:hAnsi="Calibri"/>
                <w:b/>
                <w:bCs/>
                <w:color w:val="1A1A1A"/>
                <w:sz w:val="18"/>
                <w:szCs w:val="18"/>
              </w:rPr>
              <w:t xml:space="preserve">Mississippi</w:t>
            </w:r>
          </w:p>
        </w:tc>
        <w:tc>
          <w:tcPr>
            <w:tcW w:type="dxa" w:w="1217"/>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26</w:t>
            </w:r>
          </w:p>
        </w:tc>
        <w:tc>
          <w:tcPr>
            <w:tcW w:type="dxa" w:w="1217"/>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$4.474</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$3.967</w:t>
            </w:r>
          </w:p>
        </w:tc>
        <w:tc>
          <w:tcPr>
            <w:tcW w:type="dxa" w:w="1496"/>
            <w:tcMar>
              <w:top w:type="dxa" w:w="70"/>
              <w:left w:type="dxa" w:w="110"/>
              <w:bottom w:type="dxa" w:w="70"/>
              <w:right w:type="dxa" w:w="110"/>
            </w:tcMar>
          </w:tcPr>
          <w:p>
            <w:pPr>
              <w:spacing w:after="0" w:line="250"/>
              <w:jc w:val="right"/>
            </w:pPr>
            <w:r>
              <w:rPr>
                <w:rFonts w:ascii="Calibri" w:cs="Calibri" w:eastAsia="Calibri" w:hAnsi="Calibri"/>
                <w:b/>
                <w:bCs/>
                <w:color w:val="8C2F22"/>
                <w:sz w:val="18"/>
                <w:szCs w:val="18"/>
              </w:rPr>
              <w:t xml:space="preserve">+$0.507</w:t>
            </w:r>
          </w:p>
        </w:tc>
      </w:tr>
      <w:tr>
        <w:tc>
          <w:tcPr>
            <w:tcW w:type="dxa" w:w="2434"/>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Florida</w:t>
            </w:r>
          </w:p>
        </w:tc>
        <w:tc>
          <w:tcPr>
            <w:tcW w:type="dxa" w:w="1217"/>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5</w:t>
            </w:r>
          </w:p>
        </w:tc>
        <w:tc>
          <w:tcPr>
            <w:tcW w:type="dxa" w:w="1217"/>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12</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$3.984</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$3.606</w:t>
            </w:r>
          </w:p>
        </w:tc>
        <w:tc>
          <w:tcPr>
            <w:tcW w:type="dxa" w:w="1496"/>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+$0.378</w:t>
            </w:r>
          </w:p>
        </w:tc>
      </w:tr>
      <w:tr>
        <w:tc>
          <w:tcPr>
            <w:tcW w:type="dxa" w:w="2434"/>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Tennessee</w:t>
            </w:r>
          </w:p>
        </w:tc>
        <w:tc>
          <w:tcPr>
            <w:tcW w:type="dxa" w:w="1217"/>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4</w:t>
            </w:r>
          </w:p>
        </w:tc>
        <w:tc>
          <w:tcPr>
            <w:tcW w:type="dxa" w:w="1217"/>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27</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$4.312</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$3.994</w:t>
            </w:r>
          </w:p>
        </w:tc>
        <w:tc>
          <w:tcPr>
            <w:tcW w:type="dxa" w:w="1496"/>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+$0.318</w:t>
            </w:r>
          </w:p>
        </w:tc>
      </w:tr>
      <w:tr>
        <w:tc>
          <w:tcPr>
            <w:tcW w:type="dxa" w:w="2434"/>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Arkansas</w:t>
            </w:r>
          </w:p>
        </w:tc>
        <w:tc>
          <w:tcPr>
            <w:tcW w:type="dxa" w:w="1217"/>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13</w:t>
            </w:r>
          </w:p>
        </w:tc>
        <w:tc>
          <w:tcPr>
            <w:tcW w:type="dxa" w:w="1217"/>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20</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$4.398</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$4.192</w:t>
            </w:r>
          </w:p>
        </w:tc>
        <w:tc>
          <w:tcPr>
            <w:tcW w:type="dxa" w:w="1496"/>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+$0.206</w:t>
            </w:r>
          </w:p>
        </w:tc>
      </w:tr>
      <w:tr>
        <w:tc>
          <w:tcPr>
            <w:tcW w:type="dxa" w:w="2434"/>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Texas</w:t>
            </w:r>
          </w:p>
        </w:tc>
        <w:tc>
          <w:tcPr>
            <w:tcW w:type="dxa" w:w="1217"/>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5</w:t>
            </w:r>
          </w:p>
        </w:tc>
        <w:tc>
          <w:tcPr>
            <w:tcW w:type="dxa" w:w="1217"/>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33</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$3.934</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$3.802</w:t>
            </w:r>
          </w:p>
        </w:tc>
        <w:tc>
          <w:tcPr>
            <w:tcW w:type="dxa" w:w="1496"/>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+$0.132</w:t>
            </w:r>
          </w:p>
        </w:tc>
      </w:tr>
      <w:tr>
        <w:tc>
          <w:tcPr>
            <w:tcW w:type="dxa" w:w="2434"/>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Georgia</w:t>
            </w:r>
          </w:p>
        </w:tc>
        <w:tc>
          <w:tcPr>
            <w:tcW w:type="dxa" w:w="1217"/>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25</w:t>
            </w:r>
          </w:p>
        </w:tc>
        <w:tc>
          <w:tcPr>
            <w:tcW w:type="dxa" w:w="1217"/>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$3.792</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$3.727</w:t>
            </w:r>
          </w:p>
        </w:tc>
        <w:tc>
          <w:tcPr>
            <w:tcW w:type="dxa" w:w="1496"/>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+$0.066</w:t>
            </w:r>
          </w:p>
        </w:tc>
      </w:tr>
      <w:tr>
        <w:tc>
          <w:tcPr>
            <w:tcW w:type="dxa" w:w="2434"/>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Illinois</w:t>
            </w:r>
          </w:p>
        </w:tc>
        <w:tc>
          <w:tcPr>
            <w:tcW w:type="dxa" w:w="1217"/>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w:t>
            </w:r>
          </w:p>
        </w:tc>
        <w:tc>
          <w:tcPr>
            <w:tcW w:type="dxa" w:w="1217"/>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19</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$3.373</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$3.354</w:t>
            </w:r>
          </w:p>
        </w:tc>
        <w:tc>
          <w:tcPr>
            <w:tcW w:type="dxa" w:w="1496"/>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+$0.019</w:t>
            </w:r>
          </w:p>
        </w:tc>
      </w:tr>
      <w:tr>
        <w:tc>
          <w:tcPr>
            <w:tcW w:type="dxa" w:w="2434"/>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Alabama</w:t>
            </w:r>
          </w:p>
        </w:tc>
        <w:tc>
          <w:tcPr>
            <w:tcW w:type="dxa" w:w="1217"/>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18</w:t>
            </w:r>
          </w:p>
        </w:tc>
        <w:tc>
          <w:tcPr>
            <w:tcW w:type="dxa" w:w="1217"/>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12</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$3.974</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$4.226</w:t>
            </w:r>
          </w:p>
        </w:tc>
        <w:tc>
          <w:tcPr>
            <w:tcW w:type="dxa" w:w="1496"/>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−$0.251</w:t>
            </w:r>
          </w:p>
        </w:tc>
      </w:tr>
      <w:tr>
        <w:tc>
          <w:tcPr>
            <w:tcW w:type="dxa" w:w="2434"/>
            <w:tcMar>
              <w:top w:type="dxa" w:w="70"/>
              <w:left w:type="dxa" w:w="110"/>
              <w:bottom w:type="dxa" w:w="70"/>
              <w:right w:type="dxa" w:w="110"/>
            </w:tcMar>
          </w:tcPr>
          <w:p>
            <w:pPr>
              <w:spacing w:after="0" w:line="250"/>
            </w:pPr>
            <w:r>
              <w:rPr>
                <w:rFonts w:ascii="Calibri" w:cs="Calibri" w:eastAsia="Calibri" w:hAnsi="Calibri"/>
                <w:b/>
                <w:bCs/>
                <w:color w:val="1A1A1A"/>
                <w:sz w:val="18"/>
                <w:szCs w:val="18"/>
              </w:rPr>
              <w:t xml:space="preserve">North Carolina</w:t>
            </w:r>
          </w:p>
        </w:tc>
        <w:tc>
          <w:tcPr>
            <w:tcW w:type="dxa" w:w="1217"/>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17</w:t>
            </w:r>
          </w:p>
        </w:tc>
        <w:tc>
          <w:tcPr>
            <w:tcW w:type="dxa" w:w="1217"/>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16</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$3.305</w:t>
            </w:r>
          </w:p>
        </w:tc>
        <w:tc>
          <w:tcPr>
            <w:tcW w:type="dxa" w:w="1498"/>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$3.768</w:t>
            </w:r>
          </w:p>
        </w:tc>
        <w:tc>
          <w:tcPr>
            <w:tcW w:type="dxa" w:w="1496"/>
            <w:tcMar>
              <w:top w:type="dxa" w:w="70"/>
              <w:left w:type="dxa" w:w="110"/>
              <w:bottom w:type="dxa" w:w="70"/>
              <w:right w:type="dxa" w:w="110"/>
            </w:tcMar>
          </w:tcPr>
          <w:p>
            <w:pPr>
              <w:spacing w:after="0" w:line="250"/>
              <w:jc w:val="right"/>
            </w:pPr>
            <w:r>
              <w:rPr>
                <w:rFonts w:ascii="Calibri" w:cs="Calibri" w:eastAsia="Calibri" w:hAnsi="Calibri"/>
                <w:b/>
                <w:bCs/>
                <w:color w:val="8C2F22"/>
                <w:sz w:val="18"/>
                <w:szCs w:val="18"/>
              </w:rPr>
              <w:t xml:space="preserve">−$0.463</w:t>
            </w:r>
          </w:p>
        </w:tc>
      </w:tr>
    </w:tbl>
    <w:p>
      <w:pPr>
        <w:spacing w:after="110"/>
      </w:pPr>
    </w:p>
    <w:p>
      <w:pPr>
        <w:spacing w:after="140" w:line="276"/>
      </w:pPr>
      <w:r>
        <w:rPr>
          <w:rFonts w:ascii="Cambria" w:cs="Cambria" w:eastAsia="Cambria" w:hAnsi="Cambria"/>
          <w:b/>
          <w:bCs/>
          <w:color w:val="1A1A1A"/>
          <w:sz w:val="21"/>
          <w:szCs w:val="21"/>
        </w:rPr>
        <w:t xml:space="preserve">Weighted within-state gap +$0.085/gallon, positive in 7 of 9 states</w:t>
      </w:r>
      <w:r>
        <w:rPr>
          <w:rFonts w:ascii="Cambria" w:cs="Cambria" w:eastAsia="Cambria" w:hAnsi="Cambria"/>
          <w:color w:val="1A1A1A"/>
          <w:sz w:val="21"/>
          <w:szCs w:val="21"/>
        </w:rPr>
        <w:t xml:space="preserve"> — against +$0.189 pooled across states. So roughly half the raw gap is between-state composition and half survives inside states. Several cells rest on three to five stores on one side, so individual state figures carry little weight on their own.</w:t>
      </w:r>
    </w:p>
    <w:p>
      <w:pPr>
        <w:pStyle w:val="Heading2"/>
        <w:spacing w:after="150" w:before="340"/>
      </w:pPr>
      <w:r>
        <w:rPr>
          <w:rFonts w:ascii="Calibri" w:cs="Calibri" w:eastAsia="Calibri" w:hAnsi="Calibri"/>
          <w:b/>
          <w:bCs/>
          <w:color w:val="1B4A6B"/>
          <w:sz w:val="26"/>
          <w:szCs w:val="26"/>
        </w:rPr>
        <w:t xml:space="preserve">5. Aldi as a control: the same ZIP codes, a different chain</w:t>
      </w:r>
    </w:p>
    <w:p>
      <w:pPr>
        <w:pBdr>
          <w:left w:val="single" w:color="1B4A6B" w:sz="18" w:space="10"/>
        </w:pBdr>
        <w:spacing w:after="180" w:line="276"/>
        <w:ind w:left="170"/>
      </w:pPr>
      <w:r>
        <w:rPr>
          <w:rFonts w:ascii="Cambria" w:cs="Cambria" w:eastAsia="Cambria" w:hAnsi="Cambria"/>
          <w:color w:val="1A1A1A"/>
          <w:sz w:val="21"/>
          <w:szCs w:val="21"/>
        </w:rPr>
        <w:t xml:space="preserve">This is the test that addresses the objection in §3. If the gradient is a property of the rural South — its freight, its competition, its demand — then a second chain operating in the same places should show it too. Aldi does not. It shows the reverse.</w:t>
      </w:r>
    </w:p>
    <w:p>
      <w:pPr>
        <w:spacing w:after="140" w:line="276"/>
      </w:pPr>
      <w:r>
        <w:rPr>
          <w:rFonts w:ascii="Cambria" w:cs="Cambria" w:eastAsia="Cambria" w:hAnsi="Cambria"/>
          <w:b/>
          <w:bCs/>
          <w:color w:val="1A1A1A"/>
          <w:sz w:val="21"/>
          <w:szCs w:val="21"/>
        </w:rPr>
        <w:t xml:space="preserve">1,333 ZIP codes carry both an Aldi and a Walmart price</w:t>
      </w:r>
      <w:r>
        <w:rPr>
          <w:rFonts w:ascii="Cambria" w:cs="Cambria" w:eastAsia="Cambria" w:hAnsi="Cambria"/>
          <w:color w:val="1A1A1A"/>
          <w:sz w:val="21"/>
          <w:szCs w:val="21"/>
        </w:rPr>
        <w:t xml:space="preserve">, across twelve states, joined to a single demographic source so that the covariates are identical by construction. Restricting to the same low-income rural segment — 138 ZIPs at least 30% Black against 75 ZIPs under 10% Black:</w:t>
      </w:r>
    </w:p>
    <w:tbl>
      <w:tblPr>
        <w:tblW w:type="dxa" w:w="9360"/>
        <w:tblBorders>
          <w:top w:val="single" w:color="9AA7B2" w:sz="6"/>
          <w:left w:val="none" w:color="FFFFFF" w:sz="0"/>
          <w:bottom w:val="single" w:color="9AA7B2" w:sz="6"/>
          <w:right w:val="none" w:color="FFFFFF" w:sz="0"/>
          <w:insideH w:val="single" w:color="D6DDE3" w:sz="2"/>
          <w:insideV w:val="none" w:color="FFFFFF" w:sz="0"/>
        </w:tblBorders>
      </w:tblPr>
      <w:tblGrid>
        <w:gridCol w:w="2808"/>
        <w:gridCol w:w="2153"/>
        <w:gridCol w:w="2153"/>
        <w:gridCol w:w="2246"/>
      </w:tblGrid>
      <w:tr>
        <w:trPr>
          <w:tblHeader/>
        </w:trPr>
        <w:tc>
          <w:tcPr>
            <w:tcW w:type="dxa" w:w="2808"/>
            <w:shd w:fill="EDF1F5" w:color="auto" w:val="clear"/>
            <w:tcMar>
              <w:top w:type="dxa" w:w="70"/>
              <w:left w:type="dxa" w:w="110"/>
              <w:bottom w:type="dxa" w:w="70"/>
              <w:right w:type="dxa" w:w="110"/>
            </w:tcMar>
          </w:tcPr>
          <w:p>
            <w:pPr>
              <w:spacing w:after="0" w:line="250"/>
            </w:pPr>
            <w:r>
              <w:rPr>
                <w:rFonts w:ascii="Calibri" w:cs="Calibri" w:eastAsia="Calibri" w:hAnsi="Calibri"/>
                <w:b/>
                <w:bCs/>
                <w:color w:val="1A1A1A"/>
                <w:sz w:val="17"/>
                <w:szCs w:val="17"/>
              </w:rPr>
              <w:t xml:space="preserve">Retailer</w:t>
            </w:r>
          </w:p>
        </w:tc>
        <w:tc>
          <w:tcPr>
            <w:tcW w:type="dxa" w:w="2153"/>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High-Black ZIPs</w:t>
            </w:r>
          </w:p>
        </w:tc>
        <w:tc>
          <w:tcPr>
            <w:tcW w:type="dxa" w:w="2153"/>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Low-Black ZIPs</w:t>
            </w:r>
          </w:p>
        </w:tc>
        <w:tc>
          <w:tcPr>
            <w:tcW w:type="dxa" w:w="2246"/>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Gap</w:t>
            </w:r>
          </w:p>
        </w:tc>
      </w:tr>
      <w:tr>
        <w:tc>
          <w:tcPr>
            <w:tcW w:type="dxa" w:w="2808"/>
            <w:tcMar>
              <w:top w:type="dxa" w:w="70"/>
              <w:left w:type="dxa" w:w="110"/>
              <w:bottom w:type="dxa" w:w="70"/>
              <w:right w:type="dxa" w:w="110"/>
            </w:tcMar>
          </w:tcPr>
          <w:p>
            <w:pPr>
              <w:spacing w:after="0" w:line="250"/>
            </w:pPr>
            <w:r>
              <w:rPr>
                <w:rFonts w:ascii="Calibri" w:cs="Calibri" w:eastAsia="Calibri" w:hAnsi="Calibri"/>
                <w:b/>
                <w:bCs/>
                <w:color w:val="1A1A1A"/>
                <w:sz w:val="18"/>
                <w:szCs w:val="18"/>
              </w:rPr>
              <w:t xml:space="preserve">Walmart</w:t>
            </w:r>
          </w:p>
        </w:tc>
        <w:tc>
          <w:tcPr>
            <w:tcW w:type="dxa" w:w="2153"/>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$4.094</w:t>
            </w:r>
          </w:p>
        </w:tc>
        <w:tc>
          <w:tcPr>
            <w:tcW w:type="dxa" w:w="2153"/>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$3.954</w:t>
            </w:r>
          </w:p>
        </w:tc>
        <w:tc>
          <w:tcPr>
            <w:tcW w:type="dxa" w:w="2246"/>
            <w:tcMar>
              <w:top w:type="dxa" w:w="70"/>
              <w:left w:type="dxa" w:w="110"/>
              <w:bottom w:type="dxa" w:w="70"/>
              <w:right w:type="dxa" w:w="110"/>
            </w:tcMar>
          </w:tcPr>
          <w:p>
            <w:pPr>
              <w:spacing w:after="0" w:line="250"/>
              <w:jc w:val="right"/>
            </w:pPr>
            <w:r>
              <w:rPr>
                <w:rFonts w:ascii="Calibri" w:cs="Calibri" w:eastAsia="Calibri" w:hAnsi="Calibri"/>
                <w:b/>
                <w:bCs/>
                <w:color w:val="8C2F22"/>
                <w:sz w:val="18"/>
                <w:szCs w:val="18"/>
              </w:rPr>
              <w:t xml:space="preserve">+$0.139</w:t>
            </w:r>
          </w:p>
        </w:tc>
      </w:tr>
      <w:tr>
        <w:tc>
          <w:tcPr>
            <w:tcW w:type="dxa" w:w="2808"/>
            <w:tcMar>
              <w:top w:type="dxa" w:w="70"/>
              <w:left w:type="dxa" w:w="110"/>
              <w:bottom w:type="dxa" w:w="70"/>
              <w:right w:type="dxa" w:w="110"/>
            </w:tcMar>
          </w:tcPr>
          <w:p>
            <w:pPr>
              <w:spacing w:after="0" w:line="250"/>
            </w:pPr>
            <w:r>
              <w:rPr>
                <w:rFonts w:ascii="Calibri" w:cs="Calibri" w:eastAsia="Calibri" w:hAnsi="Calibri"/>
                <w:b/>
                <w:bCs/>
                <w:color w:val="1A1A1A"/>
                <w:sz w:val="18"/>
                <w:szCs w:val="18"/>
              </w:rPr>
              <w:t xml:space="preserve">Aldi</w:t>
            </w:r>
          </w:p>
        </w:tc>
        <w:tc>
          <w:tcPr>
            <w:tcW w:type="dxa" w:w="2153"/>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$3.127</w:t>
            </w:r>
          </w:p>
        </w:tc>
        <w:tc>
          <w:tcPr>
            <w:tcW w:type="dxa" w:w="2153"/>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$3.232</w:t>
            </w:r>
          </w:p>
        </w:tc>
        <w:tc>
          <w:tcPr>
            <w:tcW w:type="dxa" w:w="2246"/>
            <w:tcMar>
              <w:top w:type="dxa" w:w="70"/>
              <w:left w:type="dxa" w:w="110"/>
              <w:bottom w:type="dxa" w:w="70"/>
              <w:right w:type="dxa" w:w="110"/>
            </w:tcMar>
          </w:tcPr>
          <w:p>
            <w:pPr>
              <w:spacing w:after="0" w:line="250"/>
              <w:jc w:val="right"/>
            </w:pPr>
            <w:r>
              <w:rPr>
                <w:rFonts w:ascii="Calibri" w:cs="Calibri" w:eastAsia="Calibri" w:hAnsi="Calibri"/>
                <w:b/>
                <w:bCs/>
                <w:color w:val="2F6E4E"/>
                <w:sz w:val="18"/>
                <w:szCs w:val="18"/>
              </w:rPr>
              <w:t xml:space="preserve">−$0.105</w:t>
            </w:r>
          </w:p>
        </w:tc>
      </w:tr>
      <w:tr>
        <w:tc>
          <w:tcPr>
            <w:tcW w:type="dxa" w:w="2808"/>
            <w:tcMar>
              <w:top w:type="dxa" w:w="70"/>
              <w:left w:type="dxa" w:w="110"/>
              <w:bottom w:type="dxa" w:w="70"/>
              <w:right w:type="dxa" w:w="110"/>
            </w:tcMar>
          </w:tcPr>
          <w:p>
            <w:pPr>
              <w:spacing w:after="0" w:line="250"/>
            </w:pPr>
            <w:r>
              <w:rPr>
                <w:rFonts w:ascii="Calibri" w:cs="Calibri" w:eastAsia="Calibri" w:hAnsi="Calibri"/>
                <w:b/>
                <w:bCs/>
                <w:color w:val="1A1A1A"/>
                <w:sz w:val="18"/>
                <w:szCs w:val="18"/>
              </w:rPr>
              <w:t xml:space="preserve">Difference</w:t>
            </w:r>
          </w:p>
        </w:tc>
        <w:tc>
          <w:tcPr>
            <w:tcW w:type="dxa" w:w="2153"/>
            <w:tcMar>
              <w:top w:type="dxa" w:w="70"/>
              <w:left w:type="dxa" w:w="110"/>
              <w:bottom w:type="dxa" w:w="70"/>
              <w:right w:type="dxa" w:w="110"/>
            </w:tcMar>
          </w:tcPr>
          <w:p>
            <w:pPr>
              <w:spacing w:after="0" w:line="250"/>
              <w:jc w:val="right"/>
            </w:pPr>
          </w:p>
        </w:tc>
        <w:tc>
          <w:tcPr>
            <w:tcW w:type="dxa" w:w="2153"/>
            <w:tcMar>
              <w:top w:type="dxa" w:w="70"/>
              <w:left w:type="dxa" w:w="110"/>
              <w:bottom w:type="dxa" w:w="70"/>
              <w:right w:type="dxa" w:w="110"/>
            </w:tcMar>
          </w:tcPr>
          <w:p>
            <w:pPr>
              <w:spacing w:after="0" w:line="250"/>
              <w:jc w:val="right"/>
            </w:pPr>
          </w:p>
        </w:tc>
        <w:tc>
          <w:tcPr>
            <w:tcW w:type="dxa" w:w="2246"/>
            <w:tcMar>
              <w:top w:type="dxa" w:w="70"/>
              <w:left w:type="dxa" w:w="110"/>
              <w:bottom w:type="dxa" w:w="70"/>
              <w:right w:type="dxa" w:w="110"/>
            </w:tcMar>
          </w:tcPr>
          <w:p>
            <w:pPr>
              <w:spacing w:after="0" w:line="250"/>
              <w:jc w:val="right"/>
            </w:pPr>
            <w:r>
              <w:rPr>
                <w:rFonts w:ascii="Calibri" w:cs="Calibri" w:eastAsia="Calibri" w:hAnsi="Calibri"/>
                <w:b/>
                <w:bCs/>
                <w:color w:val="1A1A1A"/>
                <w:sz w:val="18"/>
                <w:szCs w:val="18"/>
              </w:rPr>
              <w:t xml:space="preserve">+$0.244</w:t>
            </w:r>
          </w:p>
        </w:tc>
      </w:tr>
    </w:tbl>
    <w:p>
      <w:pPr>
        <w:spacing w:after="110"/>
      </w:pPr>
    </w:p>
    <w:p>
      <w:pPr>
        <w:spacing w:after="140" w:line="276"/>
      </w:pPr>
      <w:r>
        <w:rPr>
          <w:rFonts w:ascii="Cambria" w:cs="Cambria" w:eastAsia="Cambria" w:hAnsi="Cambria"/>
          <w:color w:val="1A1A1A"/>
          <w:sz w:val="21"/>
          <w:szCs w:val="21"/>
        </w:rPr>
        <w:t xml:space="preserve">Equivalently: </w:t>
      </w:r>
      <w:r>
        <w:rPr>
          <w:rFonts w:ascii="Cambria" w:cs="Cambria" w:eastAsia="Cambria" w:hAnsi="Cambria"/>
          <w:b/>
          <w:bCs/>
          <w:color w:val="1A1A1A"/>
          <w:sz w:val="21"/>
          <w:szCs w:val="21"/>
        </w:rPr>
        <w:t xml:space="preserve">Walmart's premium over Aldi is 97¢ in the high-Black ZIPs and 72¢ in the low-Black ones</w:t>
      </w:r>
      <w:r>
        <w:rPr>
          <w:rFonts w:ascii="Cambria" w:cs="Cambria" w:eastAsia="Cambria" w:hAnsi="Cambria"/>
          <w:color w:val="1A1A1A"/>
          <w:sz w:val="21"/>
          <w:szCs w:val="21"/>
        </w:rPr>
        <w:t xml:space="preserve"> — a 24¢ wider gap where more Black residents live.</w:t>
      </w:r>
    </w:p>
    <w:p>
      <w:pPr>
        <w:spacing w:after="140" w:line="276"/>
      </w:pPr>
      <w:r>
        <w:rPr>
          <w:rFonts w:ascii="Cambria" w:cs="Cambria" w:eastAsia="Cambria" w:hAnsi="Cambria"/>
          <w:color w:val="1A1A1A"/>
          <w:sz w:val="21"/>
          <w:szCs w:val="21"/>
        </w:rPr>
        <w:t xml:space="preserve">Regressed on percent Black over the same ZIPs, controlling for income and log population:</w:t>
      </w:r>
    </w:p>
    <w:tbl>
      <w:tblPr>
        <w:tblW w:type="dxa" w:w="9360"/>
        <w:tblBorders>
          <w:top w:val="single" w:color="9AA7B2" w:sz="6"/>
          <w:left w:val="none" w:color="FFFFFF" w:sz="0"/>
          <w:bottom w:val="single" w:color="9AA7B2" w:sz="6"/>
          <w:right w:val="none" w:color="FFFFFF" w:sz="0"/>
          <w:insideH w:val="single" w:color="D6DDE3" w:sz="2"/>
          <w:insideV w:val="none" w:color="FFFFFF" w:sz="0"/>
        </w:tblBorders>
      </w:tblPr>
      <w:tblGrid>
        <w:gridCol w:w="3182"/>
        <w:gridCol w:w="2059"/>
        <w:gridCol w:w="2059"/>
        <w:gridCol w:w="2060"/>
      </w:tblGrid>
      <w:tr>
        <w:trPr>
          <w:tblHeader/>
        </w:trPr>
        <w:tc>
          <w:tcPr>
            <w:tcW w:type="dxa" w:w="3182"/>
            <w:shd w:fill="EDF1F5" w:color="auto" w:val="clear"/>
            <w:tcMar>
              <w:top w:type="dxa" w:w="70"/>
              <w:left w:type="dxa" w:w="110"/>
              <w:bottom w:type="dxa" w:w="70"/>
              <w:right w:type="dxa" w:w="110"/>
            </w:tcMar>
          </w:tcPr>
          <w:p>
            <w:pPr>
              <w:spacing w:after="0" w:line="250"/>
            </w:pPr>
          </w:p>
        </w:tc>
        <w:tc>
          <w:tcPr>
            <w:tcW w:type="dxa" w:w="2059"/>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Coef $/gal per point</w:t>
            </w:r>
          </w:p>
        </w:tc>
        <w:tc>
          <w:tcPr>
            <w:tcW w:type="dxa" w:w="2059"/>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t (conventional)</w:t>
            </w:r>
          </w:p>
        </w:tc>
        <w:tc>
          <w:tcPr>
            <w:tcW w:type="dxa" w:w="2060"/>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t (clustered on state)</w:t>
            </w:r>
          </w:p>
        </w:tc>
      </w:tr>
      <w:tr>
        <w:tc>
          <w:tcPr>
            <w:tcW w:type="dxa" w:w="3182"/>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Walmart</w:t>
            </w:r>
          </w:p>
        </w:tc>
        <w:tc>
          <w:tcPr>
            <w:tcW w:type="dxa" w:w="2059"/>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+0.00175</w:t>
            </w:r>
          </w:p>
        </w:tc>
        <w:tc>
          <w:tcPr>
            <w:tcW w:type="dxa" w:w="2059"/>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+1.09</w:t>
            </w:r>
          </w:p>
        </w:tc>
        <w:tc>
          <w:tcPr>
            <w:tcW w:type="dxa" w:w="206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+0.72</w:t>
            </w:r>
          </w:p>
        </w:tc>
      </w:tr>
      <w:tr>
        <w:tc>
          <w:tcPr>
            <w:tcW w:type="dxa" w:w="3182"/>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Aldi</w:t>
            </w:r>
          </w:p>
        </w:tc>
        <w:tc>
          <w:tcPr>
            <w:tcW w:type="dxa" w:w="2059"/>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−0.00318</w:t>
            </w:r>
          </w:p>
        </w:tc>
        <w:tc>
          <w:tcPr>
            <w:tcW w:type="dxa" w:w="2059"/>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−1.43</w:t>
            </w:r>
          </w:p>
        </w:tc>
        <w:tc>
          <w:tcPr>
            <w:tcW w:type="dxa" w:w="2060"/>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−0.78</w:t>
            </w:r>
          </w:p>
        </w:tc>
      </w:tr>
      <w:tr>
        <w:tc>
          <w:tcPr>
            <w:tcW w:type="dxa" w:w="3182"/>
            <w:tcMar>
              <w:top w:type="dxa" w:w="70"/>
              <w:left w:type="dxa" w:w="110"/>
              <w:bottom w:type="dxa" w:w="70"/>
              <w:right w:type="dxa" w:w="110"/>
            </w:tcMar>
          </w:tcPr>
          <w:p>
            <w:pPr>
              <w:spacing w:after="0" w:line="250"/>
            </w:pPr>
            <w:r>
              <w:rPr>
                <w:rFonts w:ascii="Calibri" w:cs="Calibri" w:eastAsia="Calibri" w:hAnsi="Calibri"/>
                <w:b/>
                <w:bCs/>
                <w:color w:val="1A1A1A"/>
                <w:sz w:val="18"/>
                <w:szCs w:val="18"/>
              </w:rPr>
              <w:t xml:space="preserve">Walmart − Aldi</w:t>
            </w:r>
          </w:p>
        </w:tc>
        <w:tc>
          <w:tcPr>
            <w:tcW w:type="dxa" w:w="2059"/>
            <w:tcMar>
              <w:top w:type="dxa" w:w="70"/>
              <w:left w:type="dxa" w:w="110"/>
              <w:bottom w:type="dxa" w:w="70"/>
              <w:right w:type="dxa" w:w="110"/>
            </w:tcMar>
          </w:tcPr>
          <w:p>
            <w:pPr>
              <w:spacing w:after="0" w:line="250"/>
              <w:jc w:val="right"/>
            </w:pPr>
            <w:r>
              <w:rPr>
                <w:rFonts w:ascii="Calibri" w:cs="Calibri" w:eastAsia="Calibri" w:hAnsi="Calibri"/>
                <w:b/>
                <w:bCs/>
                <w:color w:val="1A1A1A"/>
                <w:sz w:val="18"/>
                <w:szCs w:val="18"/>
              </w:rPr>
              <w:t xml:space="preserve">+0.00493</w:t>
            </w:r>
          </w:p>
        </w:tc>
        <w:tc>
          <w:tcPr>
            <w:tcW w:type="dxa" w:w="2059"/>
            <w:tcMar>
              <w:top w:type="dxa" w:w="70"/>
              <w:left w:type="dxa" w:w="110"/>
              <w:bottom w:type="dxa" w:w="70"/>
              <w:right w:type="dxa" w:w="110"/>
            </w:tcMar>
          </w:tcPr>
          <w:p>
            <w:pPr>
              <w:spacing w:after="0" w:line="250"/>
              <w:jc w:val="right"/>
            </w:pPr>
            <w:r>
              <w:rPr>
                <w:rFonts w:ascii="Calibri" w:cs="Calibri" w:eastAsia="Calibri" w:hAnsi="Calibri"/>
                <w:b/>
                <w:bCs/>
                <w:color w:val="1A1A1A"/>
                <w:sz w:val="18"/>
                <w:szCs w:val="18"/>
              </w:rPr>
              <w:t xml:space="preserve">+1.88</w:t>
            </w:r>
          </w:p>
        </w:tc>
        <w:tc>
          <w:tcPr>
            <w:tcW w:type="dxa" w:w="2060"/>
            <w:tcMar>
              <w:top w:type="dxa" w:w="70"/>
              <w:left w:type="dxa" w:w="110"/>
              <w:bottom w:type="dxa" w:w="70"/>
              <w:right w:type="dxa" w:w="110"/>
            </w:tcMar>
          </w:tcPr>
          <w:p>
            <w:pPr>
              <w:spacing w:after="0" w:line="250"/>
              <w:jc w:val="right"/>
            </w:pPr>
            <w:r>
              <w:rPr>
                <w:rFonts w:ascii="Calibri" w:cs="Calibri" w:eastAsia="Calibri" w:hAnsi="Calibri"/>
                <w:b/>
                <w:bCs/>
                <w:color w:val="1A1A1A"/>
                <w:sz w:val="18"/>
                <w:szCs w:val="18"/>
              </w:rPr>
              <w:t xml:space="preserve">+0.96</w:t>
            </w:r>
          </w:p>
        </w:tc>
      </w:tr>
    </w:tbl>
    <w:p>
      <w:pPr>
        <w:spacing w:after="110"/>
      </w:pPr>
    </w:p>
    <w:p>
      <w:pPr>
        <w:spacing w:after="140" w:line="276"/>
      </w:pPr>
      <w:r>
        <w:rPr>
          <w:rFonts w:ascii="Cambria" w:cs="Cambria" w:eastAsia="Cambria" w:hAnsi="Cambria"/>
          <w:color w:val="1A1A1A"/>
          <w:sz w:val="21"/>
          <w:szCs w:val="21"/>
        </w:rPr>
        <w:t xml:space="preserve">Differencing the two retailers at the same ZIP removes everything common to the location — freight, local demand, competition, income, urbanicity, and the federal Class I differential. </w:t>
      </w:r>
      <w:r>
        <w:rPr>
          <w:rFonts w:ascii="Cambria" w:cs="Cambria" w:eastAsia="Cambria" w:hAnsi="Cambria"/>
          <w:b/>
          <w:bCs/>
          <w:color w:val="1A1A1A"/>
          <w:sz w:val="21"/>
          <w:szCs w:val="21"/>
        </w:rPr>
        <w:t xml:space="preserve">What remains is the retailer.</w:t>
      </w:r>
      <w:r>
        <w:rPr>
          <w:rFonts w:ascii="Cambria" w:cs="Cambria" w:eastAsia="Cambria" w:hAnsi="Cambria"/>
          <w:color w:val="1A1A1A"/>
          <w:sz w:val="21"/>
          <w:szCs w:val="21"/>
        </w:rPr>
        <w:t xml:space="preserve"> This is the cleanest identification the available data supports, and it is why this comparison carries more weight than any single-chain regression above.</w:t>
      </w:r>
    </w:p>
    <w:p>
      <w:pPr>
        <w:spacing w:after="140" w:line="276"/>
      </w:pPr>
      <w:r>
        <w:rPr>
          <w:rFonts w:ascii="Cambria" w:cs="Cambria" w:eastAsia="Cambria" w:hAnsi="Cambria"/>
          <w:b/>
          <w:bCs/>
          <w:color w:val="1A1A1A"/>
          <w:sz w:val="21"/>
          <w:szCs w:val="21"/>
        </w:rPr>
        <w:t xml:space="preserve">It is nonetheless not significant.</w:t>
      </w:r>
      <w:r>
        <w:rPr>
          <w:rFonts w:ascii="Cambria" w:cs="Cambria" w:eastAsia="Cambria" w:hAnsi="Cambria"/>
          <w:color w:val="1A1A1A"/>
          <w:sz w:val="21"/>
          <w:szCs w:val="21"/>
        </w:rPr>
        <w:t xml:space="preserve"> With twelve state clusters the statistic is t = +0.96. The conventional t of +1.88 ignores clustering and should never be quoted on its own.</w:t>
      </w:r>
    </w:p>
    <w:p>
      <w:pPr>
        <w:spacing w:after="140" w:line="276"/>
      </w:pPr>
      <w:r>
        <w:rPr>
          <w:rFonts w:ascii="Cambria" w:cs="Cambria" w:eastAsia="Cambria" w:hAnsi="Cambria"/>
          <w:color w:val="1A1A1A"/>
          <w:sz w:val="21"/>
          <w:szCs w:val="21"/>
        </w:rPr>
        <w:t xml:space="preserve">Aldi on its own terms is flat to slightly negative throughout — pooled across all 1,333 ZIPs the coefficient runs −0.0008 to −0.0018 and never approaches significance — and in the low-income rural segment under county controls it is significantly </w:t>
      </w:r>
      <w:r>
        <w:rPr>
          <w:rFonts w:ascii="Cambria" w:cs="Cambria" w:eastAsia="Cambria" w:hAnsi="Cambria"/>
          <w:i/>
          <w:iCs/>
          <w:color w:val="1A1A1A"/>
          <w:sz w:val="21"/>
          <w:szCs w:val="21"/>
        </w:rPr>
        <w:t xml:space="preserve">negative</w:t>
      </w:r>
      <w:r>
        <w:rPr>
          <w:rFonts w:ascii="Cambria" w:cs="Cambria" w:eastAsia="Cambria" w:hAnsi="Cambria"/>
          <w:color w:val="1A1A1A"/>
          <w:sz w:val="21"/>
          <w:szCs w:val="21"/>
        </w:rPr>
        <w:t xml:space="preserve"> (−0.00781, t −3.14 clustered). Wherever Aldi moves, it moves the other way.</w:t>
      </w:r>
    </w:p>
    <w:p>
      <w:pPr>
        <w:spacing w:after="140" w:line="276"/>
      </w:pPr>
      <w:r>
        <w:rPr>
          <w:rFonts w:ascii="Cambria" w:cs="Cambria" w:eastAsia="Cambria" w:hAnsi="Cambria"/>
          <w:color w:val="555555"/>
          <w:sz w:val="20"/>
          <w:szCs w:val="20"/>
        </w:rPr>
        <w:t xml:space="preserve">Assumption: absent any racial gradient the Walmart-minus-Aldi spread would be constant across ZIP codes. The two chains price different private labels at different levels — Aldi is a discounter and the average spread is 72¢–97¢ — so the </w:t>
      </w:r>
      <w:r>
        <w:rPr>
          <w:rFonts w:ascii="Cambria" w:cs="Cambria" w:eastAsia="Cambria" w:hAnsi="Cambria"/>
          <w:i/>
          <w:iCs/>
          <w:color w:val="555555"/>
          <w:sz w:val="20"/>
          <w:szCs w:val="20"/>
        </w:rPr>
        <w:t xml:space="preserve">level</w:t>
      </w:r>
      <w:r>
        <w:rPr>
          <w:rFonts w:ascii="Cambria" w:cs="Cambria" w:eastAsia="Cambria" w:hAnsi="Cambria"/>
          <w:color w:val="555555"/>
          <w:sz w:val="20"/>
          <w:szCs w:val="20"/>
        </w:rPr>
        <w:t xml:space="preserve"> of that spread carries no meaning. Only its variation with racial composition does.</w:t>
      </w:r>
    </w:p>
    <w:p>
      <w:pPr>
        <w:pStyle w:val="Heading2"/>
        <w:spacing w:after="150" w:before="340"/>
      </w:pPr>
      <w:r>
        <w:rPr>
          <w:rFonts w:ascii="Calibri" w:cs="Calibri" w:eastAsia="Calibri" w:hAnsi="Calibri"/>
          <w:b/>
          <w:bCs/>
          <w:color w:val="1B4A6B"/>
          <w:sz w:val="26"/>
          <w:szCs w:val="26"/>
        </w:rPr>
        <w:t xml:space="preserve">6. Why the two chains differ: pricing architecture</w:t>
      </w:r>
    </w:p>
    <w:p>
      <w:pPr>
        <w:spacing w:after="140" w:line="276"/>
      </w:pPr>
      <w:r>
        <w:rPr>
          <w:rFonts w:ascii="Cambria" w:cs="Cambria" w:eastAsia="Cambria" w:hAnsi="Cambria"/>
          <w:color w:val="1A1A1A"/>
          <w:sz w:val="21"/>
          <w:szCs w:val="21"/>
        </w:rPr>
        <w:t xml:space="preserve">The retailers are not merely different in outcome; they are built differently, and the difference determines whether a racial gradient is even possible.</w:t>
      </w:r>
    </w:p>
    <w:tbl>
      <w:tblPr>
        <w:tblW w:type="dxa" w:w="9360"/>
        <w:tblBorders>
          <w:top w:val="single" w:color="9AA7B2" w:sz="6"/>
          <w:left w:val="none" w:color="FFFFFF" w:sz="0"/>
          <w:bottom w:val="single" w:color="9AA7B2" w:sz="6"/>
          <w:right w:val="none" w:color="FFFFFF" w:sz="0"/>
          <w:insideH w:val="single" w:color="D6DDE3" w:sz="2"/>
          <w:insideV w:val="none" w:color="FFFFFF" w:sz="0"/>
        </w:tblBorders>
      </w:tblPr>
      <w:tblGrid>
        <w:gridCol w:w="2808"/>
        <w:gridCol w:w="3276"/>
        <w:gridCol w:w="3276"/>
      </w:tblGrid>
      <w:tr>
        <w:trPr>
          <w:tblHeader/>
        </w:trPr>
        <w:tc>
          <w:tcPr>
            <w:tcW w:type="dxa" w:w="2808"/>
            <w:shd w:fill="EDF1F5" w:color="auto" w:val="clear"/>
            <w:tcMar>
              <w:top w:type="dxa" w:w="70"/>
              <w:left w:type="dxa" w:w="110"/>
              <w:bottom w:type="dxa" w:w="70"/>
              <w:right w:type="dxa" w:w="110"/>
            </w:tcMar>
          </w:tcPr>
          <w:p>
            <w:pPr>
              <w:spacing w:after="0" w:line="250"/>
            </w:pPr>
          </w:p>
        </w:tc>
        <w:tc>
          <w:tcPr>
            <w:tcW w:type="dxa" w:w="3276"/>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Aldi</w:t>
            </w:r>
          </w:p>
        </w:tc>
        <w:tc>
          <w:tcPr>
            <w:tcW w:type="dxa" w:w="3276"/>
            <w:shd w:fill="EDF1F5" w:color="auto" w:val="clear"/>
            <w:tcMar>
              <w:top w:type="dxa" w:w="70"/>
              <w:left w:type="dxa" w:w="110"/>
              <w:bottom w:type="dxa" w:w="70"/>
              <w:right w:type="dxa" w:w="110"/>
            </w:tcMar>
          </w:tcPr>
          <w:p>
            <w:pPr>
              <w:spacing w:after="0" w:line="250"/>
              <w:jc w:val="right"/>
            </w:pPr>
            <w:r>
              <w:rPr>
                <w:rFonts w:ascii="Calibri" w:cs="Calibri" w:eastAsia="Calibri" w:hAnsi="Calibri"/>
                <w:b/>
                <w:bCs/>
                <w:color w:val="1A1A1A"/>
                <w:sz w:val="17"/>
                <w:szCs w:val="17"/>
              </w:rPr>
              <w:t xml:space="preserve">Walmart</w:t>
            </w:r>
          </w:p>
        </w:tc>
      </w:tr>
      <w:tr>
        <w:tc>
          <w:tcPr>
            <w:tcW w:type="dxa" w:w="2808"/>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Pricing unit</w:t>
            </w:r>
          </w:p>
        </w:tc>
        <w:tc>
          <w:tcPr>
            <w:tcW w:type="dxa" w:w="3276"/>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zone — 1,333 ZIPs resolve to 522 zones</w:t>
            </w:r>
          </w:p>
        </w:tc>
        <w:tc>
          <w:tcPr>
            <w:tcW w:type="dxa" w:w="3276"/>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at or below the county</w:t>
            </w:r>
          </w:p>
        </w:tc>
      </w:tr>
      <w:tr>
        <w:tc>
          <w:tcPr>
            <w:tcW w:type="dxa" w:w="2808"/>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Distinct prices</w:t>
            </w:r>
          </w:p>
        </w:tc>
        <w:tc>
          <w:tcPr>
            <w:tcW w:type="dxa" w:w="3276"/>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63</w:t>
            </w:r>
          </w:p>
        </w:tc>
        <w:tc>
          <w:tcPr>
            <w:tcW w:type="dxa" w:w="3276"/>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milk takes 17–25 per state</w:t>
            </w:r>
          </w:p>
        </w:tc>
      </w:tr>
      <w:tr>
        <w:tc>
          <w:tcPr>
            <w:tcW w:type="dxa" w:w="2808"/>
            <w:tcMar>
              <w:top w:type="dxa" w:w="70"/>
              <w:left w:type="dxa" w:w="110"/>
              <w:bottom w:type="dxa" w:w="70"/>
              <w:right w:type="dxa" w:w="110"/>
            </w:tcMar>
          </w:tcPr>
          <w:p>
            <w:pPr>
              <w:spacing w:after="0" w:line="250"/>
            </w:pPr>
            <w:r>
              <w:rPr>
                <w:rFonts w:ascii="Calibri" w:cs="Calibri" w:eastAsia="Calibri" w:hAnsi="Calibri"/>
                <w:color w:val="1A1A1A"/>
                <w:sz w:val="18"/>
                <w:szCs w:val="18"/>
              </w:rPr>
              <w:t xml:space="preserve">Within-unit variation</w:t>
            </w:r>
          </w:p>
        </w:tc>
        <w:tc>
          <w:tcPr>
            <w:tcW w:type="dxa" w:w="3276"/>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none — one price per zone</w:t>
            </w:r>
          </w:p>
        </w:tc>
        <w:tc>
          <w:tcPr>
            <w:tcW w:type="dxa" w:w="3276"/>
            <w:tcMar>
              <w:top w:type="dxa" w:w="70"/>
              <w:left w:type="dxa" w:w="110"/>
              <w:bottom w:type="dxa" w:w="70"/>
              <w:right w:type="dxa" w:w="110"/>
            </w:tcMar>
          </w:tcPr>
          <w:p>
            <w:pPr>
              <w:spacing w:after="0" w:line="250"/>
              <w:jc w:val="right"/>
            </w:pPr>
            <w:r>
              <w:rPr>
                <w:rFonts w:ascii="Calibri" w:cs="Calibri" w:eastAsia="Calibri" w:hAnsi="Calibri"/>
                <w:color w:val="1A1A1A"/>
                <w:sz w:val="18"/>
                <w:szCs w:val="18"/>
              </w:rPr>
              <w:t xml:space="preserve">store by store, for fluid milk</w:t>
            </w:r>
          </w:p>
        </w:tc>
      </w:tr>
    </w:tbl>
    <w:p>
      <w:pPr>
        <w:spacing w:after="110"/>
      </w:pPr>
    </w:p>
    <w:p>
      <w:pPr>
        <w:spacing w:after="140" w:line="276"/>
      </w:pPr>
      <w:r>
        <w:rPr>
          <w:rFonts w:ascii="Cambria" w:cs="Cambria" w:eastAsia="Cambria" w:hAnsi="Cambria"/>
          <w:b/>
          <w:bCs/>
          <w:color w:val="1A1A1A"/>
          <w:sz w:val="21"/>
          <w:szCs w:val="21"/>
        </w:rPr>
        <w:t xml:space="preserve">Aldi's zones are racially flat by construction.</w:t>
      </w:r>
      <w:r>
        <w:rPr>
          <w:rFonts w:ascii="Cambria" w:cs="Cambria" w:eastAsia="Cambria" w:hAnsi="Cambria"/>
          <w:color w:val="1A1A1A"/>
          <w:sz w:val="21"/>
          <w:szCs w:val="21"/>
        </w:rPr>
        <w:t xml:space="preserve"> Among the 170 zones containing three or more ZIP codes, zone price regressed on zone mean percent Black gives +0.0039 per point (t +1.16) — no sorting. The mean spread in percent Black </w:t>
      </w:r>
      <w:r>
        <w:rPr>
          <w:rFonts w:ascii="Cambria" w:cs="Cambria" w:eastAsia="Cambria" w:hAnsi="Cambria"/>
          <w:i/>
          <w:iCs/>
          <w:color w:val="1A1A1A"/>
          <w:sz w:val="21"/>
          <w:szCs w:val="21"/>
        </w:rPr>
        <w:t xml:space="preserve">within</w:t>
      </w:r>
      <w:r>
        <w:rPr>
          <w:rFonts w:ascii="Cambria" w:cs="Cambria" w:eastAsia="Cambria" w:hAnsi="Cambria"/>
          <w:color w:val="1A1A1A"/>
          <w:sz w:val="21"/>
          <w:szCs w:val="21"/>
        </w:rPr>
        <w:t xml:space="preserve"> a single zone is </w:t>
      </w:r>
      <w:r>
        <w:rPr>
          <w:rFonts w:ascii="Cambria" w:cs="Cambria" w:eastAsia="Cambria" w:hAnsi="Cambria"/>
          <w:b/>
          <w:bCs/>
          <w:color w:val="1A1A1A"/>
          <w:sz w:val="21"/>
          <w:szCs w:val="21"/>
        </w:rPr>
        <w:t xml:space="preserve">7.0 percentage points</w:t>
      </w:r>
      <w:r>
        <w:rPr>
          <w:rFonts w:ascii="Cambria" w:cs="Cambria" w:eastAsia="Cambria" w:hAnsi="Cambria"/>
          <w:color w:val="1A1A1A"/>
          <w:sz w:val="21"/>
          <w:szCs w:val="21"/>
        </w:rPr>
        <w:t xml:space="preserve">, and every ZIP inside a zone pays the identical price. For a racial gradient to appear at Aldi, the chain would have to sort ZIP codes into price zones by racial composition, and it does not.</w:t>
      </w:r>
    </w:p>
    <w:p>
      <w:pPr>
        <w:spacing w:after="140" w:line="276"/>
      </w:pPr>
      <w:r>
        <w:rPr>
          <w:rFonts w:ascii="Cambria" w:cs="Cambria" w:eastAsia="Cambria" w:hAnsi="Cambria"/>
          <w:color w:val="1A1A1A"/>
          <w:sz w:val="21"/>
          <w:szCs w:val="21"/>
        </w:rPr>
        <w:t xml:space="preserve">Walmart's architecture permits what Aldi's forecloses — and fluid milk is precisely the product Walmart varies store by store. Across all 92 South Carolina stores, Great Value whole milk took </w:t>
      </w:r>
      <w:r>
        <w:rPr>
          <w:rFonts w:ascii="Cambria" w:cs="Cambria" w:eastAsia="Cambria" w:hAnsi="Cambria"/>
          <w:b/>
          <w:bCs/>
          <w:color w:val="1A1A1A"/>
          <w:sz w:val="21"/>
          <w:szCs w:val="21"/>
        </w:rPr>
        <w:t xml:space="preserve">25 distinct prices</w:t>
      </w:r>
      <w:r>
        <w:rPr>
          <w:rFonts w:ascii="Cambria" w:cs="Cambria" w:eastAsia="Cambria" w:hAnsi="Cambria"/>
          <w:color w:val="1A1A1A"/>
          <w:sz w:val="21"/>
          <w:szCs w:val="21"/>
        </w:rPr>
        <w:t xml:space="preserve"> while sour cream, mozzarella, Greek yogurt, eggs and canned green beans each took </w:t>
      </w:r>
      <w:r>
        <w:rPr>
          <w:rFonts w:ascii="Cambria" w:cs="Cambria" w:eastAsia="Cambria" w:hAnsi="Cambria"/>
          <w:b/>
          <w:bCs/>
          <w:color w:val="1A1A1A"/>
          <w:sz w:val="21"/>
          <w:szCs w:val="21"/>
        </w:rPr>
        <w:t xml:space="preserve">exactly one</w:t>
      </w:r>
      <w:r>
        <w:rPr>
          <w:rFonts w:ascii="Cambria" w:cs="Cambria" w:eastAsia="Cambria" w:hAnsi="Cambria"/>
          <w:color w:val="1A1A1A"/>
          <w:sz w:val="21"/>
          <w:szCs w:val="21"/>
        </w:rPr>
        <w:t xml:space="preserve"> statewide. Nationally whole milk takes 17 distinct prices, 1% milk 17 and chocolate 19, while every other basket item takes one or two. Two stores 2,800 miles apart — Sacramento and Ashburn, Virginia — price </w:t>
      </w:r>
      <w:r>
        <w:rPr>
          <w:rFonts w:ascii="Cambria" w:cs="Cambria" w:eastAsia="Cambria" w:hAnsi="Cambria"/>
          <w:b/>
          <w:bCs/>
          <w:color w:val="1A1A1A"/>
          <w:sz w:val="21"/>
          <w:szCs w:val="21"/>
        </w:rPr>
        <w:t xml:space="preserve">8 of 13 items identically to the cent</w:t>
      </w:r>
      <w:r>
        <w:rPr>
          <w:rFonts w:ascii="Cambria" w:cs="Cambria" w:eastAsia="Cambria" w:hAnsi="Cambria"/>
          <w:color w:val="1A1A1A"/>
          <w:sz w:val="21"/>
          <w:szCs w:val="21"/>
        </w:rPr>
        <w:t xml:space="preserve"> and differ on milk.</w:t>
      </w:r>
    </w:p>
    <w:p>
      <w:pPr>
        <w:pBdr>
          <w:left w:val="single" w:color="1B4A6B" w:sz="18" w:space="10"/>
        </w:pBdr>
        <w:spacing w:after="180" w:line="276"/>
        <w:ind w:left="170"/>
      </w:pPr>
      <w:r>
        <w:rPr>
          <w:rFonts w:ascii="Cambria" w:cs="Cambria" w:eastAsia="Cambria" w:hAnsi="Cambria"/>
          <w:b/>
          <w:bCs/>
          <w:color w:val="1A1A1A"/>
          <w:sz w:val="21"/>
          <w:szCs w:val="21"/>
        </w:rPr>
        <w:t xml:space="preserve">Architecture determines whether a disparity can occur. It does not establish that one did.</w:t>
      </w:r>
      <w:r>
        <w:rPr>
          <w:rFonts w:ascii="Cambria" w:cs="Cambria" w:eastAsia="Cambria" w:hAnsi="Cambria"/>
          <w:color w:val="1A1A1A"/>
          <w:sz w:val="21"/>
          <w:szCs w:val="21"/>
        </w:rPr>
        <w:t xml:space="preserve"> This is the durable finding in this analysis, and unlike the price gradients it does not depend on any p-value. It also forecloses the defence that all staples are priced locally — bread and eggs are not.</w:t>
      </w:r>
    </w:p>
    <w:p>
      <w:pPr>
        <w:pStyle w:val="Heading2"/>
        <w:spacing w:after="150" w:before="340"/>
      </w:pPr>
      <w:r>
        <w:rPr>
          <w:rFonts w:ascii="Calibri" w:cs="Calibri" w:eastAsia="Calibri" w:hAnsi="Calibri"/>
          <w:b/>
          <w:bCs/>
          <w:color w:val="1B4A6B"/>
          <w:sz w:val="26"/>
          <w:szCs w:val="26"/>
        </w:rPr>
        <w:t xml:space="preserve">7. A further finding that is solid, and is not a disparity</w:t>
      </w:r>
    </w:p>
    <w:p>
      <w:pPr>
        <w:spacing w:after="140" w:line="276"/>
      </w:pPr>
      <w:r>
        <w:rPr>
          <w:rFonts w:ascii="Cambria" w:cs="Cambria" w:eastAsia="Cambria" w:hAnsi="Cambria"/>
          <w:b/>
          <w:bCs/>
          <w:color w:val="1A1A1A"/>
          <w:sz w:val="21"/>
          <w:szCs w:val="21"/>
        </w:rPr>
        <w:t xml:space="preserve">The affordability gap is real, and it is income rather than price.</w:t>
      </w:r>
      <w:r>
        <w:rPr>
          <w:rFonts w:ascii="Cambria" w:cs="Cambria" w:eastAsia="Cambria" w:hAnsi="Cambria"/>
          <w:color w:val="1A1A1A"/>
          <w:sz w:val="21"/>
          <w:szCs w:val="21"/>
        </w:rPr>
        <w:t xml:space="preserve"> Milk cost as a share of household income rises steeply with the Black share of a ZIP: +0.0029 percentage points per point, t +11.9, with state fixed effects. But over the same stores the </w:t>
      </w:r>
      <w:r>
        <w:rPr>
          <w:rFonts w:ascii="Cambria" w:cs="Cambria" w:eastAsia="Cambria" w:hAnsi="Cambria"/>
          <w:b/>
          <w:bCs/>
          <w:color w:val="1A1A1A"/>
          <w:sz w:val="21"/>
          <w:szCs w:val="21"/>
        </w:rPr>
        <w:t xml:space="preserve">price</w:t>
      </w:r>
      <w:r>
        <w:rPr>
          <w:rFonts w:ascii="Cambria" w:cs="Cambria" w:eastAsia="Cambria" w:hAnsi="Cambria"/>
          <w:color w:val="1A1A1A"/>
          <w:sz w:val="21"/>
          <w:szCs w:val="21"/>
        </w:rPr>
        <w:t xml:space="preserve"> coefficient is negative (−0.0037, t −7.1) while median income falls </w:t>
      </w:r>
      <w:r>
        <w:rPr>
          <w:rFonts w:ascii="Cambria" w:cs="Cambria" w:eastAsia="Cambria" w:hAnsi="Cambria"/>
          <w:b/>
          <w:bCs/>
          <w:color w:val="1A1A1A"/>
          <w:sz w:val="21"/>
          <w:szCs w:val="21"/>
        </w:rPr>
        <w:t xml:space="preserve">$359 per percentage point</w:t>
      </w:r>
      <w:r>
        <w:rPr>
          <w:rFonts w:ascii="Cambria" w:cs="Cambria" w:eastAsia="Cambria" w:hAnsi="Cambria"/>
          <w:color w:val="1A1A1A"/>
          <w:sz w:val="21"/>
          <w:szCs w:val="21"/>
        </w:rPr>
        <w:t xml:space="preserve"> (t −12.9). The disparity is entirely in the denominator. That is a substantial finding about a necessity, but bread or rent would produce the same coefficient — it is a statement about income inequality, not about pricing conduct.</w:t>
      </w:r>
    </w:p>
    <w:p>
      <w:pPr>
        <w:spacing w:after="140" w:line="276"/>
      </w:pPr>
      <w:r>
        <w:rPr>
          <w:rFonts w:ascii="Cambria" w:cs="Cambria" w:eastAsia="Cambria" w:hAnsi="Cambria"/>
          <w:color w:val="1A1A1A"/>
          <w:sz w:val="21"/>
          <w:szCs w:val="21"/>
        </w:rPr>
        <w:t xml:space="preserve">For scale: Pennsylvania and New Jersey set statutory minimum </w:t>
      </w:r>
      <w:r>
        <w:rPr>
          <w:rFonts w:ascii="Cambria" w:cs="Cambria" w:eastAsia="Cambria" w:hAnsi="Cambria"/>
          <w:b/>
          <w:bCs/>
          <w:color w:val="1A1A1A"/>
          <w:sz w:val="21"/>
          <w:szCs w:val="21"/>
        </w:rPr>
        <w:t xml:space="preserve">retail</w:t>
      </w:r>
      <w:r>
        <w:rPr>
          <w:rFonts w:ascii="Cambria" w:cs="Cambria" w:eastAsia="Cambria" w:hAnsi="Cambria"/>
          <w:color w:val="1A1A1A"/>
          <w:sz w:val="21"/>
          <w:szCs w:val="21"/>
        </w:rPr>
        <w:t xml:space="preserve"> milk prices, and stores there average </w:t>
      </w:r>
      <w:r>
        <w:rPr>
          <w:rFonts w:ascii="Cambria" w:cs="Cambria" w:eastAsia="Cambria" w:hAnsi="Cambria"/>
          <w:b/>
          <w:bCs/>
          <w:color w:val="1A1A1A"/>
          <w:sz w:val="21"/>
          <w:szCs w:val="21"/>
        </w:rPr>
        <w:t xml:space="preserve">$4.75/gallon against $3.47</w:t>
      </w:r>
      <w:r>
        <w:rPr>
          <w:rFonts w:ascii="Cambria" w:cs="Cambria" w:eastAsia="Cambria" w:hAnsi="Cambria"/>
          <w:color w:val="1A1A1A"/>
          <w:sz w:val="21"/>
          <w:szCs w:val="21"/>
        </w:rPr>
        <w:t xml:space="preserve"> elsewhere — a $1.28 gap, roughly five times the retailer difference measured in §5. State regulation moves milk prices far more than anything else observed in this data.</w:t>
      </w:r>
    </w:p>
    <w:p>
      <w:pPr>
        <w:pStyle w:val="Heading2"/>
        <w:spacing w:after="150" w:before="340"/>
      </w:pPr>
      <w:r>
        <w:rPr>
          <w:rFonts w:ascii="Calibri" w:cs="Calibri" w:eastAsia="Calibri" w:hAnsi="Calibri"/>
          <w:b/>
          <w:bCs/>
          <w:color w:val="1B4A6B"/>
          <w:sz w:val="26"/>
          <w:szCs w:val="26"/>
        </w:rPr>
        <w:t xml:space="preserve">8. What can and cannot be said</w:t>
      </w:r>
    </w:p>
    <w:p>
      <w:pPr>
        <w:spacing w:after="140" w:line="276"/>
      </w:pPr>
      <w:r>
        <w:rPr>
          <w:rFonts w:ascii="Cambria" w:cs="Cambria" w:eastAsia="Cambria" w:hAnsi="Cambria"/>
          <w:b/>
          <w:bCs/>
          <w:color w:val="1A1A1A"/>
          <w:sz w:val="21"/>
          <w:szCs w:val="21"/>
        </w:rPr>
        <w:t xml:space="preserve">Supported:</w:t>
      </w:r>
      <w:r>
        <w:rPr>
          <w:rFonts w:ascii="Cambria" w:cs="Cambria" w:eastAsia="Cambria" w:hAnsi="Cambria"/>
          <w:color w:val="1A1A1A"/>
          <w:sz w:val="21"/>
          <w:szCs w:val="21"/>
        </w:rPr>
        <w:t xml:space="preserve"> in low-income rural areas, Walmart milk prices average 19¢/gallon higher in ZIP codes at least 30% Black than in comparable ZIPs under 10% Black, matched on income and urbanicity; roughly half survives within-state comparison and it is positive in 7 of 9 states; in 295 ZIP codes where both chains operate, Walmart's gap is +14¢ while Aldi's is −11¢; and fluid milk is the one product Walmart prices store by store while pricing adjacent dairy nationally.</w:t>
      </w:r>
    </w:p>
    <w:p>
      <w:pPr>
        <w:spacing w:after="140" w:line="276"/>
      </w:pPr>
      <w:r>
        <w:rPr>
          <w:rFonts w:ascii="Cambria" w:cs="Cambria" w:eastAsia="Cambria" w:hAnsi="Cambria"/>
          <w:b/>
          <w:bCs/>
          <w:color w:val="1A1A1A"/>
          <w:sz w:val="21"/>
          <w:szCs w:val="21"/>
        </w:rPr>
        <w:t xml:space="preserve">Not supported:</w:t>
      </w:r>
      <w:r>
        <w:rPr>
          <w:rFonts w:ascii="Cambria" w:cs="Cambria" w:eastAsia="Cambria" w:hAnsi="Cambria"/>
          <w:color w:val="1A1A1A"/>
          <w:sz w:val="21"/>
          <w:szCs w:val="21"/>
        </w:rPr>
        <w:t xml:space="preserve"> that the pattern holds generally — in urban areas it reverses; that it is statistically robust — neither the single-chain gradient nor the retailer difference survives clustering, and the single-chain estimate reverses sign under a finer geographic control; or that it reflects any pricing practice, policy or intent, none of which has been observed. An architecture that permits variation is not evidence that race drove it. All measures are ZIP-level and ecological; none describes an individual transaction.</w:t>
      </w:r>
    </w:p>
    <w:p>
      <w:pPr>
        <w:pBdr>
          <w:left w:val="single" w:color="1B4A6B" w:sz="18" w:space="10"/>
        </w:pBdr>
        <w:spacing w:after="180" w:line="276"/>
        <w:ind w:left="170"/>
      </w:pPr>
      <w:r>
        <w:rPr>
          <w:rFonts w:ascii="Cambria" w:cs="Cambria" w:eastAsia="Cambria" w:hAnsi="Cambria"/>
          <w:b/>
          <w:bCs/>
          <w:color w:val="1A1A1A"/>
          <w:sz w:val="21"/>
          <w:szCs w:val="21"/>
        </w:rPr>
        <w:t xml:space="preserve">The honest characterisation is neither “robust” nor “dead.”</w:t>
      </w:r>
      <w:r>
        <w:rPr>
          <w:rFonts w:ascii="Cambria" w:cs="Cambria" w:eastAsia="Cambria" w:hAnsi="Cambria"/>
          <w:color w:val="1A1A1A"/>
          <w:sz w:val="21"/>
          <w:szCs w:val="21"/>
        </w:rPr>
        <w:t xml:space="preserve"> There is a consistent pattern in a defined segment, and a control retailer in the same locations moving the other way. There is also no result here that survives conventional significance testing once clustering is applied. Both halves must travel together.</w:t>
      </w:r>
    </w:p>
    <w:p>
      <w:pPr>
        <w:pStyle w:val="Heading2"/>
        <w:spacing w:after="150" w:before="340"/>
      </w:pPr>
      <w:r>
        <w:rPr>
          <w:rFonts w:ascii="Calibri" w:cs="Calibri" w:eastAsia="Calibri" w:hAnsi="Calibri"/>
          <w:b/>
          <w:bCs/>
          <w:color w:val="1B4A6B"/>
          <w:sz w:val="26"/>
          <w:szCs w:val="26"/>
        </w:rPr>
        <w:t xml:space="preserve">9. Limitations</w:t>
      </w:r>
    </w:p>
    <w:p>
      <w:pPr>
        <w:pStyle w:val="ListParagraph"/>
        <w:numPr>
          <w:ilvl w:val="0"/>
          <w:numId w:val="2"/>
        </w:numPr>
        <w:spacing w:after="95" w:line="276"/>
      </w:pPr>
      <w:r>
        <w:rPr>
          <w:rFonts w:ascii="Cambria" w:cs="Cambria" w:eastAsia="Cambria" w:hAnsi="Cambria"/>
          <w:b/>
          <w:bCs/>
          <w:color w:val="1A1A1A"/>
          <w:sz w:val="21"/>
          <w:szCs w:val="21"/>
        </w:rPr>
        <w:t xml:space="preserve">Twelve state clusters.</w:t>
      </w:r>
      <w:r>
        <w:rPr>
          <w:rFonts w:ascii="Cambria" w:cs="Cambria" w:eastAsia="Cambria" w:hAnsi="Cambria"/>
          <w:color w:val="1A1A1A"/>
          <w:sz w:val="21"/>
          <w:szCs w:val="21"/>
        </w:rPr>
        <w:t xml:space="preserve"> This is the binding constraint on every significance test in §5, and the reason a 24¢ difference-in-differences returns t = +0.96.</w:t>
      </w:r>
    </w:p>
    <w:p>
      <w:pPr>
        <w:pStyle w:val="ListParagraph"/>
        <w:numPr>
          <w:ilvl w:val="0"/>
          <w:numId w:val="2"/>
        </w:numPr>
        <w:spacing w:after="95" w:line="276"/>
      </w:pPr>
      <w:r>
        <w:rPr>
          <w:rFonts w:ascii="Cambria" w:cs="Cambria" w:eastAsia="Cambria" w:hAnsi="Cambria"/>
          <w:b/>
          <w:bCs/>
          <w:color w:val="1A1A1A"/>
          <w:sz w:val="21"/>
          <w:szCs w:val="21"/>
        </w:rPr>
        <w:t xml:space="preserve">Data provenance.</w:t>
      </w:r>
      <w:r>
        <w:rPr>
          <w:rFonts w:ascii="Cambria" w:cs="Cambria" w:eastAsia="Cambria" w:hAnsi="Cambria"/>
          <w:color w:val="1A1A1A"/>
          <w:sz w:val="21"/>
          <w:szCs w:val="21"/>
        </w:rPr>
        <w:t xml:space="preserve"> Both price series come from a single collection pipeline that has not been independently reproduced. Commercial scraping tools return Walmart's national online price rather than store shelf prices — re-verified in September 2026, with 1 of 8 stores matching a known shelf price and Pennsylvania returning a figure below its own statutory minimum. A sourcing failure would affect both retailers, though not necessarily equally.</w:t>
      </w:r>
    </w:p>
    <w:p>
      <w:pPr>
        <w:pStyle w:val="ListParagraph"/>
        <w:numPr>
          <w:ilvl w:val="0"/>
          <w:numId w:val="2"/>
        </w:numPr>
        <w:spacing w:after="95" w:line="276"/>
      </w:pPr>
      <w:r>
        <w:rPr>
          <w:rFonts w:ascii="Cambria" w:cs="Cambria" w:eastAsia="Cambria" w:hAnsi="Cambria"/>
          <w:b/>
          <w:bCs/>
          <w:color w:val="1A1A1A"/>
          <w:sz w:val="21"/>
          <w:szCs w:val="21"/>
        </w:rPr>
        <w:t xml:space="preserve">Thin overlap.</w:t>
      </w:r>
      <w:r>
        <w:rPr>
          <w:rFonts w:ascii="Cambria" w:cs="Cambria" w:eastAsia="Cambria" w:hAnsi="Cambria"/>
          <w:color w:val="1A1A1A"/>
          <w:sz w:val="21"/>
          <w:szCs w:val="21"/>
        </w:rPr>
        <w:t xml:space="preserve"> In the key Walmart segment only 29 of 440 counties contain both comparison groups, which is what makes the county and ZIP3 controls unstable.</w:t>
      </w:r>
    </w:p>
    <w:p>
      <w:pPr>
        <w:pStyle w:val="ListParagraph"/>
        <w:numPr>
          <w:ilvl w:val="0"/>
          <w:numId w:val="2"/>
        </w:numPr>
        <w:spacing w:after="95" w:line="276"/>
      </w:pPr>
      <w:r>
        <w:rPr>
          <w:rFonts w:ascii="Cambria" w:cs="Cambria" w:eastAsia="Cambria" w:hAnsi="Cambria"/>
          <w:b/>
          <w:bCs/>
          <w:color w:val="1A1A1A"/>
          <w:sz w:val="21"/>
          <w:szCs w:val="21"/>
        </w:rPr>
        <w:t xml:space="preserve">Uneven Aldi coverage.</w:t>
      </w:r>
      <w:r>
        <w:rPr>
          <w:rFonts w:ascii="Cambria" w:cs="Cambria" w:eastAsia="Cambria" w:hAnsi="Cambria"/>
          <w:color w:val="1A1A1A"/>
          <w:sz w:val="21"/>
          <w:szCs w:val="21"/>
        </w:rPr>
        <w:t xml:space="preserve"> Texas (336 ZIPs) and California (189) dominate the Aldi panel overall, though the low-income rural cell is better balanced — NC 38, AR 38, LA 36, GA 35, MS 32, TN 30, AL 28, TX 27.</w:t>
      </w:r>
    </w:p>
    <w:p>
      <w:pPr>
        <w:pStyle w:val="ListParagraph"/>
        <w:numPr>
          <w:ilvl w:val="0"/>
          <w:numId w:val="2"/>
        </w:numPr>
        <w:spacing w:after="95" w:line="276"/>
      </w:pPr>
      <w:r>
        <w:rPr>
          <w:rFonts w:ascii="Cambria" w:cs="Cambria" w:eastAsia="Cambria" w:hAnsi="Cambria"/>
          <w:b/>
          <w:bCs/>
          <w:color w:val="1A1A1A"/>
          <w:sz w:val="21"/>
          <w:szCs w:val="21"/>
        </w:rPr>
        <w:t xml:space="preserve">Product comparability.</w:t>
      </w:r>
      <w:r>
        <w:rPr>
          <w:rFonts w:ascii="Cambria" w:cs="Cambria" w:eastAsia="Cambria" w:hAnsi="Cambria"/>
          <w:color w:val="1A1A1A"/>
          <w:sz w:val="21"/>
          <w:szCs w:val="21"/>
        </w:rPr>
        <w:t xml:space="preserve"> Walmart Great Value whole gallon against Aldi's own-label whole gallon: comparable in category, not identical goods.</w:t>
      </w:r>
    </w:p>
    <w:p>
      <w:pPr>
        <w:pStyle w:val="ListParagraph"/>
        <w:numPr>
          <w:ilvl w:val="0"/>
          <w:numId w:val="2"/>
        </w:numPr>
        <w:spacing w:after="95" w:line="276"/>
      </w:pPr>
      <w:r>
        <w:rPr>
          <w:rFonts w:ascii="Cambria" w:cs="Cambria" w:eastAsia="Cambria" w:hAnsi="Cambria"/>
          <w:b/>
          <w:bCs/>
          <w:color w:val="1A1A1A"/>
          <w:sz w:val="21"/>
          <w:szCs w:val="21"/>
        </w:rPr>
        <w:t xml:space="preserve">Single snapshot.</w:t>
      </w:r>
      <w:r>
        <w:rPr>
          <w:rFonts w:ascii="Cambria" w:cs="Cambria" w:eastAsia="Cambria" w:hAnsi="Cambria"/>
          <w:color w:val="1A1A1A"/>
          <w:sz w:val="21"/>
          <w:szCs w:val="21"/>
        </w:rPr>
        <w:t xml:space="preserve"> Prices are one collection, not a time series, so promotional timing cannot be separated from base price.</w:t>
      </w:r>
    </w:p>
    <w:p>
      <w:pPr>
        <w:spacing w:after="140" w:line="276"/>
      </w:pPr>
      <w:r>
        <w:rPr>
          <w:rFonts w:ascii="Cambria" w:cs="Cambria" w:eastAsia="Cambria" w:hAnsi="Cambria"/>
          <w:color w:val="555555"/>
          <w:sz w:val="20"/>
          <w:szCs w:val="20"/>
        </w:rPr>
        <w:t xml:space="preserve">Method: ordinary least squares on store- and ZIP-level shelf prices with median household income and log population controls; fixed effects at state, ZIP3, county or Aldi pricing zone as stated; standard errors clustered on state, or on zone where noted. Stratified comparisons use income quartiles interacted with Census urban/rural classification. Eight states are excluded from the Walmart panel: Pennsylvania and New Jersey (statutory minimum retail milk prices), Maine, North Dakota, Virginia and Montana (classified pricing reaching retail), and Alaska and Hawaii (non-contiguous).</w:t>
      </w:r>
    </w:p>
    <w:sectPr>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2026-09-14T20:23:14.721Z</dcterms:created>
  <dcterms:modified xsi:type="dcterms:W3CDTF">2026-09-14T20:23:14.735Z</dcterms:modified>
</cp:coreProperties>
</file>

<file path=docProps/custom.xml><?xml version="1.0" encoding="utf-8"?>
<Properties xmlns="http://schemas.openxmlformats.org/officeDocument/2006/custom-properties" xmlns:vt="http://schemas.openxmlformats.org/officeDocument/2006/docPropsVTypes"/>
</file>