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WHAT THE SOURCES SAID</w:t>
      </w:r>
    </w:p>
    <w:p>
      <w:pPr>
        <w:pStyle w:val="Subtitle"/>
      </w:pPr>
      <w:r>
        <w:t xml:space="preserve">A documentary appendix — the contemporary record, city by city</w:t>
      </w:r>
    </w:p>
    <w:p>
      <w:r>
        <w:rPr>
          <w:i/>
        </w:rPr>
        <w:t xml:space="preserve">Philip Carls · compiled from the project sources · quotations OCR-grade, verify against page images</w:t>
      </w:r>
    </w:p>
    <w:p>
      <w:r>
        <w:rPr>
          <w:i/>
        </w:rPr>
        <w:t xml:space="preserve">The rule the whole book runs on: a price number means nothing until a contemporaneous source says what the market was pricing. This appendix collects those voices — the financial press and the principals of each period, in their own words — so every chapter has a primary-source backbone and every quotation can be pasted in with its citation attached.</w:t>
      </w:r>
    </w:p>
    <w:p>
      <w:r>
        <w:rPr>
          <w:b/>
        </w:rPr>
        <w:t xml:space="preserve">Sourcing discipline.</w:t>
      </w:r>
      <w:r>
        <w:t xml:space="preserve"> Everything here is transcribed from the original sources named below. The pre-1914 European material is OCR-grade (plain-text transcription or ALTO OCR, not page images): every figure and quotation is located in the text but must be </w:t>
      </w:r>
      <w:r>
        <w:rPr>
          <w:b/>
        </w:rPr>
        <w:t xml:space="preserve">verified against the original page image before publication</w:t>
      </w:r>
      <w:r>
        <w:t xml:space="preserve"> — marked </w:t>
      </w:r>
      <w:r>
        <w:rPr>
          <w:rFonts w:ascii="Consolas" w:hAnsi="Consolas"/>
          <w:sz w:val="18"/>
        </w:rPr>
        <w:t xml:space="preserve">[VERIFY]</w:t>
      </w:r>
      <w:r>
        <w:t xml:space="preserve">. Where a quotation reaches us through modern scholarship rather than the original page, that is stated. Translations follow each original; glosses are the compiler's.</w:t>
      </w:r>
    </w:p>
    <w:p>
      <w:pPr>
        <w:pBdr>
          <w:bottom w:val="single" w:sz="6" w:space="1" w:color="CCCCCC"/>
        </w:pBdr>
      </w:pPr>
    </w:p>
    <w:p>
      <w:pPr>
        <w:pStyle w:val="Heading2"/>
        <w:pageBreakBefore/>
      </w:pPr>
      <w:r>
        <w:t xml:space="preserve">I. PARIS — </w:t>
      </w:r>
      <w:r>
        <w:rPr>
          <w:i/>
        </w:rPr>
        <w:t xml:space="preserve">Le Temps</w:t>
      </w:r>
      <w:r>
        <w:t xml:space="preserve"> and the French principals</w:t>
      </w:r>
    </w:p>
    <w:p>
      <w:r>
        <w:rPr>
          <w:b/>
        </w:rPr>
        <w:t xml:space="preserve">1905 · Delcassé forced out</w:t>
      </w:r>
      <w:r>
        <w:t xml:space="preserve"> — the paper names Morocco and the German backlash as the cause, not the bond market.</w:t>
      </w:r>
    </w:p>
    <w:p>
      <w:pPr>
        <w:pStyle w:val="Quote"/>
      </w:pPr>
      <w:r>
        <w:rPr>
          <w:i/>
        </w:rPr>
        <w:t xml:space="preserve">"…après l'échec de la mission française à Fez et le contre-coup fâcheux que cet échec a produit en Europe… la démission de M. Delcassé. M. Rouvier s'est chargé de l'intérim des affaires étrangères."</w:t>
      </w:r>
    </w:p>
    <w:p>
      <w:r>
        <w:rPr>
          <w:i/>
        </w:rPr>
        <w:t xml:space="preserve">"…after the failure of the French mission at Fez and the unfortunate repercussion it produced in Europe… the resignation of M. Delcassé. M. Rouvier has taken interim charge of foreign affairs."</w:t>
      </w:r>
      <w:r>
        <w:t xml:space="preserve"> — </w:t>
      </w:r>
      <w:r>
        <w:rPr>
          <w:i/>
        </w:rPr>
        <w:t xml:space="preserve">Le Temps</w:t>
      </w:r>
      <w:r>
        <w:t xml:space="preserve">, 7 June 1905. Gallica/BnF </w:t>
      </w:r>
      <w:r>
        <w:rPr>
          <w:rFonts w:ascii="Consolas" w:hAnsi="Consolas"/>
          <w:sz w:val="18"/>
        </w:rPr>
        <w:t xml:space="preserve">bpt6k238270b</w:t>
      </w:r>
      <w:r>
        <w:t xml:space="preserve"> (public domain). </w:t>
      </w:r>
      <w:r>
        <w:rPr>
          <w:rFonts w:ascii="Consolas" w:hAnsi="Consolas"/>
          <w:sz w:val="18"/>
        </w:rPr>
        <w:t xml:space="preserve">[VERIFY vs page image]</w:t>
      </w:r>
    </w:p>
    <w:p>
      <w:r>
        <w:rPr>
          <w:b/>
        </w:rPr>
        <w:t xml:space="preserve">1906 · The Russian loan on the Paris market</w:t>
      </w:r>
      <w:r>
        <w:t xml:space="preserve"> — Jaurès opposing it in the Chamber.</w:t>
      </w:r>
    </w:p>
    <w:p>
      <w:pPr>
        <w:pStyle w:val="Quote"/>
      </w:pPr>
      <w:r>
        <w:rPr>
          <w:i/>
        </w:rPr>
        <w:t xml:space="preserve">"…nouvel emprunt russe dont le produit ne servirait qu'à opprimer de nouveau le peuple russe qui vient à la lumière et à la liberté."</w:t>
      </w:r>
    </w:p>
    <w:p>
      <w:r>
        <w:rPr>
          <w:i/>
        </w:rPr>
        <w:t xml:space="preserve">"…a new Russian loan whose proceeds would serve only to oppress anew the Russian people just coming into light and liberty."</w:t>
      </w:r>
      <w:r>
        <w:t xml:space="preserve"> — Jean Jaurès, quoted in </w:t>
      </w:r>
      <w:r>
        <w:rPr>
          <w:i/>
        </w:rPr>
        <w:t xml:space="preserve">Le Temps</w:t>
      </w:r>
      <w:r>
        <w:t xml:space="preserve">, 16 April 1906. Gallica </w:t>
      </w:r>
      <w:r>
        <w:rPr>
          <w:rFonts w:ascii="Consolas" w:hAnsi="Consolas"/>
          <w:sz w:val="18"/>
        </w:rPr>
        <w:t xml:space="preserve">bpt6k2385891</w:t>
      </w:r>
      <w:r>
        <w:t xml:space="preserve"> / </w:t>
      </w:r>
      <w:r>
        <w:rPr>
          <w:rFonts w:ascii="Consolas" w:hAnsi="Consolas"/>
          <w:sz w:val="18"/>
        </w:rPr>
        <w:t xml:space="preserve">bpt6k238594g</w:t>
      </w:r>
      <w:r>
        <w:t xml:space="preserve">. </w:t>
      </w:r>
      <w:r>
        <w:rPr>
          <w:rFonts w:ascii="Consolas" w:hAnsi="Consolas"/>
          <w:sz w:val="18"/>
        </w:rPr>
        <w:t xml:space="preserve">[VERIFY]</w:t>
      </w:r>
    </w:p>
    <w:p>
      <w:r>
        <w:rPr>
          <w:b/>
        </w:rPr>
        <w:t xml:space="preserve">1911 · Agadir — Ambassador Jules Cambon to Paris.</w:t>
      </w:r>
      <w:r>
        <w:t xml:space="preserve"> The dispatch of 5 September, on the Berlin market:</w:t>
      </w:r>
    </w:p>
    <w:p>
      <w:pPr>
        <w:pStyle w:val="Quote"/>
      </w:pPr>
      <w:r>
        <w:t xml:space="preserve">"These movements in the German market show how far Germany's economic position is already threatened by the mere apprehension of a tension. There were, yesterday, in the business world in Berlin, suicides and flights."</w:t>
      </w:r>
    </w:p>
    <w:p>
      <w:r>
        <w:t xml:space="preserve">And the postscript of 3 September, arranging the banker Dorizon's unwritten errand:</w:t>
      </w:r>
    </w:p>
    <w:p>
      <w:pPr>
        <w:pStyle w:val="Quote"/>
      </w:pPr>
      <w:r>
        <w:rPr>
          <w:i/>
        </w:rPr>
        <w:t xml:space="preserve">"P.S. — Vous recevrez incessamment la visite de Dorizon qui vient à Berlin dans le but que vous savez."</w:t>
      </w:r>
    </w:p>
    <w:p>
      <w:r>
        <w:rPr>
          <w:i/>
        </w:rPr>
        <w:t xml:space="preserve">("You will shortly receive a visit from Dorizon, who is coming to Berlin for the purpose you know of.")</w:t>
      </w:r>
      <w:r>
        <w:t xml:space="preserve"> — Cambon dispatches, French diplomatic correspondence (Documents diplomatiques français). </w:t>
      </w:r>
      <w:r>
        <w:rPr>
          <w:rFonts w:ascii="Consolas" w:hAnsi="Consolas"/>
          <w:sz w:val="18"/>
        </w:rPr>
        <w:t xml:space="preserve">[VERIFY vs DDF text]</w:t>
      </w:r>
    </w:p>
    <w:p>
      <w:r>
        <w:rPr>
          <w:b/>
        </w:rPr>
        <w:t xml:space="preserve">1911 · Caillaux's boast</w:t>
      </w:r>
      <w:r>
        <w:t xml:space="preserve"> — written in the 1940s, </w:t>
      </w:r>
      <w:r>
        <w:rPr>
          <w:i/>
        </w:rPr>
        <w:t xml:space="preserve">uncorroborated on the French side</w:t>
      </w:r>
      <w:r>
        <w:t xml:space="preserve">, and against his own government's 1911 denial of intervening:</w:t>
      </w:r>
    </w:p>
    <w:p>
      <w:pPr>
        <w:pStyle w:val="Quote"/>
      </w:pPr>
      <w:r>
        <w:t xml:space="preserve">"When Monsieur von Kiderlen raises his voice, a few telephone calls are made from the Place Beauvau and, as if by magic, a financial crisis breaks out in Germany. Share prices fall, deposits are withdrawn, bankruptcies multiply, the public panics… He retreats. We have won our case all down the line."</w:t>
      </w:r>
    </w:p>
    <w:p>
      <w:r>
        <w:t xml:space="preserve">— Joseph Caillaux, </w:t>
      </w:r>
      <w:r>
        <w:rPr>
          <w:i/>
        </w:rPr>
        <w:t xml:space="preserve">Mes Audaces</w:t>
      </w:r>
      <w:r>
        <w:t xml:space="preserve"> (memoir, 1940s). Cited as </w:t>
      </w:r>
      <w:r>
        <w:rPr>
          <w:i/>
        </w:rPr>
        <w:t xml:space="preserve">stated preference / self-rehabilitation</w:t>
      </w:r>
      <w:r>
        <w:t xml:space="preserve">, not established fact.</w:t>
      </w:r>
    </w:p>
    <w:p>
      <w:r>
        <w:rPr>
          <w:b/>
        </w:rPr>
        <w:t xml:space="preserve">1913 · The Second Balkan War</w:t>
      </w:r>
      <w:r>
        <w:t xml:space="preserve"> — the market's indifference to a </w:t>
      </w:r>
      <w:r>
        <w:rPr>
          <w:i/>
        </w:rPr>
        <w:t xml:space="preserve">localized</w:t>
      </w:r>
      <w:r>
        <w:t xml:space="preserve"> war.</w:t>
      </w:r>
    </w:p>
    <w:p>
      <w:pPr>
        <w:pStyle w:val="Quote"/>
      </w:pPr>
      <w:r>
        <w:rPr>
          <w:i/>
        </w:rPr>
        <w:t xml:space="preserve">"La liquidation se passe dans les conditions prévues; l'argent, très abondant en face de positions peu nombreuses à reporter… la spéculation accueille cette constatation avec calme et même indifférence."</w:t>
      </w:r>
    </w:p>
    <w:p>
      <w:r>
        <w:rPr>
          <w:i/>
        </w:rPr>
        <w:t xml:space="preserve">"The settlement passes off as expected; money very abundant against few positions to carry… the market greets the news with calm and even indifference."</w:t>
      </w:r>
      <w:r>
        <w:t xml:space="preserve"> — </w:t>
      </w:r>
      <w:r>
        <w:rPr>
          <w:i/>
        </w:rPr>
        <w:t xml:space="preserve">Le Temps</w:t>
      </w:r>
      <w:r>
        <w:t xml:space="preserve">, 30 June 1913. </w:t>
      </w:r>
      <w:r>
        <w:rPr>
          <w:rFonts w:ascii="Consolas" w:hAnsi="Consolas"/>
          <w:sz w:val="18"/>
        </w:rPr>
        <w:t xml:space="preserve">[VERIFY]</w:t>
      </w:r>
    </w:p>
    <w:p>
      <w:r>
        <w:rPr>
          <w:b/>
        </w:rPr>
        <w:t xml:space="preserve">1938 · Munich</w:t>
      </w:r>
      <w:r>
        <w:t xml:space="preserve"> — the cried-wolf arc, day by day:</w:t>
      </w:r>
    </w:p>
    <w:p>
      <w:pPr>
        <w:pStyle w:val="ListParagraph"/>
        <w:ind w:left="360" w:hanging="360"/>
      </w:pPr>
      <w:r>
        <w:t xml:space="preserve">•  </w:t>
      </w:r>
      <w:r>
        <w:rPr>
          <w:i/>
        </w:rPr>
        <w:t xml:space="preserve">(17 Sep, the build)</w:t>
      </w:r>
      <w:r>
        <w:t xml:space="preserve"> the Berchtesgaden breakdown left </w:t>
      </w:r>
      <w:r>
        <w:rPr>
          <w:i/>
        </w:rPr>
        <w:t xml:space="preserve">"une déception évidente,"</w:t>
      </w:r>
      <w:r>
        <w:t xml:space="preserve"> the talks having </w:t>
      </w:r>
      <w:r>
        <w:rPr>
          <w:i/>
        </w:rPr>
        <w:t xml:space="preserve">"fait apparaître des difficultés sérieuses."</w:t>
      </w:r>
    </w:p>
    <w:p>
      <w:pPr>
        <w:pStyle w:val="ListParagraph"/>
        <w:ind w:left="360" w:hanging="360"/>
      </w:pPr>
      <w:r>
        <w:t xml:space="preserve">•  </w:t>
      </w:r>
      <w:r>
        <w:rPr>
          <w:i/>
        </w:rPr>
        <w:t xml:space="preserve">(28 Sep, the turn)</w:t>
      </w:r>
      <w:r>
        <w:t xml:space="preserve"> after Hitler's Sportpalast speech, the market opened </w:t>
      </w:r>
      <w:r>
        <w:rPr>
          <w:i/>
        </w:rPr>
        <w:t xml:space="preserve">"plus calme, quoique très irrégulière,"</w:t>
      </w:r>
      <w:r>
        <w:t xml:space="preserve"> the speech </w:t>
      </w:r>
      <w:r>
        <w:rPr>
          <w:i/>
        </w:rPr>
        <w:t xml:space="preserve">"ne contenait rien d'irréparable,"</w:t>
      </w:r>
      <w:r>
        <w:t xml:space="preserve"> leaving hope of </w:t>
      </w:r>
      <w:r>
        <w:rPr>
          <w:i/>
        </w:rPr>
        <w:t xml:space="preserve">"une solution pacifique du problème des Sudètes."</w:t>
      </w:r>
    </w:p>
    <w:p>
      <w:pPr>
        <w:pStyle w:val="ListParagraph"/>
        <w:ind w:left="360" w:hanging="360"/>
      </w:pPr>
      <w:r>
        <w:t xml:space="preserve">•  </w:t>
      </w:r>
      <w:r>
        <w:rPr>
          <w:i/>
        </w:rPr>
        <w:t xml:space="preserve">(30 Sep, the relief)</w:t>
      </w:r>
      <w:r>
        <w:t xml:space="preserve"> on the accord the market </w:t>
      </w:r>
      <w:r>
        <w:rPr>
          <w:i/>
        </w:rPr>
        <w:t xml:space="preserve">"a manifesté avec éclat un optimisme"</w:t>
      </w:r>
      <w:r>
        <w:t xml:space="preserve"> never </w:t>
      </w:r>
      <w:r>
        <w:rPr>
          <w:i/>
        </w:rPr>
        <w:t xml:space="preserve">"complètement abandonné"</w:t>
      </w:r>
      <w:r>
        <w:t xml:space="preserve">; the franc firmed.</w:t>
      </w:r>
    </w:p>
    <w:p>
      <w:pPr>
        <w:pStyle w:val="ListParagraph"/>
        <w:ind w:left="360" w:hanging="360"/>
      </w:pPr>
      <w:r>
        <w:t xml:space="preserve">•  </w:t>
      </w:r>
      <w:r>
        <w:rPr>
          <w:i/>
        </w:rPr>
        <w:t xml:space="preserve">(8 Oct, the settle)</w:t>
      </w:r>
      <w:r>
        <w:t xml:space="preserve"> a </w:t>
      </w:r>
      <w:r>
        <w:rPr>
          <w:i/>
        </w:rPr>
        <w:t xml:space="preserve">"séance calme… la plupart des valeurs ont légèrement fléchi,"</w:t>
      </w:r>
      <w:r>
        <w:t xml:space="preserve"> the market </w:t>
      </w:r>
      <w:r>
        <w:rPr>
          <w:i/>
        </w:rPr>
        <w:t xml:space="preserve">"se conformant aux recommandations de M. Daladier."</w:t>
      </w:r>
    </w:p>
    <w:p>
      <w:r>
        <w:t xml:space="preserve">— </w:t>
      </w:r>
      <w:r>
        <w:rPr>
          <w:i/>
        </w:rPr>
        <w:t xml:space="preserve">Le Temps</w:t>
      </w:r>
      <w:r>
        <w:t xml:space="preserve">, Bulletin financier, 17/28/30 Sep &amp; 8 Oct 1938 (Gallica). One FX anchor, 30 Sep: pound 178.90 → 178.51 fr, dollar 38.90 → 37.55 fr. </w:t>
      </w:r>
      <w:r>
        <w:rPr>
          <w:rFonts w:ascii="Consolas" w:hAnsi="Consolas"/>
          <w:sz w:val="18"/>
        </w:rPr>
        <w:t xml:space="preserve">[VERIFY vs page images]</w:t>
      </w:r>
    </w:p>
    <w:p>
      <w:pPr>
        <w:pBdr>
          <w:bottom w:val="single" w:sz="6" w:space="1" w:color="CCCCCC"/>
        </w:pBdr>
      </w:pPr>
    </w:p>
    <w:p>
      <w:pPr>
        <w:pStyle w:val="Heading2"/>
        <w:pageBreakBefore/>
      </w:pPr>
      <w:r>
        <w:t xml:space="preserve">II. BERLIN — Alfred Lansburgh, </w:t>
      </w:r>
      <w:r>
        <w:rPr>
          <w:i/>
        </w:rPr>
        <w:t xml:space="preserve">Die Bank</w:t>
      </w:r>
    </w:p>
    <w:p>
      <w:r>
        <w:rPr>
          <w:i/>
        </w:rPr>
        <w:t xml:space="preserve">Monthly, edited and largely written by Lansburgh (d. 1937 → PD 2008). Deposit: "Articles by Alfred Lansburgh in Die Bank (1908–1935)," Zenodo record 5115892 (DOI 10.5281/zenodo.5115892), CC-BY-4.0. Plain-text transcriptions — verify every figure against the original page image.</w:t>
      </w:r>
    </w:p>
    <w:p>
      <w:r>
        <w:rPr>
          <w:b/>
        </w:rPr>
        <w:t xml:space="preserve">1911 · The Agadir post-mortem</w:t>
      </w:r>
      <w:r>
        <w:t xml:space="preserve"> — </w:t>
      </w:r>
      <w:r>
        <w:rPr>
          <w:i/>
        </w:rPr>
        <w:t xml:space="preserve">"Die Zahlungsbereitschaft der Berliner Banken im Herbst 1911"</w:t>
      </w:r>
      <w:r>
        <w:t xml:space="preserve"> (Band 2, pp. 1160–1168):</w:t>
      </w:r>
    </w:p>
    <w:p>
      <w:r>
        <w:t xml:space="preserve">How near it came:</w:t>
      </w:r>
    </w:p>
    <w:p>
      <w:pPr>
        <w:pStyle w:val="Quote"/>
      </w:pPr>
      <w:r>
        <w:rPr>
          <w:i/>
        </w:rPr>
        <w:t xml:space="preserve">"…wie nahe wir einer Kreditkrisis gewesen sind."</w:t>
      </w:r>
      <w:r>
        <w:t xml:space="preserve"> — how near we came to a credit crisis.</w:t>
      </w:r>
    </w:p>
    <w:p>
      <w:r>
        <w:t xml:space="preserve">The deposit run:</w:t>
      </w:r>
    </w:p>
    <w:p>
      <w:pPr>
        <w:pStyle w:val="Quote"/>
      </w:pPr>
      <w:r>
        <w:rPr>
          <w:i/>
        </w:rPr>
        <w:t xml:space="preserve">"Bekanntlich hat sich im September ein intensiver Rückfluss der privaten Gelder von den Kreditinstituten in die Geldschränke und Taschen des Publikums vollzogen… eine ausgesprochene Bankenflucht der Gelder."</w:t>
      </w:r>
      <w:r>
        <w:t xml:space="preserve"> — an intense flight of private money out of the banks into the public's cash-boxes; an outright "flight of money from the banks."</w:t>
      </w:r>
    </w:p>
    <w:p>
      <w:r>
        <w:t xml:space="preserve">The French withdrawal — the mechanism:</w:t>
      </w:r>
    </w:p>
    <w:p>
      <w:pPr>
        <w:pStyle w:val="Quote"/>
      </w:pPr>
      <w:r>
        <w:rPr>
          <w:i/>
        </w:rPr>
        <w:t xml:space="preserve">"Dazu kam dass die französischen Banken und diejenigen sonstigen Gläubiger Deutschlands die Zahlungen nach Frankreich zu leisten hatten ihre ausländischen Guthaben abhoben und die deutschen Banken so erheblicher weiterer Mittel beraubten."</w:t>
      </w:r>
      <w:r>
        <w:t xml:space="preserve"> — French banks and Germany's other creditors withdrew their balances, stripping the German banks of further means.</w:t>
      </w:r>
    </w:p>
    <w:p>
      <w:r>
        <w:t xml:space="preserve">The clause that names the whole squeeze:</w:t>
      </w:r>
    </w:p>
    <w:p>
      <w:pPr>
        <w:pStyle w:val="Quote"/>
      </w:pPr>
      <w:r>
        <w:rPr>
          <w:i/>
        </w:rPr>
        <w:t xml:space="preserve">"…angesichts der ablehnenden Haltung des französischen Geldmarktes, des besten Abnehmers für deutsche Bankakzepte."</w:t>
      </w:r>
      <w:r>
        <w:t xml:space="preserve"> — given the refusing attitude of the French money market, the best buyer of German bank acceptances.</w:t>
      </w:r>
    </w:p>
    <w:p>
      <w:r>
        <w:t xml:space="preserve">The flight to liquidity:</w:t>
      </w:r>
    </w:p>
    <w:p>
      <w:pPr>
        <w:pStyle w:val="Quote"/>
      </w:pPr>
      <w:r>
        <w:rPr>
          <w:i/>
        </w:rPr>
        <w:t xml:space="preserve">"In den kritischen Tagen des September und Oktober wären nicht einmal deutsche Staatsanleihen ohne grossen Verlust zu realisieren gewesen."</w:t>
      </w:r>
      <w:r>
        <w:t xml:space="preserve"> — in the critical days of September and October, not even German state loans could have been sold without heavy loss.</w:t>
      </w:r>
    </w:p>
    <w:p>
      <w:r>
        <w:t xml:space="preserve">Magnitude </w:t>
      </w:r>
      <w:r>
        <w:rPr>
          <w:rFonts w:ascii="Consolas" w:hAnsi="Consolas"/>
          <w:sz w:val="18"/>
        </w:rPr>
        <w:t xml:space="preserve">[VERIFY]</w:t>
      </w:r>
      <w:r>
        <w:t xml:space="preserve">: foreign monies at the eight big banks fell </w:t>
      </w:r>
      <w:r>
        <w:rPr>
          <w:i/>
        </w:rPr>
        <w:t xml:space="preserve">≈ 480.3 million ℳ</w:t>
      </w:r>
      <w:r>
        <w:t xml:space="preserve"> vs 31 Aug — </w:t>
      </w:r>
      <w:r>
        <w:rPr>
          <w:i/>
        </w:rPr>
        <w:t xml:space="preserve">"annähernd ½ Milliarde M… 9½% des Gesamtbestandes"</w:t>
      </w:r>
      <w:r>
        <w:t xml:space="preserve">; the Deutsche Bank alone lost </w:t>
      </w:r>
      <w:r>
        <w:rPr>
          <w:i/>
        </w:rPr>
        <w:t xml:space="preserve">224 M (12½%)</w:t>
      </w:r>
      <w:r>
        <w:t xml:space="preserve">, which is why it pressed the </w:t>
      </w:r>
      <w:r>
        <w:rPr>
          <w:i/>
        </w:rPr>
        <w:t xml:space="preserve">Auswärtiges Amt</w:t>
      </w:r>
      <w:r>
        <w:t xml:space="preserve"> for a calming statement. More than </w:t>
      </w:r>
      <w:r>
        <w:rPr>
          <w:i/>
        </w:rPr>
        <w:t xml:space="preserve">300 million ℳ</w:t>
      </w:r>
      <w:r>
        <w:t xml:space="preserve"> was pulled from the Bourse in call loans, forcing the September crash. The Reichsbank rationed above even the levels of </w:t>
      </w:r>
      <w:r>
        <w:rPr>
          <w:i/>
        </w:rPr>
        <w:t xml:space="preserve">1907</w:t>
      </w:r>
      <w:r>
        <w:t xml:space="preserve">.</w:t>
      </w:r>
    </w:p>
    <w:p>
      <w:r>
        <w:rPr>
          <w:b/>
        </w:rPr>
        <w:t xml:space="preserve">1912 · The Berlin private discount</w:t>
      </w:r>
      <w:r>
        <w:t xml:space="preserve"> — </w:t>
      </w:r>
      <w:r>
        <w:rPr>
          <w:i/>
        </w:rPr>
        <w:t xml:space="preserve">"Der Berliner Privatdiskont"</w:t>
      </w:r>
      <w:r>
        <w:t xml:space="preserve"> (April 1912, Bd 1, 322–328): the single quotation broke for the first time at a quarter-end.</w:t>
      </w:r>
    </w:p>
    <w:p>
      <w:pPr>
        <w:pStyle w:val="Quote"/>
      </w:pPr>
      <w:r>
        <w:rPr>
          <w:i/>
        </w:rPr>
        <w:t xml:space="preserve">"…am 25. März trat zum ersten Male der Fall ein dass eine Einigung überhaupt nicht zu erzielen war. Für Schnittwechsel war keine Nachfrage unter 5% da, während lange Wechsel zu 4¾% unterzubringen waren."</w:t>
      </w:r>
      <w:r>
        <w:t xml:space="preserve"> — on 25 March, for the first time, no single rate could be agreed: short bills found no demand under 5%, while long bills placed at 4¾%. </w:t>
      </w:r>
      <w:r>
        <w:rPr>
          <w:rFonts w:ascii="Consolas" w:hAnsi="Consolas"/>
          <w:sz w:val="18"/>
        </w:rPr>
        <w:t xml:space="preserve">[VERIFY]</w:t>
      </w:r>
    </w:p>
    <w:p>
      <w:r>
        <w:t xml:space="preserve">And the methodological warning (</w:t>
      </w:r>
      <w:r>
        <w:rPr>
          <w:i/>
        </w:rPr>
        <w:t xml:space="preserve">"Privatdiskont und Bankdiskont,"</w:t>
      </w:r>
      <w:r>
        <w:t xml:space="preserve"> Bd 2, 733–740) — an anti-averaging rule the project itself follows:</w:t>
      </w:r>
    </w:p>
    <w:p>
      <w:pPr>
        <w:pStyle w:val="Quote"/>
      </w:pPr>
      <w:r>
        <w:rPr>
          <w:i/>
        </w:rPr>
        <w:t xml:space="preserve">"…gut tut sich jeglicher Berechnung von Durchschnitten zu enthalten. Die Durchschnittsrechnung ist hier nicht am Platze weil sie die charakteristischen Höhen und Tiefen hinter einer nichtssagenden mittleren Linie verschwinden lässt."</w:t>
      </w:r>
      <w:r>
        <w:t xml:space="preserve"> — one does well to abstain from all averaging; it makes the characteristic highs and lows vanish behind a meaningless mean line.</w:t>
      </w:r>
    </w:p>
    <w:p>
      <w:r>
        <w:rPr>
          <w:b/>
        </w:rPr>
        <w:t xml:space="preserve">1911 · War finance tied to Morocco</w:t>
      </w:r>
      <w:r>
        <w:t xml:space="preserve"> — </w:t>
      </w:r>
      <w:r>
        <w:rPr>
          <w:i/>
        </w:rPr>
        <w:t xml:space="preserve">"Kriegskostendeckung"</w:t>
      </w:r>
      <w:r>
        <w:t xml:space="preserve"> (Bd 2, 707–717):</w:t>
      </w:r>
    </w:p>
    <w:p>
      <w:pPr>
        <w:pStyle w:val="Quote"/>
      </w:pPr>
      <w:r>
        <w:rPr>
          <w:i/>
        </w:rPr>
        <w:t xml:space="preserve">"Wie wird Deutschland seinen nächsten Krieg führen — mit Steuern, ungedeckten Banknoten oder Anleihen?"</w:t>
      </w:r>
      <w:r>
        <w:t xml:space="preserve"> — How will Germany fund its next war — with taxes, uncovered banknotes, or loans?</w:t>
      </w:r>
    </w:p>
    <w:p>
      <w:r>
        <w:rPr>
          <w:b/>
        </w:rPr>
        <w:t xml:space="preserve">1912 · The Balkan winter</w:t>
      </w:r>
      <w:r>
        <w:t xml:space="preserve"> — </w:t>
      </w:r>
      <w:r>
        <w:rPr>
          <w:i/>
        </w:rPr>
        <w:t xml:space="preserve">"Spargelder und Kriegsflucht"</w:t>
      </w:r>
      <w:r>
        <w:t xml:space="preserve"> (Bd 2, 1147–1153): the same deposit-run mechanism, tilted east.</w:t>
      </w:r>
    </w:p>
    <w:p>
      <w:pPr>
        <w:pStyle w:val="Quote"/>
      </w:pPr>
      <w:r>
        <w:rPr>
          <w:i/>
        </w:rPr>
        <w:t xml:space="preserve">"Zahlreiche Sparer waren zu den Banken und Sparkassen gestürmt um einen Teil ihres Guthabens abzuheben oder zu kündigen… Eine Zeitlang hatte es sogar den Anschein als wenn die Reichsbank den Ansturm… mit einer weiteren Erhöhung ihres erst vor kurzem auf 6% hinaufgesetzten Diskontsatzes würde begegnen müssen."</w:t>
      </w:r>
      <w:r>
        <w:t xml:space="preserve"> — Savers stormed the banks and savings banks…; for a time it even looked as if the Reichsbank would have to meet the run with a further rise in a discount rate it had only lately put up to 6%. </w:t>
      </w:r>
      <w:r>
        <w:rPr>
          <w:rFonts w:ascii="Consolas" w:hAnsi="Consolas"/>
          <w:sz w:val="18"/>
        </w:rPr>
        <w:t xml:space="preserve">[VERIFY]</w:t>
      </w:r>
    </w:p>
    <w:p>
      <w:r>
        <w:rPr>
          <w:b/>
        </w:rPr>
        <w:t xml:space="preserve">1914 · Before, then the outbreak</w:t>
      </w:r>
      <w:r>
        <w:t xml:space="preserve"> — the pre-war worry was the </w:t>
      </w:r>
      <w:r>
        <w:rPr>
          <w:i/>
        </w:rPr>
        <w:t xml:space="preserve">cycle</w:t>
      </w:r>
      <w:r>
        <w:t xml:space="preserve">, not the war (</w:t>
      </w:r>
      <w:r>
        <w:rPr>
          <w:i/>
        </w:rPr>
        <w:t xml:space="preserve">"Krisen-Erreger,"</w:t>
      </w:r>
      <w:r>
        <w:t xml:space="preserve"> Bd 1, 1–16, Jan 1914):</w:t>
      </w:r>
    </w:p>
    <w:p>
      <w:pPr>
        <w:pStyle w:val="Quote"/>
      </w:pPr>
      <w:r>
        <w:rPr>
          <w:i/>
        </w:rPr>
        <w:t xml:space="preserve">"Seit etwa einem Jahre geht es mit der Konjunktur in Deutschland sichtbar bergab."</w:t>
      </w:r>
      <w:r>
        <w:t xml:space="preserve"> — For about a year the German business cycle has been visibly declining.</w:t>
      </w:r>
    </w:p>
    <w:p>
      <w:r>
        <w:t xml:space="preserve">Then (</w:t>
      </w:r>
      <w:r>
        <w:rPr>
          <w:i/>
        </w:rPr>
        <w:t xml:space="preserve">"Das Geld im Kriege,"</w:t>
      </w:r>
      <w:r>
        <w:t xml:space="preserve"> Bd 2, 727–738):</w:t>
      </w:r>
    </w:p>
    <w:p>
      <w:pPr>
        <w:pStyle w:val="Quote"/>
      </w:pPr>
      <w:r>
        <w:rPr>
          <w:i/>
        </w:rPr>
        <w:t xml:space="preserve">"Der Weltkrieg, der lange gefürchtete, ist da."</w:t>
      </w:r>
      <w:r>
        <w:t xml:space="preserve"> — The world war, long feared, is here.</w:t>
      </w:r>
    </w:p>
    <w:p>
      <w:r>
        <w:rPr>
          <w:b/>
        </w:rPr>
        <w:t xml:space="preserve">The German counter-account · Max Warburg</w:t>
      </w:r>
      <w:r>
        <w:t xml:space="preserve"> — who advised the Kaiser, recorded that </w:t>
      </w:r>
      <w:r>
        <w:rPr>
          <w:i/>
        </w:rPr>
        <w:t xml:space="preserve">the attack was thwarted</w:t>
      </w:r>
      <w:r>
        <w:t xml:space="preserve">, that Paris had been more shaken than Berlin or Hamburg, and that his own house helped a Russian bank caught short in Paris — irreconcilable with both Caillaux and Lansburgh, each man's interest running a different way. (Warburg memoir; cited as a competing contemporary account.)</w:t>
      </w:r>
    </w:p>
    <w:p>
      <w:pPr>
        <w:pBdr>
          <w:bottom w:val="single" w:sz="6" w:space="1" w:color="CCCCCC"/>
        </w:pBdr>
      </w:pPr>
    </w:p>
    <w:p>
      <w:pPr>
        <w:pStyle w:val="Heading2"/>
        <w:pageBreakBefore/>
      </w:pPr>
      <w:r>
        <w:t xml:space="preserve">III. VIENNA — </w:t>
      </w:r>
      <w:r>
        <w:rPr>
          <w:i/>
        </w:rPr>
        <w:t xml:space="preserve">Neue Freie Presse</w:t>
      </w:r>
    </w:p>
    <w:p>
      <w:r>
        <w:rPr>
          <w:i/>
        </w:rPr>
        <w:t xml:space="preserve">The Vienna finance page carried the term structure the London trade press flattened to a single number. NFP finance-page OCR; verify against page images.</w:t>
      </w:r>
    </w:p>
    <w:p>
      <w:r>
        <w:rPr>
          <w:b/>
        </w:rPr>
        <w:t xml:space="preserve">1912 · The Austro-Hungarian Bank's march</w:t>
      </w:r>
      <w:r>
        <w:t xml:space="preserve"> (26 Oct 1912):</w:t>
      </w:r>
    </w:p>
    <w:p>
      <w:pPr>
        <w:pStyle w:val="Quote"/>
      </w:pPr>
      <w:r>
        <w:rPr>
          <w:i/>
        </w:rPr>
        <w:t xml:space="preserve">"die Erhöhung des Bankzinsfußes auf 5½ Prozent."</w:t>
      </w:r>
      <w:r>
        <w:t xml:space="preserve"> — the raising of the bank rate to 5½ per cent.</w:t>
      </w:r>
    </w:p>
    <w:p>
      <w:r>
        <w:rPr>
          <w:b/>
        </w:rPr>
        <w:t xml:space="preserve">1912 · The full term structure</w:t>
      </w:r>
      <w:r>
        <w:t xml:space="preserve"> (30 Nov 1912) — the inversion London erased:</w:t>
      </w:r>
    </w:p>
    <w:p>
      <w:pPr>
        <w:pStyle w:val="Quote"/>
      </w:pPr>
      <w:r>
        <w:rPr>
          <w:i/>
        </w:rPr>
        <w:t xml:space="preserve">"Bankzinsfuß 6 Prozent, Privatdiskont 5½ Prozent, längere Sichten 6 bis 6¼ Prozent."</w:t>
      </w:r>
      <w:r>
        <w:t xml:space="preserve"> — bank rate 6, private discount 5½, longer bills 6 to 6¼.</w:t>
      </w:r>
    </w:p>
    <w:p>
      <w:r>
        <w:rPr>
          <w:b/>
        </w:rPr>
        <w:t xml:space="preserve">1912 · The bourse pricing the scare directly</w:t>
      </w:r>
      <w:r>
        <w:t xml:space="preserve"> — firming on the news the powers would not rupture:</w:t>
      </w:r>
    </w:p>
    <w:p>
      <w:pPr>
        <w:pStyle w:val="Quote"/>
      </w:pPr>
      <w:r>
        <w:rPr>
          <w:i/>
        </w:rPr>
        <w:t xml:space="preserve">"…daß es wegen der schwebenden politischen Fragen nicht zu einem ernsten Zerwürfnis unter den Großstaaten kommen werde."</w:t>
      </w:r>
      <w:r>
        <w:t xml:space="preserve"> — that the pending political questions would not bring a serious rupture among the great powers.</w:t>
      </w:r>
    </w:p>
    <w:p>
      <w:r>
        <w:rPr>
          <w:b/>
        </w:rPr>
        <w:t xml:space="preserve">1914 · The outbreak</w:t>
      </w:r>
      <w:r>
        <w:t xml:space="preserve"> (1 Aug 1914):</w:t>
      </w:r>
    </w:p>
    <w:p>
      <w:pPr>
        <w:pStyle w:val="Quote"/>
      </w:pPr>
      <w:r>
        <w:rPr>
          <w:i/>
        </w:rPr>
        <w:t xml:space="preserve">"die Erhöhung des Bankzinsfußes auf 8 Prozent."</w:t>
      </w:r>
      <w:r>
        <w:t xml:space="preserve"> — the raising of the bank rate to 8 per cent.</w:t>
      </w:r>
    </w:p>
    <w:p>
      <w:r>
        <w:rPr>
          <w:i/>
        </w:rPr>
        <w:t xml:space="preserve">(NFP's Berlin telegram of 30 Nov 1912 independently corroborates the Berlin month-end inversion: "über Ultimo 6 bis 7," "Privatdiskont lang 5¾, kurz 6.")</w:t>
      </w:r>
      <w:r>
        <w:t xml:space="preserve"> </w:t>
      </w:r>
      <w:r>
        <w:rPr>
          <w:rFonts w:ascii="Consolas" w:hAnsi="Consolas"/>
          <w:sz w:val="18"/>
        </w:rPr>
        <w:t xml:space="preserve">[VERIFY all vs page images]</w:t>
      </w:r>
    </w:p>
    <w:p>
      <w:pPr>
        <w:pBdr>
          <w:bottom w:val="single" w:sz="6" w:space="1" w:color="CCCCCC"/>
        </w:pBdr>
      </w:pPr>
    </w:p>
    <w:p>
      <w:pPr>
        <w:pStyle w:val="Heading2"/>
        <w:pageBreakBefore/>
      </w:pPr>
      <w:r>
        <w:t xml:space="preserve">IV. LONDON &amp; NEW YORK — the trade weeklies</w:t>
      </w:r>
    </w:p>
    <w:p>
      <w:r>
        <w:rPr>
          <w:b/>
        </w:rPr>
        <w:t xml:space="preserve">1911 · A New York trade weekly</w:t>
      </w:r>
      <w:r>
        <w:t xml:space="preserve"> — having eliminated London's gold, India, Egypt, Brazil as causes of the September stringency:</w:t>
      </w:r>
    </w:p>
    <w:p>
      <w:pPr>
        <w:pStyle w:val="Quote"/>
      </w:pPr>
      <w:r>
        <w:t xml:space="preserve">"…why money should become tight in London was consequently difficult to explain, if one eliminated from consideration the tension that had prevailed concerning Morocco."</w:t>
      </w:r>
    </w:p>
    <w:p>
      <w:r>
        <w:t xml:space="preserve">— New York financial weekly, September 1911 (the </w:t>
      </w:r>
      <w:r>
        <w:rPr>
          <w:i/>
        </w:rPr>
        <w:t xml:space="preserve">Commercial &amp; Financial Chronicle</w:t>
      </w:r>
      <w:r>
        <w:t xml:space="preserve"> pipeline). </w:t>
      </w:r>
      <w:r>
        <w:rPr>
          <w:rFonts w:ascii="Consolas" w:hAnsi="Consolas"/>
          <w:sz w:val="18"/>
        </w:rPr>
        <w:t xml:space="preserve">[VERIFY vs original]</w:t>
      </w:r>
    </w:p>
    <w:p>
      <w:r>
        <w:rPr>
          <w:b/>
        </w:rPr>
        <w:t xml:space="preserve">1914 · The London crisis, eyewitness</w:t>
      </w:r>
      <w:r>
        <w:t xml:space="preserve"> — via the standard scholarship (Richard Roberts, </w:t>
      </w:r>
      <w:r>
        <w:rPr>
          <w:i/>
        </w:rPr>
        <w:t xml:space="preserve">Saving the City: The Great Financial Crisis of 1914</w:t>
      </w:r>
      <w:r>
        <w:t xml:space="preserve">, OUP 2013):</w:t>
      </w:r>
    </w:p>
    <w:p>
      <w:pPr>
        <w:pStyle w:val="Quote"/>
      </w:pPr>
      <w:r>
        <w:t xml:space="preserve">"a queue of people, some 200 to 250 strong, resignedly awaiting their turn to obtain access to the magical counter where cash was being poured forth."</w:t>
      </w:r>
    </w:p>
    <w:p>
      <w:r>
        <w:t xml:space="preserve">— </w:t>
      </w:r>
      <w:r>
        <w:rPr>
          <w:i/>
        </w:rPr>
        <w:t xml:space="preserve">Financial Times</w:t>
      </w:r>
      <w:r>
        <w:t xml:space="preserve"> reporter, late July 1914 (quoted in Roberts). </w:t>
      </w:r>
      <w:r>
        <w:rPr>
          <w:rFonts w:ascii="Consolas" w:hAnsi="Consolas"/>
          <w:sz w:val="18"/>
        </w:rPr>
        <w:t xml:space="preserve">[VERIFY vs original FT page]</w:t>
      </w:r>
    </w:p>
    <w:p>
      <w:r>
        <w:t xml:space="preserve">A </w:t>
      </w:r>
      <w:r>
        <w:rPr>
          <w:i/>
        </w:rPr>
        <w:t xml:space="preserve">Financial News</w:t>
      </w:r>
      <w:r>
        <w:t xml:space="preserve"> journalist saw a newspaper vendor arrested for shouting </w:t>
      </w:r>
      <w:r>
        <w:rPr>
          <w:i/>
        </w:rPr>
        <w:t xml:space="preserve">"Run on the Bank"</w:t>
      </w:r>
      <w:r>
        <w:t xml:space="preserve"> beneath the Bank of England's windows. (Roberts.) </w:t>
      </w:r>
      <w:r>
        <w:rPr>
          <w:rFonts w:ascii="Consolas" w:hAnsi="Consolas"/>
          <w:sz w:val="18"/>
        </w:rPr>
        <w:t xml:space="preserve">[VERIFY]</w:t>
      </w:r>
    </w:p>
    <w:p>
      <w:r>
        <w:rPr>
          <w:b/>
        </w:rPr>
        <w:t xml:space="preserve">1914 · Facts of record</w:t>
      </w:r>
      <w:r>
        <w:t xml:space="preserve"> (Roberts; standard sources): foreign-exchange and bill markets seized the week of 27 July; the London Stock Exchange closed </w:t>
      </w:r>
      <w:r>
        <w:rPr>
          <w:b/>
        </w:rPr>
        <w:t xml:space="preserve">31 July 1914</w:t>
      </w:r>
      <w:r>
        <w:t xml:space="preserve"> (first time in 117 years), reopening </w:t>
      </w:r>
      <w:r>
        <w:rPr>
          <w:b/>
        </w:rPr>
        <w:t xml:space="preserve">4 January 1915</w:t>
      </w:r>
      <w:r>
        <w:t xml:space="preserve">; Bank of England rate </w:t>
      </w:r>
      <w:r>
        <w:rPr>
          <w:b/>
        </w:rPr>
        <w:t xml:space="preserve">3 → 4% (30 Jul) → 8% (31 Jul) → 10% (1 Aug)</w:t>
      </w:r>
      <w:r>
        <w:t xml:space="preserve">; a general moratorium and the Treasury's "Bradbury" £1/10s notes in the first week of August; the Bank's bill-purchase ("Cold Storage") scheme from 12 August (~£133m by early September; the recapitalisation ~£200m, ~9% of national income). </w:t>
      </w:r>
      <w:r>
        <w:rPr>
          <w:i/>
        </w:rPr>
        <w:t xml:space="preserve">(Sources differ on the closure date — 31 July per Roberts, 1 August in some accounts.)</w:t>
      </w:r>
    </w:p>
    <w:p>
      <w:r>
        <w:rPr>
          <w:b/>
        </w:rPr>
        <w:t xml:space="preserve">1914 · Keynes, contemporaneously</w:t>
      </w:r>
      <w:r>
        <w:t xml:space="preserve"> — J. M. Keynes, "War and the Financial System, August 1914," </w:t>
      </w:r>
      <w:r>
        <w:rPr>
          <w:i/>
        </w:rPr>
        <w:t xml:space="preserve">The Economic Journal</w:t>
      </w:r>
      <w:r>
        <w:t xml:space="preserve"> 24:95 (Sept 1914), 460–486. </w:t>
      </w:r>
      <w:r>
        <w:rPr>
          <w:i/>
        </w:rPr>
        <w:t xml:space="preserve">(Cited for the contemporary analysis; specific passages to be quoted from the original before use.)</w:t>
      </w:r>
    </w:p>
    <w:p>
      <w:pPr>
        <w:pBdr>
          <w:bottom w:val="single" w:sz="6" w:space="1" w:color="CCCCCC"/>
        </w:pBdr>
      </w:pPr>
    </w:p>
    <w:p>
      <w:pPr>
        <w:pStyle w:val="Heading2"/>
        <w:pageBreakBefore/>
      </w:pPr>
      <w:r>
        <w:t xml:space="preserve">V. THE MODERN RECORD — contemporaneous attribution</w:t>
      </w:r>
    </w:p>
    <w:p>
      <w:r>
        <w:rPr>
          <w:i/>
        </w:rPr>
        <w:t xml:space="preserve">The same rule, forward: a modern price move is cause-vs-cover ambiguous until a contemporaneous voice names the driver. These three are secured and quotable.</w:t>
      </w:r>
    </w:p>
    <w:p>
      <w:r>
        <w:rPr>
          <w:b/>
        </w:rPr>
        <w:t xml:space="preserve">Gulf War I · 17 Jan 1991</w:t>
      </w:r>
      <w:r>
        <w:t xml:space="preserve"> — equities +1–8%, oil's largest-ever one-day fall:</w:t>
      </w:r>
    </w:p>
    <w:p>
      <w:pPr>
        <w:pStyle w:val="Quote"/>
      </w:pPr>
      <w:r>
        <w:t xml:space="preserve">"In response to the outbreak of hostilities in the Gulf, the prices of both equities and bonds rose sharply on 17 January 1991 as news of early successes for the allies encouraged participants back into the market… The largest-ever one day decline in oil prices helped the rallies."</w:t>
      </w:r>
    </w:p>
    <w:p>
      <w:r>
        <w:t xml:space="preserve">— </w:t>
      </w:r>
      <w:r>
        <w:rPr>
          <w:b/>
        </w:rPr>
        <w:t xml:space="preserve">Bank of England, *Quarterly Bulletin*, Q1 1991.</w:t>
      </w:r>
    </w:p>
    <w:p>
      <w:r>
        <w:rPr>
          <w:b/>
        </w:rPr>
        <w:t xml:space="preserve">Iraq War · Jan–Mar 2003</w:t>
      </w:r>
      <w:r>
        <w:t xml:space="preserve"> — a daily "war-risk factor" that </w:t>
      </w:r>
      <w:r>
        <w:rPr>
          <w:i/>
        </w:rPr>
        <w:t xml:space="preserve">raised oil and lowered equities</w:t>
      </w:r>
      <w:r>
        <w:t xml:space="preserve"> in the ten weeks to the invasion: — </w:t>
      </w:r>
      <w:r>
        <w:rPr>
          <w:b/>
        </w:rPr>
        <w:t xml:space="preserve">B. Sack &amp; R. Rigobon, "Measuring the Reaction of Monetary Policy to the Stock Market"</w:t>
      </w:r>
      <w:r>
        <w:t xml:space="preserve"> / war-factor work, </w:t>
      </w:r>
      <w:r>
        <w:rPr>
          <w:i/>
        </w:rPr>
        <w:t xml:space="preserve">Journal of Banking &amp; Finance</w:t>
      </w:r>
      <w:r>
        <w:t xml:space="preserve"> 29(7) (2005): 1769–1789 (NBER w9609).</w:t>
      </w:r>
    </w:p>
    <w:p>
      <w:r>
        <w:rPr>
          <w:b/>
        </w:rPr>
        <w:t xml:space="preserve">Russia–Ukraine · Feb 2022</w:t>
      </w:r>
      <w:r>
        <w:t xml:space="preserve"> — equity resilience attributed to the invasion being partly </w:t>
      </w:r>
      <w:r>
        <w:rPr>
          <w:i/>
        </w:rPr>
        <w:t xml:space="preserve">"priced in,"</w:t>
      </w:r>
      <w:r>
        <w:t xml:space="preserve"> the shock going through the </w:t>
      </w:r>
      <w:r>
        <w:rPr>
          <w:i/>
        </w:rPr>
        <w:t xml:space="preserve">energy channel</w:t>
      </w:r>
      <w:r>
        <w:t xml:space="preserve"> (oil past $100 for the first time since 2014): — </w:t>
      </w:r>
      <w:r>
        <w:rPr>
          <w:b/>
        </w:rPr>
        <w:t xml:space="preserve">Federal Reserve Bank of St. Louis, *Review*,</w:t>
      </w:r>
      <w:r>
        <w:t xml:space="preserve"> "Financial Market Reactions to the Russian Invasion of Ukraine" (Oct 2022); FRED series; contemporary FT/Reuters reporting.</w:t>
      </w:r>
    </w:p>
    <w:p>
      <w:r>
        <w:rPr>
          <w:b/>
        </w:rPr>
        <w:t xml:space="preserve">Still to pull</w:t>
      </w:r>
      <w:r>
        <w:t xml:space="preserve"> (the contemporaneous voice exists; fetch and quote before use): Pearl Harbor (</w:t>
      </w:r>
      <w:r>
        <w:rPr>
          <w:i/>
        </w:rPr>
        <w:t xml:space="preserve">NYT</w:t>
      </w:r>
      <w:r>
        <w:t xml:space="preserve"> 9 Dec 1941; </w:t>
      </w:r>
      <w:r>
        <w:rPr>
          <w:i/>
        </w:rPr>
        <w:t xml:space="preserve">C&amp;F Chronicle</w:t>
      </w:r>
      <w:r>
        <w:t xml:space="preserve"> 13 Dec 1941); Berlin Airlift (</w:t>
      </w:r>
      <w:r>
        <w:rPr>
          <w:i/>
        </w:rPr>
        <w:t xml:space="preserve">WSJ</w:t>
      </w:r>
      <w:r>
        <w:t xml:space="preserve">/</w:t>
      </w:r>
      <w:r>
        <w:rPr>
          <w:i/>
        </w:rPr>
        <w:t xml:space="preserve">NYT</w:t>
      </w:r>
      <w:r>
        <w:t xml:space="preserve"> summer &amp; Nov 1948 — the </w:t>
      </w:r>
      <w:r>
        <w:rPr>
          <w:i/>
        </w:rPr>
        <w:t xml:space="preserve">non</w:t>
      </w:r>
      <w:r>
        <w:t xml:space="preserve">-attribution to Berlin is the evidence); Korea (</w:t>
      </w:r>
      <w:r>
        <w:rPr>
          <w:i/>
        </w:rPr>
        <w:t xml:space="preserve">NYT</w:t>
      </w:r>
      <w:r>
        <w:t xml:space="preserve">/</w:t>
      </w:r>
      <w:r>
        <w:rPr>
          <w:i/>
        </w:rPr>
        <w:t xml:space="preserve">WSJ</w:t>
      </w:r>
      <w:r>
        <w:t xml:space="preserve"> 27 Jun 1950; </w:t>
      </w:r>
      <w:r>
        <w:rPr>
          <w:i/>
        </w:rPr>
        <w:t xml:space="preserve">Chronicle</w:t>
      </w:r>
      <w:r>
        <w:t xml:space="preserve"> 29 Jun &amp; 6 Jul 1950); Berlin '61 / Cuba '62 (</w:t>
      </w:r>
      <w:r>
        <w:rPr>
          <w:i/>
        </w:rPr>
        <w:t xml:space="preserve">WSJ</w:t>
      </w:r>
      <w:r>
        <w:t xml:space="preserve">/</w:t>
      </w:r>
      <w:r>
        <w:rPr>
          <w:i/>
        </w:rPr>
        <w:t xml:space="preserve">NYT</w:t>
      </w:r>
      <w:r>
        <w:t xml:space="preserve"> Oct 1961 &amp; 22–29 Oct 1962 — "market steady despite the crisis"); Suez (</w:t>
      </w:r>
      <w:r>
        <w:rPr>
          <w:i/>
        </w:rPr>
        <w:t xml:space="preserve">Economist</w:t>
      </w:r>
      <w:r>
        <w:t xml:space="preserve"> &amp; </w:t>
      </w:r>
      <w:r>
        <w:rPr>
          <w:i/>
        </w:rPr>
        <w:t xml:space="preserve">FT</w:t>
      </w:r>
      <w:r>
        <w:t xml:space="preserve">, Nov–Dec 1956; Kunz 1991; IMF history).</w:t>
      </w:r>
    </w:p>
    <w:p>
      <w:pPr>
        <w:pBdr>
          <w:bottom w:val="single" w:sz="6" w:space="1" w:color="CCCCCC"/>
        </w:pBdr>
      </w:pPr>
    </w:p>
    <w:p>
      <w:r>
        <w:rPr>
          <w:i/>
        </w:rPr>
        <w:t xml:space="preserve">Compiler's note: this appendix is the triangulation layer named in `docs/modern_contemporaneous_sources.md` and the pre-1914 source studies (`lansburgh_</w:t>
      </w:r>
      <w:r>
        <w:rPr>
          <w:rFonts w:ascii="Consolas" w:hAnsi="Consolas"/>
          <w:sz w:val="18"/>
        </w:rPr>
        <w:t xml:space="preserve">, </w:t>
      </w:r>
      <w:r>
        <w:t xml:space="preserve">continental_press_warscares</w:t>
      </w:r>
      <w:r>
        <w:rPr>
          <w:rFonts w:ascii="Consolas" w:hAnsi="Consolas"/>
          <w:sz w:val="18"/>
        </w:rPr>
        <w:t xml:space="preserve">, </w:t>
      </w:r>
      <w:r>
        <w:t xml:space="preserve">finance_diplomacy_1905_1906</w:t>
      </w:r>
      <w:r>
        <w:rPr>
          <w:rFonts w:ascii="Consolas" w:hAnsi="Consolas"/>
          <w:sz w:val="18"/>
        </w:rPr>
        <w:t xml:space="preserve">). Discipline unchanged: quote the contemporaneous source, flag every unverified figure </w:t>
      </w:r>
      <w:r>
        <w:t xml:space="preserve">[VERIFY]`, and never let a price move stand as evidence of what it was pricing until a contemporary voice says so.*</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40" w:line="288" w:lineRule="auto"/>
    </w:pPr>
    <w:rPr>
      <w:rFonts w:ascii="Georgia" w:hAnsi="Georgia"/>
      <w:sz w:val="22"/>
    </w:rPr>
  </w:style>
  <w:style w:type="paragraph" w:styleId="Title">
    <w:name w:val="Title"/>
    <w:basedOn w:val="Normal"/>
    <w:next w:val="Normal"/>
    <w:qFormat/>
    <w:pPr>
      <w:keepNext/>
      <w:spacing w:before="0" w:after="120"/>
      <w:outlineLvl w:val="0"/>
    </w:pPr>
    <w:rPr>
      <w:rFonts w:ascii="Arial" w:hAnsi="Arial"/>
      <w:b/>
      <w:color w:val="1A2A44"/>
      <w:sz w:val="64"/>
    </w:rPr>
  </w:style>
  <w:style w:type="paragraph" w:styleId="Subtitle">
    <w:name w:val="Subtitle"/>
    <w:basedOn w:val="Normal"/>
    <w:next w:val="Normal"/>
    <w:qFormat/>
    <w:pPr>
      <w:keepNext/>
      <w:spacing w:before="240" w:after="120"/>
      <w:outlineLvl w:val="0"/>
    </w:pPr>
    <w:rPr>
      <w:rFonts w:ascii="Arial" w:hAnsi="Arial"/>
      <w:b/>
      <w:color w:val="555555"/>
      <w:sz w:val="30"/>
    </w:rPr>
  </w:style>
  <w:style w:type="paragraph" w:styleId="Heading1">
    <w:name w:val="heading 1"/>
    <w:basedOn w:val="Normal"/>
    <w:next w:val="Normal"/>
    <w:qFormat/>
    <w:pPr>
      <w:keepNext/>
      <w:spacing w:before="240" w:after="120"/>
      <w:outlineLvl w:val="0"/>
    </w:pPr>
    <w:rPr>
      <w:rFonts w:ascii="Arial" w:hAnsi="Arial"/>
      <w:b/>
      <w:color w:val="1A2A44"/>
      <w:sz w:val="40"/>
    </w:rPr>
  </w:style>
  <w:style w:type="paragraph" w:styleId="Heading2">
    <w:name w:val="heading 2"/>
    <w:basedOn w:val="Normal"/>
    <w:next w:val="Normal"/>
    <w:qFormat/>
    <w:pPr>
      <w:keepNext/>
      <w:spacing w:before="240" w:after="120"/>
      <w:outlineLvl w:val="1"/>
    </w:pPr>
    <w:rPr>
      <w:rFonts w:ascii="Arial" w:hAnsi="Arial"/>
      <w:b/>
      <w:color w:val="24405F"/>
      <w:sz w:val="30"/>
    </w:rPr>
  </w:style>
  <w:style w:type="paragraph" w:styleId="Heading3">
    <w:name w:val="heading 3"/>
    <w:basedOn w:val="Normal"/>
    <w:next w:val="Normal"/>
    <w:qFormat/>
    <w:pPr>
      <w:keepNext/>
      <w:spacing w:before="240" w:after="120"/>
      <w:outlineLvl w:val="2"/>
    </w:pPr>
    <w:rPr>
      <w:rFonts w:ascii="Arial" w:hAnsi="Arial"/>
      <w:b/>
      <w:color w:val="333333"/>
      <w:sz w:val="25"/>
    </w:rPr>
  </w:style>
  <w:style w:type="paragraph" w:styleId="Heading4">
    <w:name w:val="heading 4"/>
    <w:basedOn w:val="Normal"/>
    <w:next w:val="Normal"/>
    <w:qFormat/>
    <w:pPr>
      <w:keepNext/>
      <w:spacing w:before="240" w:after="120"/>
      <w:outlineLvl w:val="3"/>
    </w:pPr>
    <w:rPr>
      <w:rFonts w:ascii="Arial" w:hAnsi="Arial"/>
      <w:b/>
      <w:color w:val="444444"/>
      <w:sz w:val="23"/>
    </w:rPr>
  </w:style>
  <w:style w:type="paragraph" w:styleId="Quote">
    <w:name w:val="Quote"/>
    <w:basedOn w:val="Normal"/>
    <w:pPr>
      <w:pBdr>
        <w:left w:val="single" w:sz="18" w:space="8" w:color="8A3B2E"/>
      </w:pBdr>
      <w:ind w:left="360"/>
    </w:pPr>
    <w:rPr>
      <w:i/>
      <w:color w:val="444444"/>
    </w:rPr>
  </w:style>
  <w:style w:type="paragraph" w:styleId="ListParagraph">
    <w:name w:val="List Paragraph"/>
    <w:basedOn w:val="Normal"/>
    <w:pPr>
      <w:spacing w:after="60"/>
    </w:pPr>
  </w:style>
  <w:style w:type="paragraph" w:styleId="Code">
    <w:name w:val="Code"/>
    <w:basedOn w:val="Normal"/>
    <w:pPr>
      <w:shd w:val="clear" w:fill="F3F1EA"/>
      <w:spacing w:after="0" w:line="240" w:lineRule="auto"/>
    </w:pPr>
    <w:rPr>
      <w:rFonts w:ascii="Consolas" w:hAnsi="Consolas"/>
      <w:sz w:val="18"/>
    </w:rPr>
  </w:style>
  <w:style w:type="paragraph" w:styleId="TableCell">
    <w:name w:val="Table Cell"/>
    <w:basedOn w:val="Normal"/>
    <w:pPr>
      <w:spacing w:after="40"/>
    </w:pPr>
    <w:rPr>
      <w:rFonts w:ascii="Arial" w:hAnsi="Arial"/>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