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Calibri" w:cs="Calibri" w:eastAsia="Calibri" w:hAnsi="Calibri"/>
          <w:b/>
          <w:bCs/>
          <w:color w:val="1B4A6B"/>
          <w:spacing w:val="12"/>
          <w:sz w:val="19"/>
          <w:szCs w:val="19"/>
        </w:rPr>
        <w:t xml:space="preserve">FOR REVIEW — CIVIL-RIGHTS / IMPACT-LITIGATION COUNSEL (NAACP LDF)</w:t>
      </w:r>
    </w:p>
    <w:p>
      <w:pPr>
        <w:pBdr>
          <w:bottom w:val="single" w:color="1A1A1A" w:sz="12" w:space="2"/>
        </w:pBdr>
        <w:spacing w:after="170"/>
      </w:pPr>
    </w:p>
    <w:p>
      <w:pPr>
        <w:spacing w:after="140" w:line="276"/>
      </w:pPr>
      <w:r>
        <w:rPr>
          <w:rFonts w:ascii="Cambria" w:cs="Cambria" w:eastAsia="Cambria" w:hAnsi="Cambria"/>
          <w:b/>
          <w:bCs/>
          <w:color w:val="1A1A1A"/>
          <w:sz w:val="21"/>
          <w:szCs w:val="21"/>
        </w:rPr>
        <w:t xml:space="preserve">Re:</w:t>
      </w:r>
      <w:r>
        <w:rPr>
          <w:rFonts w:ascii="Cambria" w:cs="Cambria" w:eastAsia="Cambria" w:hAnsi="Cambria"/>
          <w:color w:val="1A1A1A"/>
          <w:sz w:val="21"/>
          <w:szCs w:val="21"/>
        </w:rPr>
        <w:t xml:space="preserve"> A facially race-neutral federal pricing rule with a measurable racial disparate impact — the USDA Federal Milk Marketing Order Class I location differentials (7 CFR 1000.52)</w:t>
      </w:r>
    </w:p>
    <w:p>
      <w:pPr>
        <w:spacing w:after="140" w:line="276"/>
      </w:pPr>
      <w:r>
        <w:rPr>
          <w:rFonts w:ascii="Cambria" w:cs="Cambria" w:eastAsia="Cambria" w:hAnsi="Cambria"/>
          <w:b/>
          <w:bCs/>
          <w:color w:val="555555"/>
          <w:sz w:val="20"/>
          <w:szCs w:val="20"/>
        </w:rPr>
        <w:t xml:space="preserve">Date:</w:t>
      </w:r>
      <w:r>
        <w:rPr>
          <w:rFonts w:ascii="Cambria" w:cs="Cambria" w:eastAsia="Cambria" w:hAnsi="Cambria"/>
          <w:color w:val="555555"/>
          <w:sz w:val="20"/>
          <w:szCs w:val="20"/>
        </w:rPr>
        <w:t xml:space="preserve"> October 2026 · </w:t>
      </w:r>
      <w:r>
        <w:rPr>
          <w:rFonts w:ascii="Cambria" w:cs="Cambria" w:eastAsia="Cambria" w:hAnsi="Cambria"/>
          <w:b/>
          <w:bCs/>
          <w:color w:val="555555"/>
          <w:sz w:val="20"/>
          <w:szCs w:val="20"/>
        </w:rPr>
        <w:t xml:space="preserve">Revision 2</w:t>
      </w:r>
      <w:r>
        <w:rPr>
          <w:rFonts w:ascii="Cambria" w:cs="Cambria" w:eastAsia="Cambria" w:hAnsi="Cambria"/>
          <w:color w:val="555555"/>
          <w:sz w:val="20"/>
          <w:szCs w:val="20"/>
        </w:rPr>
        <w:t xml:space="preserve">, superseding the September 2026 version. · </w:t>
      </w:r>
      <w:r>
        <w:rPr>
          <w:rFonts w:ascii="Cambria" w:cs="Cambria" w:eastAsia="Cambria" w:hAnsi="Cambria"/>
          <w:b/>
          <w:bCs/>
          <w:color w:val="555555"/>
          <w:sz w:val="20"/>
          <w:szCs w:val="20"/>
        </w:rPr>
        <w:t xml:space="preserve">Prepared by:</w:t>
      </w:r>
      <w:r>
        <w:rPr>
          <w:rFonts w:ascii="Cambria" w:cs="Cambria" w:eastAsia="Cambria" w:hAnsi="Cambria"/>
          <w:color w:val="555555"/>
          <w:sz w:val="20"/>
          <w:szCs w:val="20"/>
        </w:rPr>
        <w:t xml:space="preserve"> Philip Carls — an independent empirical analysis built entirely from public data (USDA rulemaking records, U.S. Census, and the current regulation).</w:t>
      </w:r>
    </w:p>
    <w:p>
      <w:pPr>
        <w:spacing w:after="120"/>
      </w:pPr>
    </w:p>
    <w:p>
      <w:pPr>
        <w:pBdr>
          <w:left w:val="single" w:color="1B4A6B" w:sz="18" w:space="10"/>
        </w:pBdr>
        <w:spacing w:after="180" w:line="276"/>
        <w:ind w:left="170"/>
      </w:pPr>
      <w:r>
        <w:rPr>
          <w:rFonts w:ascii="Cambria" w:cs="Cambria" w:eastAsia="Cambria" w:hAnsi="Cambria"/>
          <w:b/>
          <w:bCs/>
          <w:color w:val="1A1A1A"/>
          <w:sz w:val="21"/>
          <w:szCs w:val="21"/>
        </w:rPr>
        <w:t xml:space="preserve">What this is.</w:t>
      </w:r>
      <w:r>
        <w:rPr>
          <w:rFonts w:ascii="Cambria" w:cs="Cambria" w:eastAsia="Cambria" w:hAnsi="Cambria"/>
          <w:color w:val="1A1A1A"/>
          <w:sz w:val="21"/>
          <w:szCs w:val="21"/>
        </w:rPr>
        <w:t xml:space="preserve"> An empirical disparate-impact analysis: a federally set minimum milk price that falls measurably harder on Black communities, and that a 2025 federal rulemaking made worse. It documents impact, not intent, and asserts no legal violation — those are your questions. Weaknesses are stated as plainly as findings. </w:t>
      </w:r>
      <w:r>
        <w:rPr>
          <w:rFonts w:ascii="Cambria" w:cs="Cambria" w:eastAsia="Cambria" w:hAnsi="Cambria"/>
          <w:b/>
          <w:bCs/>
          <w:color w:val="1A1A1A"/>
          <w:sz w:val="21"/>
          <w:szCs w:val="21"/>
        </w:rPr>
        <w:t xml:space="preserve">The ask:</w:t>
      </w:r>
      <w:r>
        <w:rPr>
          <w:rFonts w:ascii="Cambria" w:cs="Cambria" w:eastAsia="Cambria" w:hAnsi="Cambria"/>
          <w:color w:val="1A1A1A"/>
          <w:sz w:val="21"/>
          <w:szCs w:val="21"/>
        </w:rPr>
        <w:t xml:space="preserve"> whether this fits an impact-litigation / Title VI docket, and what you would need to evaluate it.</w:t>
      </w:r>
    </w:p>
    <w:p>
      <w:pPr>
        <w:pStyle w:val="Heading2"/>
        <w:spacing w:after="150" w:before="340"/>
      </w:pPr>
      <w:r>
        <w:rPr>
          <w:rFonts w:ascii="Calibri" w:cs="Calibri" w:eastAsia="Calibri" w:hAnsi="Calibri"/>
          <w:b/>
          <w:bCs/>
          <w:color w:val="1B4A6B"/>
          <w:sz w:val="26"/>
          <w:szCs w:val="26"/>
        </w:rPr>
        <w:t xml:space="preserve">Corrections to the September version — please read first</w:t>
      </w:r>
    </w:p>
    <w:p>
      <w:pPr>
        <w:spacing w:after="140" w:line="276"/>
      </w:pPr>
      <w:r>
        <w:rPr>
          <w:rFonts w:ascii="Cambria" w:cs="Cambria" w:eastAsia="Cambria" w:hAnsi="Cambria"/>
          <w:color w:val="1A1A1A"/>
          <w:sz w:val="21"/>
          <w:szCs w:val="21"/>
        </w:rPr>
        <w:t xml:space="preserve">Since sending the first version I obtained USDA's own cost model from the rulemaking record and audited the retail price series. Three things changed. Two of them weaken the case, and you should have them before spending time on it.</w:t>
      </w:r>
    </w:p>
    <w:tbl>
      <w:tblPr>
        <w:tblW w:type="dxa" w:w="9360"/>
        <w:tblBorders>
          <w:top w:val="single" w:color="9AA7B2" w:sz="6"/>
          <w:left w:val="none" w:color="FFFFFF" w:sz="0"/>
          <w:bottom w:val="single" w:color="9AA7B2" w:sz="6"/>
          <w:right w:val="none" w:color="FFFFFF" w:sz="0"/>
          <w:insideH w:val="single" w:color="D6DDE3" w:sz="2"/>
          <w:insideV w:val="none" w:color="FFFFFF" w:sz="0"/>
        </w:tblBorders>
      </w:tblPr>
      <w:tblGrid>
        <w:gridCol w:w="842"/>
        <w:gridCol w:w="3744"/>
        <w:gridCol w:w="4774"/>
      </w:tblGrid>
      <w:tr>
        <w:trPr>
          <w:tblHeader/>
        </w:trPr>
        <w:tc>
          <w:tcPr>
            <w:tcW w:type="dxa" w:w="842"/>
            <w:shd w:fill="EDF1F5" w:color="auto" w:val="clear"/>
            <w:tcMar>
              <w:top w:type="dxa" w:w="70"/>
              <w:left w:type="dxa" w:w="110"/>
              <w:bottom w:type="dxa" w:w="70"/>
              <w:right w:type="dxa" w:w="110"/>
            </w:tcMar>
          </w:tcPr>
          <w:p>
            <w:pPr>
              <w:spacing w:after="0" w:line="250"/>
            </w:pPr>
            <w:r>
              <w:rPr>
                <w:rFonts w:ascii="Calibri" w:cs="Calibri" w:eastAsia="Calibri" w:hAnsi="Calibri"/>
                <w:b/>
                <w:bCs/>
                <w:color w:val="1A1A1A"/>
                <w:sz w:val="17"/>
                <w:szCs w:val="17"/>
              </w:rPr>
              <w:t xml:space="preserve">§</w:t>
            </w:r>
          </w:p>
        </w:tc>
        <w:tc>
          <w:tcPr>
            <w:tcW w:type="dxa" w:w="3744"/>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September version said</w:t>
            </w:r>
          </w:p>
        </w:tc>
        <w:tc>
          <w:tcPr>
            <w:tcW w:type="dxa" w:w="4774"/>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Correction</w:t>
            </w:r>
          </w:p>
        </w:tc>
      </w:tr>
      <w:tr>
        <w:tc>
          <w:tcPr>
            <w:tcW w:type="dxa" w:w="842"/>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4a</w:t>
            </w:r>
          </w:p>
        </w:tc>
        <w:tc>
          <w:tcPr>
            <w:tcW w:type="dxa" w:w="3744"/>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 (no such section)</w:t>
            </w:r>
          </w:p>
        </w:tc>
        <w:tc>
          <w:tcPr>
            <w:tcW w:type="dxa" w:w="4774"/>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New, and it cuts both ways.</w:t>
            </w:r>
            <w:r>
              <w:rPr>
                <w:rFonts w:ascii="Calibri" w:cs="Calibri" w:eastAsia="Calibri" w:hAnsi="Calibri"/>
                <w:color w:val="1A1A1A"/>
                <w:sz w:val="18"/>
                <w:szCs w:val="18"/>
              </w:rPr>
              <w:t xml:space="preserve"> USDA's least-cost freight model was filed at the hearing and admitted into evidence, so the cost-of-service defense can now be measured rather than argued about. </w:t>
            </w:r>
            <w:r>
              <w:rPr>
                <w:rFonts w:ascii="Calibri" w:cs="Calibri" w:eastAsia="Calibri" w:hAnsi="Calibri"/>
                <w:b/>
                <w:bCs/>
                <w:color w:val="1A1A1A"/>
                <w:sz w:val="18"/>
                <w:szCs w:val="18"/>
              </w:rPr>
              <w:t xml:space="preserve">Against us:</w:t>
            </w:r>
            <w:r>
              <w:rPr>
                <w:rFonts w:ascii="Calibri" w:cs="Calibri" w:eastAsia="Calibri" w:hAnsi="Calibri"/>
                <w:color w:val="1A1A1A"/>
                <w:sz w:val="18"/>
                <w:szCs w:val="18"/>
              </w:rPr>
              <w:t xml:space="preserve"> run with no demographic input, the model produces a </w:t>
            </w:r>
            <w:r>
              <w:rPr>
                <w:rFonts w:ascii="Calibri" w:cs="Calibri" w:eastAsia="Calibri" w:hAnsi="Calibri"/>
                <w:i/>
                <w:iCs/>
                <w:color w:val="1A1A1A"/>
                <w:sz w:val="18"/>
                <w:szCs w:val="18"/>
              </w:rPr>
              <w:t xml:space="preserve">larger</w:t>
            </w:r>
            <w:r>
              <w:rPr>
                <w:rFonts w:ascii="Calibri" w:cs="Calibri" w:eastAsia="Calibri" w:hAnsi="Calibri"/>
                <w:color w:val="1A1A1A"/>
                <w:sz w:val="18"/>
                <w:szCs w:val="18"/>
              </w:rPr>
              <w:t xml:space="preserve"> racial gap (4.68¢/gal) than the pre-2025 rule actually carried (3.82¢) — so for 2008–2025 that defense is simply correct, and a claim built on that schedule should not be brought. </w:t>
            </w:r>
            <w:r>
              <w:rPr>
                <w:rFonts w:ascii="Calibri" w:cs="Calibri" w:eastAsia="Calibri" w:hAnsi="Calibri"/>
                <w:b/>
                <w:bCs/>
                <w:color w:val="1A1A1A"/>
                <w:sz w:val="18"/>
                <w:szCs w:val="18"/>
              </w:rPr>
              <w:t xml:space="preserve">For us:</w:t>
            </w:r>
            <w:r>
              <w:rPr>
                <w:rFonts w:ascii="Calibri" w:cs="Calibri" w:eastAsia="Calibri" w:hAnsi="Calibri"/>
                <w:color w:val="1A1A1A"/>
                <w:sz w:val="18"/>
                <w:szCs w:val="18"/>
              </w:rPr>
              <w:t xml:space="preserve"> the 2025 amendment priced the South 3.92¢/gal and the Northeast 2.09¢/gal </w:t>
            </w:r>
            <w:r>
              <w:rPr>
                <w:rFonts w:ascii="Calibri" w:cs="Calibri" w:eastAsia="Calibri" w:hAnsi="Calibri"/>
                <w:i/>
                <w:iCs/>
                <w:color w:val="1A1A1A"/>
                <w:sz w:val="18"/>
                <w:szCs w:val="18"/>
              </w:rPr>
              <w:t xml:space="preserve">above</w:t>
            </w:r>
            <w:r>
              <w:rPr>
                <w:rFonts w:ascii="Calibri" w:cs="Calibri" w:eastAsia="Calibri" w:hAnsi="Calibri"/>
                <w:color w:val="1A1A1A"/>
                <w:sz w:val="18"/>
                <w:szCs w:val="18"/>
              </w:rPr>
              <w:t xml:space="preserve"> the model while pricing the West 6.58¢ below it, and 73.9% of Black Americans live in a marked-up region against 54.1% of white Americans.</w:t>
            </w:r>
          </w:p>
        </w:tc>
      </w:tr>
      <w:tr>
        <w:tc>
          <w:tcPr>
            <w:tcW w:type="dxa" w:w="842"/>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9</w:t>
            </w:r>
          </w:p>
        </w:tc>
        <w:tc>
          <w:tcPr>
            <w:tcW w:type="dxa" w:w="3744"/>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A milk-specific retail premium “robust in South Carolina and Louisiana after a same-region control”</w:t>
            </w:r>
          </w:p>
        </w:tc>
        <w:tc>
          <w:tcPr>
            <w:tcW w:type="dxa" w:w="4774"/>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Withdrawn.</w:t>
            </w:r>
            <w:r>
              <w:rPr>
                <w:rFonts w:ascii="Calibri" w:cs="Calibri" w:eastAsia="Calibri" w:hAnsi="Calibri"/>
                <w:color w:val="1A1A1A"/>
                <w:sz w:val="18"/>
                <w:szCs w:val="18"/>
              </w:rPr>
              <w:t xml:space="preserve"> It fails in South Carolina under that control (t −1.56), fails in Louisiana (t +0.37), and fails in the best-powered test available — within metropolitan Atlanta the gap is −2.9¢ with p = 0.65 and power to detect 12¢. Twelve metros tested; none positive. Please disregard that strand.</w:t>
            </w:r>
          </w:p>
        </w:tc>
      </w:tr>
      <w:tr>
        <w:tc>
          <w:tcPr>
            <w:tcW w:type="dxa" w:w="842"/>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2, 4, 7</w:t>
            </w:r>
          </w:p>
        </w:tc>
        <w:tc>
          <w:tcPr>
            <w:tcW w:type="dxa" w:w="3744"/>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t-statistics of 14, 16, 20.4 and 66</w:t>
            </w:r>
          </w:p>
        </w:tc>
        <w:tc>
          <w:tcPr>
            <w:tcW w:type="dxa" w:w="4774"/>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Not reproducible as stated, and they overstate the evidence.</w:t>
            </w:r>
            <w:r>
              <w:rPr>
                <w:rFonts w:ascii="Calibri" w:cs="Calibri" w:eastAsia="Calibri" w:hAnsi="Calibri"/>
                <w:color w:val="1A1A1A"/>
                <w:sz w:val="18"/>
                <w:szCs w:val="18"/>
              </w:rPr>
              <w:t xml:space="preserve"> They treat each county or ZIP as independent when the differential takes only a handful of values per state. Clustered properly the findings </w:t>
            </w:r>
            <w:r>
              <w:rPr>
                <w:rFonts w:ascii="Calibri" w:cs="Calibri" w:eastAsia="Calibri" w:hAnsi="Calibri"/>
                <w:i/>
                <w:iCs/>
                <w:color w:val="1A1A1A"/>
                <w:sz w:val="18"/>
                <w:szCs w:val="18"/>
              </w:rPr>
              <w:t xml:space="preserve">survive</w:t>
            </w:r>
            <w:r>
              <w:rPr>
                <w:rFonts w:ascii="Calibri" w:cs="Calibri" w:eastAsia="Calibri" w:hAnsi="Calibri"/>
                <w:color w:val="1A1A1A"/>
                <w:sz w:val="18"/>
                <w:szCs w:val="18"/>
              </w:rPr>
              <w:t xml:space="preserve"> but at t = 2.4 to 9.2. Corrected figures are used throughout this revision; please quote these, not the originals.</w:t>
            </w:r>
          </w:p>
        </w:tc>
      </w:tr>
    </w:tbl>
    <w:p>
      <w:pPr>
        <w:spacing w:after="110"/>
      </w:pPr>
    </w:p>
    <w:p>
      <w:pPr>
        <w:spacing w:after="140" w:line="276"/>
      </w:pPr>
      <w:r>
        <w:rPr>
          <w:rFonts w:ascii="Cambria" w:cs="Cambria" w:eastAsia="Cambria" w:hAnsi="Cambria"/>
          <w:b/>
          <w:bCs/>
          <w:color w:val="1A1A1A"/>
          <w:sz w:val="21"/>
          <w:szCs w:val="21"/>
        </w:rPr>
        <w:t xml:space="preserve">What did not change:</w:t>
      </w:r>
      <w:r>
        <w:rPr>
          <w:rFonts w:ascii="Cambria" w:cs="Cambria" w:eastAsia="Cambria" w:hAnsi="Cambria"/>
          <w:color w:val="1A1A1A"/>
          <w:sz w:val="21"/>
          <w:szCs w:val="21"/>
        </w:rPr>
        <w:t xml:space="preserve"> the headline incidence finding, which now reproduces exactly on USDA's own county universe; the fact that the 2025 amendment widened the gap; and the civil-rights record findings in §6, which are confirmed and strengthened.</w:t>
      </w:r>
    </w:p>
    <w:p>
      <w:pPr>
        <w:pStyle w:val="Heading2"/>
        <w:spacing w:after="150" w:before="340"/>
      </w:pPr>
      <w:r>
        <w:rPr>
          <w:rFonts w:ascii="Calibri" w:cs="Calibri" w:eastAsia="Calibri" w:hAnsi="Calibri"/>
          <w:b/>
          <w:bCs/>
          <w:color w:val="1B4A6B"/>
          <w:sz w:val="26"/>
          <w:szCs w:val="26"/>
        </w:rPr>
        <w:t xml:space="preserve">1. The finding, in one paragraph</w:t>
      </w:r>
    </w:p>
    <w:p>
      <w:pPr>
        <w:spacing w:after="140" w:line="276"/>
      </w:pPr>
      <w:r>
        <w:rPr>
          <w:rFonts w:ascii="Cambria" w:cs="Cambria" w:eastAsia="Cambria" w:hAnsi="Cambria"/>
          <w:color w:val="1A1A1A"/>
          <w:sz w:val="21"/>
          <w:szCs w:val="21"/>
        </w:rPr>
        <w:t xml:space="preserve">Under the Federal Milk Marketing Orders, USDA sets a legally mandated minimum price for fluid (“Class I”) milk that includes a location-specific “Class I differential” (7 CFR 1000.52) — a surcharge lowest in the major milk-producing regions (the Upper Midwest, the Mountain West, California) and rising in the milk-deficit regions far from that supply (notably the Southeast and the Northeastern metros). It is facially race-neutral, justified as a cost-of-service construct. USDA revised these rates in 2025. Joined to Census demographics, two findings emerge for Black communities nationwide:</w:t>
      </w:r>
    </w:p>
    <w:p>
      <w:pPr>
        <w:pStyle w:val="ListParagraph"/>
        <w:numPr>
          <w:ilvl w:val="0"/>
          <w:numId w:val="2"/>
        </w:numPr>
        <w:spacing w:after="95" w:line="276"/>
      </w:pPr>
      <w:r>
        <w:rPr>
          <w:rFonts w:ascii="Cambria" w:cs="Cambria" w:eastAsia="Cambria" w:hAnsi="Cambria"/>
          <w:color w:val="1A1A1A"/>
          <w:sz w:val="21"/>
          <w:szCs w:val="21"/>
        </w:rPr>
        <w:t xml:space="preserve">They face a higher federally set milk-price floor than white communities — about </w:t>
      </w:r>
      <w:r>
        <w:rPr>
          <w:rFonts w:ascii="Cambria" w:cs="Cambria" w:eastAsia="Cambria" w:hAnsi="Cambria"/>
          <w:b/>
          <w:bCs/>
          <w:color w:val="1A1A1A"/>
          <w:sz w:val="21"/>
          <w:szCs w:val="21"/>
        </w:rPr>
        <w:t xml:space="preserve">+$0.06/gallon</w:t>
      </w:r>
      <w:r>
        <w:rPr>
          <w:rFonts w:ascii="Cambria" w:cs="Cambria" w:eastAsia="Cambria" w:hAnsi="Cambria"/>
          <w:color w:val="1A1A1A"/>
          <w:sz w:val="21"/>
          <w:szCs w:val="21"/>
        </w:rPr>
        <w:t xml:space="preserve"> for the average Black resident (+$0.09/gallon in majority-Black communities).</w:t>
      </w:r>
    </w:p>
    <w:p>
      <w:pPr>
        <w:pStyle w:val="ListParagraph"/>
        <w:numPr>
          <w:ilvl w:val="0"/>
          <w:numId w:val="2"/>
        </w:numPr>
        <w:spacing w:after="95" w:line="276"/>
      </w:pPr>
      <w:r>
        <w:rPr>
          <w:rFonts w:ascii="Cambria" w:cs="Cambria" w:eastAsia="Cambria" w:hAnsi="Cambria"/>
          <w:b/>
          <w:bCs/>
          <w:color w:val="1A1A1A"/>
          <w:sz w:val="21"/>
          <w:szCs w:val="21"/>
        </w:rPr>
        <w:t xml:space="preserve">The 2025 modernization widened that gap</w:t>
      </w:r>
      <w:r>
        <w:rPr>
          <w:rFonts w:ascii="Cambria" w:cs="Cambria" w:eastAsia="Cambria" w:hAnsi="Cambria"/>
          <w:color w:val="1A1A1A"/>
          <w:sz w:val="21"/>
          <w:szCs w:val="21"/>
        </w:rPr>
        <w:t xml:space="preserve"> — from about +$0.04 to +$0.06/gallon per person (+$0.06 to +$0.09/gallon in majority-Black communities).</w:t>
      </w:r>
    </w:p>
    <w:p>
      <w:pPr>
        <w:spacing w:after="140" w:line="276"/>
      </w:pPr>
      <w:r>
        <w:rPr>
          <w:rFonts w:ascii="Cambria" w:cs="Cambria" w:eastAsia="Cambria" w:hAnsi="Cambria"/>
          <w:color w:val="1A1A1A"/>
          <w:sz w:val="21"/>
          <w:szCs w:val="21"/>
        </w:rPr>
        <w:t xml:space="preserve">These gaps survive controls for income and urbanicity — the two confounders most likely to explain them away. This is disparate impact, not disparate treatment: it arises because the geography of milk supply overlaps the historical geography of Black settlement, the Delta and Black Belt sitting farthest from milk supply. There is no evidence of intent (§5).</w:t>
      </w:r>
    </w:p>
    <w:p>
      <w:pPr>
        <w:spacing w:after="140" w:line="276"/>
      </w:pPr>
      <w:r>
        <w:rPr>
          <w:rFonts w:ascii="Cambria" w:cs="Cambria" w:eastAsia="Cambria" w:hAnsi="Cambria"/>
          <w:color w:val="555555"/>
          <w:sz w:val="20"/>
          <w:szCs w:val="20"/>
        </w:rPr>
        <w:t xml:space="preserve">Verified on USDA's own county table joined to ACS 2023: 3,077 counties, 328,376,309 people. The person-weighted figures below reproduce the September version to the cent.</w:t>
      </w:r>
    </w:p>
    <w:p>
      <w:pPr>
        <w:spacing w:after="140" w:line="276"/>
      </w:pPr>
      <w:r>
        <w:rPr>
          <w:rFonts w:ascii="Cambria" w:cs="Cambria" w:eastAsia="Cambria" w:hAnsi="Cambria"/>
          <w:b/>
          <w:bCs/>
          <w:color w:val="1A1A1A"/>
          <w:sz w:val="21"/>
          <w:szCs w:val="21"/>
        </w:rPr>
        <w:t xml:space="preserve">Per person</w:t>
      </w:r>
      <w:r>
        <w:rPr>
          <w:rFonts w:ascii="Cambria" w:cs="Cambria" w:eastAsia="Cambria" w:hAnsi="Cambria"/>
          <w:color w:val="1A1A1A"/>
          <w:sz w:val="21"/>
          <w:szCs w:val="21"/>
        </w:rPr>
        <w:t xml:space="preserve"> — the differential faced by the average resident of each group ($/cwt):</w:t>
      </w:r>
    </w:p>
    <w:tbl>
      <w:tblPr>
        <w:tblW w:type="dxa" w:w="9360"/>
        <w:tblBorders>
          <w:top w:val="single" w:color="9AA7B2" w:sz="6"/>
          <w:left w:val="none" w:color="FFFFFF" w:sz="0"/>
          <w:bottom w:val="single" w:color="9AA7B2" w:sz="6"/>
          <w:right w:val="none" w:color="FFFFFF" w:sz="0"/>
          <w:insideH w:val="single" w:color="D6DDE3" w:sz="2"/>
          <w:insideV w:val="none" w:color="FFFFFF" w:sz="0"/>
        </w:tblBorders>
      </w:tblPr>
      <w:tblGrid>
        <w:gridCol w:w="2434"/>
        <w:gridCol w:w="1685"/>
        <w:gridCol w:w="1685"/>
        <w:gridCol w:w="3556"/>
      </w:tblGrid>
      <w:tr>
        <w:trPr>
          <w:tblHeader/>
        </w:trPr>
        <w:tc>
          <w:tcPr>
            <w:tcW w:type="dxa" w:w="2434"/>
            <w:shd w:fill="EDF1F5" w:color="auto" w:val="clear"/>
            <w:tcMar>
              <w:top w:type="dxa" w:w="70"/>
              <w:left w:type="dxa" w:w="110"/>
              <w:bottom w:type="dxa" w:w="70"/>
              <w:right w:type="dxa" w:w="110"/>
            </w:tcMar>
          </w:tcPr>
          <w:p>
            <w:pPr>
              <w:spacing w:after="0" w:line="250"/>
            </w:pPr>
            <w:r>
              <w:rPr>
                <w:rFonts w:ascii="Calibri" w:cs="Calibri" w:eastAsia="Calibri" w:hAnsi="Calibri"/>
                <w:b/>
                <w:bCs/>
                <w:color w:val="1A1A1A"/>
                <w:sz w:val="17"/>
                <w:szCs w:val="17"/>
              </w:rPr>
              <w:t xml:space="preserve">Group</w:t>
            </w:r>
          </w:p>
        </w:tc>
        <w:tc>
          <w:tcPr>
            <w:tcW w:type="dxa" w:w="1685"/>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Before (2024)</w:t>
            </w:r>
          </w:p>
        </w:tc>
        <w:tc>
          <w:tcPr>
            <w:tcW w:type="dxa" w:w="1685"/>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After (2025)</w:t>
            </w:r>
          </w:p>
        </w:tc>
        <w:tc>
          <w:tcPr>
            <w:tcW w:type="dxa" w:w="3556"/>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Gap vs. white: before → after</w:t>
            </w:r>
          </w:p>
        </w:tc>
      </w:tr>
      <w:tr>
        <w:tc>
          <w:tcPr>
            <w:tcW w:type="dxa" w:w="2434"/>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Black</w:t>
            </w:r>
          </w:p>
        </w:tc>
        <w:tc>
          <w:tcPr>
            <w:tcW w:type="dxa" w:w="1685"/>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$3.14</w:t>
            </w:r>
          </w:p>
        </w:tc>
        <w:tc>
          <w:tcPr>
            <w:tcW w:type="dxa" w:w="1685"/>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$4.66</w:t>
            </w:r>
          </w:p>
        </w:tc>
        <w:tc>
          <w:tcPr>
            <w:tcW w:type="dxa" w:w="3556"/>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+3.8¢ → +5.6¢/gal</w:t>
            </w:r>
          </w:p>
        </w:tc>
      </w:tr>
      <w:tr>
        <w:tc>
          <w:tcPr>
            <w:tcW w:type="dxa" w:w="2434"/>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Hispanic</w:t>
            </w:r>
          </w:p>
        </w:tc>
        <w:tc>
          <w:tcPr>
            <w:tcW w:type="dxa" w:w="1685"/>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$2.85</w:t>
            </w:r>
          </w:p>
        </w:tc>
        <w:tc>
          <w:tcPr>
            <w:tcW w:type="dxa" w:w="1685"/>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$3.90</w:t>
            </w:r>
          </w:p>
        </w:tc>
        <w:tc>
          <w:tcPr>
            <w:tcW w:type="dxa" w:w="355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+1.3¢ → −0.9¢/gal</w:t>
            </w:r>
          </w:p>
        </w:tc>
      </w:tr>
      <w:tr>
        <w:tc>
          <w:tcPr>
            <w:tcW w:type="dxa" w:w="2434"/>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White</w:t>
            </w:r>
          </w:p>
        </w:tc>
        <w:tc>
          <w:tcPr>
            <w:tcW w:type="dxa" w:w="1685"/>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$2.69</w:t>
            </w:r>
          </w:p>
        </w:tc>
        <w:tc>
          <w:tcPr>
            <w:tcW w:type="dxa" w:w="1685"/>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$4.00</w:t>
            </w:r>
          </w:p>
        </w:tc>
        <w:tc>
          <w:tcPr>
            <w:tcW w:type="dxa" w:w="355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w:t>
            </w:r>
          </w:p>
        </w:tc>
      </w:tr>
    </w:tbl>
    <w:p>
      <w:pPr>
        <w:spacing w:after="110"/>
      </w:pPr>
    </w:p>
    <w:p>
      <w:pPr>
        <w:spacing w:after="140" w:line="276"/>
      </w:pPr>
      <w:r>
        <w:rPr>
          <w:rFonts w:ascii="Cambria" w:cs="Cambria" w:eastAsia="Cambria" w:hAnsi="Cambria"/>
          <w:b/>
          <w:bCs/>
          <w:color w:val="1A1A1A"/>
          <w:sz w:val="21"/>
          <w:szCs w:val="21"/>
        </w:rPr>
        <w:t xml:space="preserve">By area</w:t>
      </w:r>
      <w:r>
        <w:rPr>
          <w:rFonts w:ascii="Cambria" w:cs="Cambria" w:eastAsia="Cambria" w:hAnsi="Cambria"/>
          <w:color w:val="1A1A1A"/>
          <w:sz w:val="21"/>
          <w:szCs w:val="21"/>
        </w:rPr>
        <w:t xml:space="preserve"> — majority-Black / -Hispanic / -white communities (≥50%):</w:t>
      </w:r>
    </w:p>
    <w:tbl>
      <w:tblPr>
        <w:tblW w:type="dxa" w:w="9360"/>
        <w:tblBorders>
          <w:top w:val="single" w:color="9AA7B2" w:sz="6"/>
          <w:left w:val="none" w:color="FFFFFF" w:sz="0"/>
          <w:bottom w:val="single" w:color="9AA7B2" w:sz="6"/>
          <w:right w:val="none" w:color="FFFFFF" w:sz="0"/>
          <w:insideH w:val="single" w:color="D6DDE3" w:sz="2"/>
          <w:insideV w:val="none" w:color="FFFFFF" w:sz="0"/>
        </w:tblBorders>
      </w:tblPr>
      <w:tblGrid>
        <w:gridCol w:w="2434"/>
        <w:gridCol w:w="1685"/>
        <w:gridCol w:w="1685"/>
        <w:gridCol w:w="3556"/>
      </w:tblGrid>
      <w:tr>
        <w:trPr>
          <w:tblHeader/>
        </w:trPr>
        <w:tc>
          <w:tcPr>
            <w:tcW w:type="dxa" w:w="2434"/>
            <w:shd w:fill="EDF1F5" w:color="auto" w:val="clear"/>
            <w:tcMar>
              <w:top w:type="dxa" w:w="70"/>
              <w:left w:type="dxa" w:w="110"/>
              <w:bottom w:type="dxa" w:w="70"/>
              <w:right w:type="dxa" w:w="110"/>
            </w:tcMar>
          </w:tcPr>
          <w:p>
            <w:pPr>
              <w:spacing w:after="0" w:line="250"/>
            </w:pPr>
            <w:r>
              <w:rPr>
                <w:rFonts w:ascii="Calibri" w:cs="Calibri" w:eastAsia="Calibri" w:hAnsi="Calibri"/>
                <w:b/>
                <w:bCs/>
                <w:color w:val="1A1A1A"/>
                <w:sz w:val="17"/>
                <w:szCs w:val="17"/>
              </w:rPr>
              <w:t xml:space="preserve">Group</w:t>
            </w:r>
          </w:p>
        </w:tc>
        <w:tc>
          <w:tcPr>
            <w:tcW w:type="dxa" w:w="1685"/>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Before (2024)</w:t>
            </w:r>
          </w:p>
        </w:tc>
        <w:tc>
          <w:tcPr>
            <w:tcW w:type="dxa" w:w="1685"/>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After (2025)</w:t>
            </w:r>
          </w:p>
        </w:tc>
        <w:tc>
          <w:tcPr>
            <w:tcW w:type="dxa" w:w="3556"/>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Gap vs. white: before → after</w:t>
            </w:r>
          </w:p>
        </w:tc>
      </w:tr>
      <w:tr>
        <w:tc>
          <w:tcPr>
            <w:tcW w:type="dxa" w:w="2434"/>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Black</w:t>
            </w:r>
          </w:p>
        </w:tc>
        <w:tc>
          <w:tcPr>
            <w:tcW w:type="dxa" w:w="1685"/>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$3.20</w:t>
            </w:r>
          </w:p>
        </w:tc>
        <w:tc>
          <w:tcPr>
            <w:tcW w:type="dxa" w:w="1685"/>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$4.89</w:t>
            </w:r>
          </w:p>
        </w:tc>
        <w:tc>
          <w:tcPr>
            <w:tcW w:type="dxa" w:w="3556"/>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+5.8¢ → +9.4¢/gal</w:t>
            </w:r>
          </w:p>
        </w:tc>
      </w:tr>
      <w:tr>
        <w:tc>
          <w:tcPr>
            <w:tcW w:type="dxa" w:w="2434"/>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Hispanic</w:t>
            </w:r>
          </w:p>
        </w:tc>
        <w:tc>
          <w:tcPr>
            <w:tcW w:type="dxa" w:w="1685"/>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$2.82</w:t>
            </w:r>
          </w:p>
        </w:tc>
        <w:tc>
          <w:tcPr>
            <w:tcW w:type="dxa" w:w="1685"/>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$3.74</w:t>
            </w:r>
          </w:p>
        </w:tc>
        <w:tc>
          <w:tcPr>
            <w:tcW w:type="dxa" w:w="355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+2.4¢ → −0.6¢/gal</w:t>
            </w:r>
          </w:p>
        </w:tc>
      </w:tr>
      <w:tr>
        <w:tc>
          <w:tcPr>
            <w:tcW w:type="dxa" w:w="2434"/>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White</w:t>
            </w:r>
          </w:p>
        </w:tc>
        <w:tc>
          <w:tcPr>
            <w:tcW w:type="dxa" w:w="1685"/>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$2.53</w:t>
            </w:r>
          </w:p>
        </w:tc>
        <w:tc>
          <w:tcPr>
            <w:tcW w:type="dxa" w:w="1685"/>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$3.80</w:t>
            </w:r>
          </w:p>
        </w:tc>
        <w:tc>
          <w:tcPr>
            <w:tcW w:type="dxa" w:w="355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w:t>
            </w:r>
          </w:p>
        </w:tc>
      </w:tr>
    </w:tbl>
    <w:p>
      <w:pPr>
        <w:spacing w:after="110"/>
      </w:pPr>
    </w:p>
    <w:p>
      <w:pPr>
        <w:spacing w:after="140" w:line="276"/>
      </w:pPr>
      <w:r>
        <w:rPr>
          <w:rFonts w:ascii="Cambria" w:cs="Cambria" w:eastAsia="Cambria" w:hAnsi="Cambria"/>
          <w:color w:val="1A1A1A"/>
          <w:sz w:val="21"/>
          <w:szCs w:val="21"/>
        </w:rPr>
        <w:t xml:space="preserve">One structural point, new in this revision and worth having early: the 2025 amendment raised the national average differential by </w:t>
      </w:r>
      <w:r>
        <w:rPr>
          <w:rFonts w:ascii="Cambria" w:cs="Cambria" w:eastAsia="Cambria" w:hAnsi="Cambria"/>
          <w:b/>
          <w:bCs/>
          <w:color w:val="1A1A1A"/>
          <w:sz w:val="21"/>
          <w:szCs w:val="21"/>
        </w:rPr>
        <w:t xml:space="preserve">$1.27/cwt</w:t>
      </w:r>
      <w:r>
        <w:rPr>
          <w:rFonts w:ascii="Cambria" w:cs="Cambria" w:eastAsia="Cambria" w:hAnsi="Cambria"/>
          <w:color w:val="1A1A1A"/>
          <w:sz w:val="21"/>
          <w:szCs w:val="21"/>
        </w:rPr>
        <w:t xml:space="preserve">, and </w:t>
      </w:r>
      <w:r>
        <w:rPr>
          <w:rFonts w:ascii="Cambria" w:cs="Cambria" w:eastAsia="Cambria" w:hAnsi="Cambria"/>
          <w:i/>
          <w:iCs/>
          <w:color w:val="1A1A1A"/>
          <w:sz w:val="21"/>
          <w:szCs w:val="21"/>
        </w:rPr>
        <w:t xml:space="preserve">none</w:t>
      </w:r>
      <w:r>
        <w:rPr>
          <w:rFonts w:ascii="Cambria" w:cs="Cambria" w:eastAsia="Cambria" w:hAnsi="Cambria"/>
          <w:color w:val="1A1A1A"/>
          <w:sz w:val="21"/>
          <w:szCs w:val="21"/>
        </w:rPr>
        <w:t xml:space="preserve"> of that increase produced any of the widening. The gap between two group averages is arithmetically unchanged by adding the same amount everywhere. The entire +1.8¢ came from </w:t>
      </w:r>
      <w:r>
        <w:rPr>
          <w:rFonts w:ascii="Cambria" w:cs="Cambria" w:eastAsia="Cambria" w:hAnsi="Cambria"/>
          <w:b/>
          <w:bCs/>
          <w:color w:val="1A1A1A"/>
          <w:sz w:val="21"/>
          <w:szCs w:val="21"/>
        </w:rPr>
        <w:t xml:space="preserve">re-sloping</w:t>
      </w:r>
      <w:r>
        <w:rPr>
          <w:rFonts w:ascii="Cambria" w:cs="Cambria" w:eastAsia="Cambria" w:hAnsi="Cambria"/>
          <w:color w:val="1A1A1A"/>
          <w:sz w:val="21"/>
          <w:szCs w:val="21"/>
        </w:rPr>
        <w:t xml:space="preserve"> the map — changing which counties pay more relative to which. The increase is what the rule was justified by; the re-sloping is what had racial effect.</w:t>
      </w:r>
    </w:p>
    <w:p>
      <w:pPr>
        <w:pStyle w:val="Heading2"/>
        <w:spacing w:after="150" w:before="340"/>
      </w:pPr>
      <w:r>
        <w:rPr>
          <w:rFonts w:ascii="Calibri" w:cs="Calibri" w:eastAsia="Calibri" w:hAnsi="Calibri"/>
          <w:b/>
          <w:bCs/>
          <w:color w:val="1B4A6B"/>
          <w:sz w:val="26"/>
          <w:szCs w:val="26"/>
        </w:rPr>
        <w:t xml:space="preserve">2. It is the race of the community — not its income, and not whether it is rural</w:t>
      </w:r>
    </w:p>
    <w:p>
      <w:pPr>
        <w:spacing w:after="140" w:line="276"/>
      </w:pPr>
      <w:r>
        <w:rPr>
          <w:rFonts w:ascii="Cambria" w:cs="Cambria" w:eastAsia="Cambria" w:hAnsi="Cambria"/>
          <w:color w:val="1A1A1A"/>
          <w:sz w:val="21"/>
          <w:szCs w:val="21"/>
        </w:rPr>
        <w:t xml:space="preserve">Line up every county in the country and ask what predicts a higher federal milk floor. For each 10 percentage points more Black a community is, its floor runs about </w:t>
      </w:r>
      <w:r>
        <w:rPr>
          <w:rFonts w:ascii="Cambria" w:cs="Cambria" w:eastAsia="Cambria" w:hAnsi="Cambria"/>
          <w:b/>
          <w:bCs/>
          <w:color w:val="1A1A1A"/>
          <w:sz w:val="21"/>
          <w:szCs w:val="21"/>
        </w:rPr>
        <w:t xml:space="preserve">+$0.50/cwt (≈4.3¢/gallon)</w:t>
      </w:r>
      <w:r>
        <w:rPr>
          <w:rFonts w:ascii="Cambria" w:cs="Cambria" w:eastAsia="Cambria" w:hAnsi="Cambria"/>
          <w:color w:val="1A1A1A"/>
          <w:sz w:val="21"/>
          <w:szCs w:val="21"/>
        </w:rPr>
        <w:t xml:space="preserve"> higher, person-weighted — and that barely moves when income, Hispanic share and urban-versus-rural are held constant. The same link existed before 2025 but weaker (+$0.30/cwt); </w:t>
      </w:r>
      <w:r>
        <w:rPr>
          <w:rFonts w:ascii="Cambria" w:cs="Cambria" w:eastAsia="Cambria" w:hAnsi="Cambria"/>
          <w:b/>
          <w:bCs/>
          <w:color w:val="1A1A1A"/>
          <w:sz w:val="21"/>
          <w:szCs w:val="21"/>
        </w:rPr>
        <w:t xml:space="preserve">the modernization strengthened it.</w:t>
      </w:r>
      <w:r>
        <w:rPr>
          <w:rFonts w:ascii="Cambria" w:cs="Cambria" w:eastAsia="Cambria" w:hAnsi="Cambria"/>
          <w:color w:val="1A1A1A"/>
          <w:sz w:val="21"/>
          <w:szCs w:val="21"/>
        </w:rPr>
        <w:t xml:space="preserve"> The poverty explanation runs the wrong way: rural, poorer areas pay less, so income and ruralness are not standing in for race.</w:t>
      </w:r>
    </w:p>
    <w:p>
      <w:pPr>
        <w:spacing w:after="140" w:line="276"/>
      </w:pPr>
      <w:r>
        <w:rPr>
          <w:rFonts w:ascii="Cambria" w:cs="Cambria" w:eastAsia="Cambria" w:hAnsi="Cambria"/>
          <w:b/>
          <w:bCs/>
          <w:color w:val="1A1A1A"/>
          <w:sz w:val="21"/>
          <w:szCs w:val="21"/>
        </w:rPr>
        <w:t xml:space="preserve">On statistical significance — corrected.</w:t>
      </w:r>
      <w:r>
        <w:rPr>
          <w:rFonts w:ascii="Cambria" w:cs="Cambria" w:eastAsia="Cambria" w:hAnsi="Cambria"/>
          <w:color w:val="1A1A1A"/>
          <w:sz w:val="21"/>
          <w:szCs w:val="21"/>
        </w:rPr>
        <w:t xml:space="preserve"> The September version reported t = 66. That figure treats each county as an independent observation, which it is not: the differential is a step function taking five to eleven distinct values per state, so counties sharing a value are one observation. Clustered on state the coefficient is unchanged and the t-statistic is </w:t>
      </w:r>
      <w:r>
        <w:rPr>
          <w:rFonts w:ascii="Cambria" w:cs="Cambria" w:eastAsia="Cambria" w:hAnsi="Cambria"/>
          <w:b/>
          <w:bCs/>
          <w:color w:val="1A1A1A"/>
          <w:sz w:val="21"/>
          <w:szCs w:val="21"/>
        </w:rPr>
        <w:t xml:space="preserve">+5.60</w:t>
      </w:r>
      <w:r>
        <w:rPr>
          <w:rFonts w:ascii="Cambria" w:cs="Cambria" w:eastAsia="Cambria" w:hAnsi="Cambria"/>
          <w:color w:val="1A1A1A"/>
          <w:sz w:val="21"/>
          <w:szCs w:val="21"/>
        </w:rPr>
        <w:t xml:space="preserve"> — comfortably significant, and the figure to quote.</w:t>
      </w:r>
    </w:p>
    <w:p>
      <w:pPr>
        <w:spacing w:after="140" w:line="276"/>
      </w:pPr>
      <w:r>
        <w:rPr>
          <w:rFonts w:ascii="Cambria" w:cs="Cambria" w:eastAsia="Cambria" w:hAnsi="Cambria"/>
          <w:b/>
          <w:bCs/>
          <w:color w:val="1A1A1A"/>
          <w:sz w:val="21"/>
          <w:szCs w:val="21"/>
        </w:rPr>
        <w:t xml:space="preserve">The disparity is mostly regional.</w:t>
      </w:r>
      <w:r>
        <w:rPr>
          <w:rFonts w:ascii="Cambria" w:cs="Cambria" w:eastAsia="Cambria" w:hAnsi="Cambria"/>
          <w:color w:val="1A1A1A"/>
          <w:sz w:val="21"/>
          <w:szCs w:val="21"/>
        </w:rPr>
        <w:t xml:space="preserve"> Comparing counties only against others in the same state, the effect shrinks about nine-fold but remains statistically real (</w:t>
      </w:r>
      <w:r>
        <w:rPr>
          <w:rFonts w:ascii="Cambria" w:cs="Cambria" w:eastAsia="Cambria" w:hAnsi="Cambria"/>
          <w:b/>
          <w:bCs/>
          <w:color w:val="1A1A1A"/>
          <w:sz w:val="21"/>
          <w:szCs w:val="21"/>
        </w:rPr>
        <w:t xml:space="preserve">t = +2.63</w:t>
      </w:r>
      <w:r>
        <w:rPr>
          <w:rFonts w:ascii="Cambria" w:cs="Cambria" w:eastAsia="Cambria" w:hAnsi="Cambria"/>
          <w:color w:val="1A1A1A"/>
          <w:sz w:val="21"/>
          <w:szCs w:val="21"/>
        </w:rPr>
        <w:t xml:space="preserve">, clustered). </w:t>
      </w:r>
      <w:r>
        <w:rPr>
          <w:rFonts w:ascii="Cambria" w:cs="Cambria" w:eastAsia="Cambria" w:hAnsi="Cambria"/>
          <w:b/>
          <w:bCs/>
          <w:color w:val="1A1A1A"/>
          <w:sz w:val="21"/>
          <w:szCs w:val="21"/>
        </w:rPr>
        <w:t xml:space="preserve">About 95% of the gap comes from Black Americans being concentrated in the high-priced regions</w:t>
      </w:r>
      <w:r>
        <w:rPr>
          <w:rFonts w:ascii="Cambria" w:cs="Cambria" w:eastAsia="Cambria" w:hAnsi="Cambria"/>
          <w:color w:val="1A1A1A"/>
          <w:sz w:val="21"/>
          <w:szCs w:val="21"/>
        </w:rPr>
        <w:t xml:space="preserve"> — chiefly the South, but also the Northeastern metros — and about 5% is a within-state gradient where Black areas pay more than white areas in the same state. That split is the heart of the theory: the rule does not single out Black neighborhoods; it prices whole regions where Black Americans disproportionately live. Disparate impact by geography, not by targeting.</w:t>
      </w:r>
    </w:p>
    <w:p>
      <w:pPr>
        <w:spacing w:after="140" w:line="276"/>
      </w:pPr>
      <w:r>
        <w:rPr>
          <w:rFonts w:ascii="Cambria" w:cs="Cambria" w:eastAsia="Cambria" w:hAnsi="Cambria"/>
          <w:color w:val="555555"/>
          <w:sz w:val="20"/>
          <w:szCs w:val="20"/>
        </w:rPr>
        <w:t xml:space="preserve">Sources: differentials from USDA's Final Decision workbook (effective values, incl. the FO 5/6/7 Southeast adjustment), cross-checked against 7 CFR 1000.52 (current eCFR) and the 2024 CFR edition. Amendment 90 FR 6605 (eff. Jan. 17, 2025), amending the 1999 original, 64 FR 70869. Cost surface: Hearing Exhibit MIG-16A.</w:t>
      </w:r>
    </w:p>
    <w:p>
      <w:pPr>
        <w:pStyle w:val="Heading2"/>
        <w:spacing w:after="150" w:before="340"/>
      </w:pPr>
      <w:r>
        <w:rPr>
          <w:rFonts w:ascii="Calibri" w:cs="Calibri" w:eastAsia="Calibri" w:hAnsi="Calibri"/>
          <w:b/>
          <w:bCs/>
          <w:color w:val="1B4A6B"/>
          <w:sz w:val="26"/>
          <w:szCs w:val="26"/>
        </w:rPr>
        <w:t xml:space="preserve">3. The rule is race-blind at the local level — the burden is entirely regional</w:t>
      </w:r>
    </w:p>
    <w:p>
      <w:pPr>
        <w:spacing w:after="140" w:line="276"/>
      </w:pPr>
      <w:r>
        <w:rPr>
          <w:rFonts w:ascii="Cambria" w:cs="Cambria" w:eastAsia="Cambria" w:hAnsi="Cambria"/>
          <w:color w:val="1A1A1A"/>
          <w:sz w:val="21"/>
          <w:szCs w:val="21"/>
        </w:rPr>
        <w:t xml:space="preserve">This is the clearest evidence that the impact is impact and not treatment: within any single metropolitan area the floor is identical regardless of racial composition.</w:t>
      </w:r>
    </w:p>
    <w:tbl>
      <w:tblPr>
        <w:tblW w:type="dxa" w:w="9360"/>
        <w:tblBorders>
          <w:top w:val="single" w:color="9AA7B2" w:sz="6"/>
          <w:left w:val="none" w:color="FFFFFF" w:sz="0"/>
          <w:bottom w:val="single" w:color="9AA7B2" w:sz="6"/>
          <w:right w:val="none" w:color="FFFFFF" w:sz="0"/>
          <w:insideH w:val="single" w:color="D6DDE3" w:sz="2"/>
          <w:insideV w:val="none" w:color="FFFFFF" w:sz="0"/>
        </w:tblBorders>
      </w:tblPr>
      <w:tblGrid>
        <w:gridCol w:w="2434"/>
        <w:gridCol w:w="4118"/>
        <w:gridCol w:w="2808"/>
      </w:tblGrid>
      <w:tr>
        <w:trPr>
          <w:tblHeader/>
        </w:trPr>
        <w:tc>
          <w:tcPr>
            <w:tcW w:type="dxa" w:w="2434"/>
            <w:shd w:fill="EDF1F5" w:color="auto" w:val="clear"/>
            <w:tcMar>
              <w:top w:type="dxa" w:w="70"/>
              <w:left w:type="dxa" w:w="110"/>
              <w:bottom w:type="dxa" w:w="70"/>
              <w:right w:type="dxa" w:w="110"/>
            </w:tcMar>
          </w:tcPr>
          <w:p>
            <w:pPr>
              <w:spacing w:after="0" w:line="250"/>
            </w:pPr>
            <w:r>
              <w:rPr>
                <w:rFonts w:ascii="Calibri" w:cs="Calibri" w:eastAsia="Calibri" w:hAnsi="Calibri"/>
                <w:b/>
                <w:bCs/>
                <w:color w:val="1A1A1A"/>
                <w:sz w:val="17"/>
                <w:szCs w:val="17"/>
              </w:rPr>
              <w:t xml:space="preserve">Metro</w:t>
            </w:r>
          </w:p>
        </w:tc>
        <w:tc>
          <w:tcPr>
            <w:tcW w:type="dxa" w:w="4118"/>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County (% Black)</w:t>
            </w:r>
          </w:p>
        </w:tc>
        <w:tc>
          <w:tcPr>
            <w:tcW w:type="dxa" w:w="2808"/>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Class I differential</w:t>
            </w:r>
          </w:p>
        </w:tc>
      </w:tr>
      <w:tr>
        <w:tc>
          <w:tcPr>
            <w:tcW w:type="dxa" w:w="2434"/>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Washington, D.C.</w:t>
            </w:r>
          </w:p>
        </w:tc>
        <w:tc>
          <w:tcPr>
            <w:tcW w:type="dxa" w:w="411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Prince George's, MD (59%)</w:t>
            </w:r>
          </w:p>
        </w:tc>
        <w:tc>
          <w:tcPr>
            <w:tcW w:type="dxa" w:w="280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$4.60</w:t>
            </w:r>
          </w:p>
        </w:tc>
      </w:tr>
      <w:tr>
        <w:tc>
          <w:tcPr>
            <w:tcW w:type="dxa" w:w="2434"/>
            <w:tcMar>
              <w:top w:type="dxa" w:w="70"/>
              <w:left w:type="dxa" w:w="110"/>
              <w:bottom w:type="dxa" w:w="70"/>
              <w:right w:type="dxa" w:w="110"/>
            </w:tcMar>
          </w:tcPr>
          <w:p>
            <w:pPr>
              <w:spacing w:after="0" w:line="250"/>
            </w:pPr>
          </w:p>
        </w:tc>
        <w:tc>
          <w:tcPr>
            <w:tcW w:type="dxa" w:w="411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Fairfax, VA (10%)</w:t>
            </w:r>
          </w:p>
        </w:tc>
        <w:tc>
          <w:tcPr>
            <w:tcW w:type="dxa" w:w="280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$4.60</w:t>
            </w:r>
          </w:p>
        </w:tc>
      </w:tr>
      <w:tr>
        <w:tc>
          <w:tcPr>
            <w:tcW w:type="dxa" w:w="2434"/>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Memphis</w:t>
            </w:r>
          </w:p>
        </w:tc>
        <w:tc>
          <w:tcPr>
            <w:tcW w:type="dxa" w:w="411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Shelby, TN (53%)</w:t>
            </w:r>
          </w:p>
        </w:tc>
        <w:tc>
          <w:tcPr>
            <w:tcW w:type="dxa" w:w="280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$4.60</w:t>
            </w:r>
          </w:p>
        </w:tc>
      </w:tr>
      <w:tr>
        <w:tc>
          <w:tcPr>
            <w:tcW w:type="dxa" w:w="2434"/>
            <w:tcMar>
              <w:top w:type="dxa" w:w="70"/>
              <w:left w:type="dxa" w:w="110"/>
              <w:bottom w:type="dxa" w:w="70"/>
              <w:right w:type="dxa" w:w="110"/>
            </w:tcMar>
          </w:tcPr>
          <w:p>
            <w:pPr>
              <w:spacing w:after="0" w:line="250"/>
            </w:pPr>
          </w:p>
        </w:tc>
        <w:tc>
          <w:tcPr>
            <w:tcW w:type="dxa" w:w="411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DeSoto, MS (32%)</w:t>
            </w:r>
          </w:p>
        </w:tc>
        <w:tc>
          <w:tcPr>
            <w:tcW w:type="dxa" w:w="280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$4.60</w:t>
            </w:r>
          </w:p>
        </w:tc>
      </w:tr>
      <w:tr>
        <w:tc>
          <w:tcPr>
            <w:tcW w:type="dxa" w:w="2434"/>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St. Louis</w:t>
            </w:r>
          </w:p>
        </w:tc>
        <w:tc>
          <w:tcPr>
            <w:tcW w:type="dxa" w:w="411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St. Louis city (43%)</w:t>
            </w:r>
          </w:p>
        </w:tc>
        <w:tc>
          <w:tcPr>
            <w:tcW w:type="dxa" w:w="280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$3.60</w:t>
            </w:r>
          </w:p>
        </w:tc>
      </w:tr>
      <w:tr>
        <w:tc>
          <w:tcPr>
            <w:tcW w:type="dxa" w:w="2434"/>
            <w:tcMar>
              <w:top w:type="dxa" w:w="70"/>
              <w:left w:type="dxa" w:w="110"/>
              <w:bottom w:type="dxa" w:w="70"/>
              <w:right w:type="dxa" w:w="110"/>
            </w:tcMar>
          </w:tcPr>
          <w:p>
            <w:pPr>
              <w:spacing w:after="0" w:line="250"/>
            </w:pPr>
          </w:p>
        </w:tc>
        <w:tc>
          <w:tcPr>
            <w:tcW w:type="dxa" w:w="411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Madison, IL (9%)</w:t>
            </w:r>
          </w:p>
        </w:tc>
        <w:tc>
          <w:tcPr>
            <w:tcW w:type="dxa" w:w="280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$3.60</w:t>
            </w:r>
          </w:p>
        </w:tc>
      </w:tr>
    </w:tbl>
    <w:p>
      <w:pPr>
        <w:spacing w:after="110"/>
      </w:pPr>
    </w:p>
    <w:p>
      <w:pPr>
        <w:spacing w:after="140" w:line="276"/>
      </w:pPr>
      <w:r>
        <w:rPr>
          <w:rFonts w:ascii="Cambria" w:cs="Cambria" w:eastAsia="Cambria" w:hAnsi="Cambria"/>
          <w:color w:val="1A1A1A"/>
          <w:sz w:val="21"/>
          <w:szCs w:val="21"/>
        </w:rPr>
        <w:t xml:space="preserve">A 59%-Black county pays exactly what the 10%-Black county beside it pays. The differential does not — and structurally cannot — distinguish a Black neighborhood from a white one across a county line; it varies only at regional scale. The racial burden arises solely because Black Americans are concentrated in the high-differential regions.</w:t>
      </w:r>
    </w:p>
    <w:p>
      <w:pPr>
        <w:spacing w:after="140" w:line="276"/>
      </w:pPr>
      <w:r>
        <w:rPr>
          <w:rFonts w:ascii="Cambria" w:cs="Cambria" w:eastAsia="Cambria" w:hAnsi="Cambria"/>
          <w:b/>
          <w:bCs/>
          <w:color w:val="1A1A1A"/>
          <w:sz w:val="21"/>
          <w:szCs w:val="21"/>
        </w:rPr>
        <w:t xml:space="preserve">Independent corroboration, new in this revision.</w:t>
      </w:r>
      <w:r>
        <w:rPr>
          <w:rFonts w:ascii="Cambria" w:cs="Cambria" w:eastAsia="Cambria" w:hAnsi="Cambria"/>
          <w:color w:val="1A1A1A"/>
          <w:sz w:val="21"/>
          <w:szCs w:val="21"/>
        </w:rPr>
        <w:t xml:space="preserve"> The same holds for </w:t>
      </w:r>
      <w:r>
        <w:rPr>
          <w:rFonts w:ascii="Cambria" w:cs="Cambria" w:eastAsia="Cambria" w:hAnsi="Cambria"/>
          <w:i/>
          <w:iCs/>
          <w:color w:val="1A1A1A"/>
          <w:sz w:val="21"/>
          <w:szCs w:val="21"/>
        </w:rPr>
        <w:t xml:space="preserve">retail</w:t>
      </w:r>
      <w:r>
        <w:rPr>
          <w:rFonts w:ascii="Cambria" w:cs="Cambria" w:eastAsia="Cambria" w:hAnsi="Cambria"/>
          <w:color w:val="1A1A1A"/>
          <w:sz w:val="21"/>
          <w:szCs w:val="21"/>
        </w:rPr>
        <w:t xml:space="preserve"> prices in a single metro. Across 71 Walmart stores in metropolitan Atlanta, comparing 30 ZIP codes that are 30% or more Black against 13 that are under 10%, the milk price gap is </w:t>
      </w:r>
      <w:r>
        <w:rPr>
          <w:rFonts w:ascii="Cambria" w:cs="Cambria" w:eastAsia="Cambria" w:hAnsi="Cambria"/>
          <w:b/>
          <w:bCs/>
          <w:color w:val="1A1A1A"/>
          <w:sz w:val="21"/>
          <w:szCs w:val="21"/>
        </w:rPr>
        <w:t xml:space="preserve">−2.9¢/gallon (p = 0.65)</w:t>
      </w:r>
      <w:r>
        <w:rPr>
          <w:rFonts w:ascii="Cambria" w:cs="Cambria" w:eastAsia="Cambria" w:hAnsi="Cambria"/>
          <w:color w:val="1A1A1A"/>
          <w:sz w:val="21"/>
          <w:szCs w:val="21"/>
        </w:rPr>
        <w:t xml:space="preserve"> — a precise zero in the best-powered test available. This is why §9 of the September version is withdrawn, and it reinforces §3: at the local level, neither the federal floor nor the shelf price tracks race.</w:t>
      </w:r>
    </w:p>
    <w:p>
      <w:pPr>
        <w:pStyle w:val="Heading2"/>
        <w:spacing w:after="150" w:before="340"/>
      </w:pPr>
      <w:r>
        <w:rPr>
          <w:rFonts w:ascii="Calibri" w:cs="Calibri" w:eastAsia="Calibri" w:hAnsi="Calibri"/>
          <w:b/>
          <w:bCs/>
          <w:color w:val="1B4A6B"/>
          <w:sz w:val="26"/>
          <w:szCs w:val="26"/>
        </w:rPr>
        <w:t xml:space="preserve">4. Where the within-state gradient concentrates</w:t>
      </w:r>
    </w:p>
    <w:p>
      <w:pPr>
        <w:spacing w:after="140" w:line="276"/>
      </w:pPr>
      <w:r>
        <w:rPr>
          <w:rFonts w:ascii="Cambria" w:cs="Cambria" w:eastAsia="Cambria" w:hAnsi="Cambria"/>
          <w:color w:val="1A1A1A"/>
          <w:sz w:val="21"/>
          <w:szCs w:val="21"/>
        </w:rPr>
        <w:t xml:space="preserve">Within-state gradient in the 2025 differential, with standard errors clustered on the differential zone — the correction described at the front. “Zones” is the number of distinct differential values in the state, which is the number of independent observations the regression actually has:</w:t>
      </w:r>
    </w:p>
    <w:tbl>
      <w:tblPr>
        <w:tblW w:type="dxa" w:w="9360"/>
        <w:tblBorders>
          <w:top w:val="single" w:color="9AA7B2" w:sz="6"/>
          <w:left w:val="none" w:color="FFFFFF" w:sz="0"/>
          <w:bottom w:val="single" w:color="9AA7B2" w:sz="6"/>
          <w:right w:val="none" w:color="FFFFFF" w:sz="0"/>
          <w:insideH w:val="single" w:color="D6DDE3" w:sz="2"/>
          <w:insideV w:val="none" w:color="FFFFFF" w:sz="0"/>
        </w:tblBorders>
      </w:tblPr>
      <w:tblGrid>
        <w:gridCol w:w="1872"/>
        <w:gridCol w:w="1030"/>
        <w:gridCol w:w="936"/>
        <w:gridCol w:w="1404"/>
        <w:gridCol w:w="1498"/>
        <w:gridCol w:w="1310"/>
        <w:gridCol w:w="1310"/>
      </w:tblGrid>
      <w:tr>
        <w:trPr>
          <w:tblHeader/>
        </w:trPr>
        <w:tc>
          <w:tcPr>
            <w:tcW w:type="dxa" w:w="1872"/>
            <w:shd w:fill="EDF1F5" w:color="auto" w:val="clear"/>
            <w:tcMar>
              <w:top w:type="dxa" w:w="70"/>
              <w:left w:type="dxa" w:w="110"/>
              <w:bottom w:type="dxa" w:w="70"/>
              <w:right w:type="dxa" w:w="110"/>
            </w:tcMar>
          </w:tcPr>
          <w:p>
            <w:pPr>
              <w:spacing w:after="0" w:line="250"/>
            </w:pPr>
            <w:r>
              <w:rPr>
                <w:rFonts w:ascii="Calibri" w:cs="Calibri" w:eastAsia="Calibri" w:hAnsi="Calibri"/>
                <w:b/>
                <w:bCs/>
                <w:color w:val="1A1A1A"/>
                <w:sz w:val="17"/>
                <w:szCs w:val="17"/>
              </w:rPr>
              <w:t xml:space="preserve">State</w:t>
            </w:r>
          </w:p>
        </w:tc>
        <w:tc>
          <w:tcPr>
            <w:tcW w:type="dxa" w:w="1030"/>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Counties</w:t>
            </w:r>
          </w:p>
        </w:tc>
        <w:tc>
          <w:tcPr>
            <w:tcW w:type="dxa" w:w="936"/>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Zones</w:t>
            </w:r>
          </w:p>
        </w:tc>
        <w:tc>
          <w:tcPr>
            <w:tcW w:type="dxa" w:w="1404"/>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Coef $/cwt</w:t>
            </w:r>
          </w:p>
        </w:tc>
        <w:tc>
          <w:tcPr>
            <w:tcW w:type="dxa" w:w="1498"/>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¢/gal per pt</w:t>
            </w:r>
          </w:p>
        </w:tc>
        <w:tc>
          <w:tcPr>
            <w:tcW w:type="dxa" w:w="1310"/>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t clustered</w:t>
            </w:r>
          </w:p>
        </w:tc>
        <w:tc>
          <w:tcPr>
            <w:tcW w:type="dxa" w:w="1310"/>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Sept. t</w:t>
            </w:r>
          </w:p>
        </w:tc>
      </w:tr>
      <w:tr>
        <w:tc>
          <w:tcPr>
            <w:tcW w:type="dxa" w:w="1872"/>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New York</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62</w:t>
            </w:r>
          </w:p>
        </w:tc>
        <w:tc>
          <w:tcPr>
            <w:tcW w:type="dxa" w:w="93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8</w:t>
            </w:r>
          </w:p>
        </w:tc>
        <w:tc>
          <w:tcPr>
            <w:tcW w:type="dxa" w:w="1404"/>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+0.0493</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+0.42</w:t>
            </w:r>
          </w:p>
        </w:tc>
        <w:tc>
          <w:tcPr>
            <w:tcW w:type="dxa" w:w="1310"/>
            <w:tcMar>
              <w:top w:type="dxa" w:w="70"/>
              <w:left w:type="dxa" w:w="110"/>
              <w:bottom w:type="dxa" w:w="70"/>
              <w:right w:type="dxa" w:w="110"/>
            </w:tcMar>
          </w:tcPr>
          <w:p>
            <w:pPr>
              <w:spacing w:after="0" w:line="250"/>
              <w:jc w:val="right"/>
            </w:pPr>
            <w:r>
              <w:rPr>
                <w:rFonts w:ascii="Calibri" w:cs="Calibri" w:eastAsia="Calibri" w:hAnsi="Calibri"/>
                <w:b/>
                <w:bCs/>
                <w:color w:val="2F6E4E"/>
                <w:sz w:val="18"/>
                <w:szCs w:val="18"/>
              </w:rPr>
              <w:t xml:space="preserve">+9.22</w:t>
            </w:r>
          </w:p>
        </w:tc>
        <w:tc>
          <w:tcPr>
            <w:tcW w:type="dxa" w:w="131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7.4</w:t>
            </w:r>
          </w:p>
        </w:tc>
      </w:tr>
      <w:tr>
        <w:tc>
          <w:tcPr>
            <w:tcW w:type="dxa" w:w="1872"/>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Pennsylvania</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67</w:t>
            </w:r>
          </w:p>
        </w:tc>
        <w:tc>
          <w:tcPr>
            <w:tcW w:type="dxa" w:w="93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8</w:t>
            </w:r>
          </w:p>
        </w:tc>
        <w:tc>
          <w:tcPr>
            <w:tcW w:type="dxa" w:w="1404"/>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+0.0135</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+0.12</w:t>
            </w:r>
          </w:p>
        </w:tc>
        <w:tc>
          <w:tcPr>
            <w:tcW w:type="dxa" w:w="1310"/>
            <w:tcMar>
              <w:top w:type="dxa" w:w="70"/>
              <w:left w:type="dxa" w:w="110"/>
              <w:bottom w:type="dxa" w:w="70"/>
              <w:right w:type="dxa" w:w="110"/>
            </w:tcMar>
          </w:tcPr>
          <w:p>
            <w:pPr>
              <w:spacing w:after="0" w:line="250"/>
              <w:jc w:val="right"/>
            </w:pPr>
            <w:r>
              <w:rPr>
                <w:rFonts w:ascii="Calibri" w:cs="Calibri" w:eastAsia="Calibri" w:hAnsi="Calibri"/>
                <w:b/>
                <w:bCs/>
                <w:color w:val="2F6E4E"/>
                <w:sz w:val="18"/>
                <w:szCs w:val="18"/>
              </w:rPr>
              <w:t xml:space="preserve">+5.62</w:t>
            </w:r>
          </w:p>
        </w:tc>
        <w:tc>
          <w:tcPr>
            <w:tcW w:type="dxa" w:w="131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13.5</w:t>
            </w:r>
          </w:p>
        </w:tc>
      </w:tr>
      <w:tr>
        <w:tc>
          <w:tcPr>
            <w:tcW w:type="dxa" w:w="1872"/>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Arkansas</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75</w:t>
            </w:r>
          </w:p>
        </w:tc>
        <w:tc>
          <w:tcPr>
            <w:tcW w:type="dxa" w:w="93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7</w:t>
            </w:r>
          </w:p>
        </w:tc>
        <w:tc>
          <w:tcPr>
            <w:tcW w:type="dxa" w:w="1404"/>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+0.0169</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+0.15</w:t>
            </w:r>
          </w:p>
        </w:tc>
        <w:tc>
          <w:tcPr>
            <w:tcW w:type="dxa" w:w="1310"/>
            <w:tcMar>
              <w:top w:type="dxa" w:w="70"/>
              <w:left w:type="dxa" w:w="110"/>
              <w:bottom w:type="dxa" w:w="70"/>
              <w:right w:type="dxa" w:w="110"/>
            </w:tcMar>
          </w:tcPr>
          <w:p>
            <w:pPr>
              <w:spacing w:after="0" w:line="250"/>
              <w:jc w:val="right"/>
            </w:pPr>
            <w:r>
              <w:rPr>
                <w:rFonts w:ascii="Calibri" w:cs="Calibri" w:eastAsia="Calibri" w:hAnsi="Calibri"/>
                <w:b/>
                <w:bCs/>
                <w:color w:val="2F6E4E"/>
                <w:sz w:val="18"/>
                <w:szCs w:val="18"/>
              </w:rPr>
              <w:t xml:space="preserve">+3.68</w:t>
            </w:r>
          </w:p>
        </w:tc>
        <w:tc>
          <w:tcPr>
            <w:tcW w:type="dxa" w:w="131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14.0</w:t>
            </w:r>
          </w:p>
        </w:tc>
      </w:tr>
      <w:tr>
        <w:tc>
          <w:tcPr>
            <w:tcW w:type="dxa" w:w="1872"/>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Texas</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254</w:t>
            </w:r>
          </w:p>
        </w:tc>
        <w:tc>
          <w:tcPr>
            <w:tcW w:type="dxa" w:w="93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11</w:t>
            </w:r>
          </w:p>
        </w:tc>
        <w:tc>
          <w:tcPr>
            <w:tcW w:type="dxa" w:w="1404"/>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+0.0444</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+0.38</w:t>
            </w:r>
          </w:p>
        </w:tc>
        <w:tc>
          <w:tcPr>
            <w:tcW w:type="dxa" w:w="1310"/>
            <w:tcMar>
              <w:top w:type="dxa" w:w="70"/>
              <w:left w:type="dxa" w:w="110"/>
              <w:bottom w:type="dxa" w:w="70"/>
              <w:right w:type="dxa" w:w="110"/>
            </w:tcMar>
          </w:tcPr>
          <w:p>
            <w:pPr>
              <w:spacing w:after="0" w:line="250"/>
              <w:jc w:val="right"/>
            </w:pPr>
            <w:r>
              <w:rPr>
                <w:rFonts w:ascii="Calibri" w:cs="Calibri" w:eastAsia="Calibri" w:hAnsi="Calibri"/>
                <w:b/>
                <w:bCs/>
                <w:color w:val="2F6E4E"/>
                <w:sz w:val="18"/>
                <w:szCs w:val="18"/>
              </w:rPr>
              <w:t xml:space="preserve">+2.82</w:t>
            </w:r>
          </w:p>
        </w:tc>
        <w:tc>
          <w:tcPr>
            <w:tcW w:type="dxa" w:w="131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7.4</w:t>
            </w:r>
          </w:p>
        </w:tc>
      </w:tr>
      <w:tr>
        <w:tc>
          <w:tcPr>
            <w:tcW w:type="dxa" w:w="1872"/>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Virginia</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110</w:t>
            </w:r>
          </w:p>
        </w:tc>
        <w:tc>
          <w:tcPr>
            <w:tcW w:type="dxa" w:w="93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6</w:t>
            </w:r>
          </w:p>
        </w:tc>
        <w:tc>
          <w:tcPr>
            <w:tcW w:type="dxa" w:w="1404"/>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+0.0093</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+0.08</w:t>
            </w:r>
          </w:p>
        </w:tc>
        <w:tc>
          <w:tcPr>
            <w:tcW w:type="dxa" w:w="1310"/>
            <w:tcMar>
              <w:top w:type="dxa" w:w="70"/>
              <w:left w:type="dxa" w:w="110"/>
              <w:bottom w:type="dxa" w:w="70"/>
              <w:right w:type="dxa" w:w="110"/>
            </w:tcMar>
          </w:tcPr>
          <w:p>
            <w:pPr>
              <w:spacing w:after="0" w:line="250"/>
              <w:jc w:val="right"/>
            </w:pPr>
            <w:r>
              <w:rPr>
                <w:rFonts w:ascii="Calibri" w:cs="Calibri" w:eastAsia="Calibri" w:hAnsi="Calibri"/>
                <w:b/>
                <w:bCs/>
                <w:color w:val="2F6E4E"/>
                <w:sz w:val="18"/>
                <w:szCs w:val="18"/>
              </w:rPr>
              <w:t xml:space="preserve">+2.49</w:t>
            </w:r>
          </w:p>
        </w:tc>
        <w:tc>
          <w:tcPr>
            <w:tcW w:type="dxa" w:w="131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9.0</w:t>
            </w:r>
          </w:p>
        </w:tc>
      </w:tr>
      <w:tr>
        <w:tc>
          <w:tcPr>
            <w:tcW w:type="dxa" w:w="1872"/>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Alabama</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67</w:t>
            </w:r>
          </w:p>
        </w:tc>
        <w:tc>
          <w:tcPr>
            <w:tcW w:type="dxa" w:w="93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5</w:t>
            </w:r>
          </w:p>
        </w:tc>
        <w:tc>
          <w:tcPr>
            <w:tcW w:type="dxa" w:w="1404"/>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+0.0052</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+0.05</w:t>
            </w:r>
          </w:p>
        </w:tc>
        <w:tc>
          <w:tcPr>
            <w:tcW w:type="dxa" w:w="1310"/>
            <w:tcMar>
              <w:top w:type="dxa" w:w="70"/>
              <w:left w:type="dxa" w:w="110"/>
              <w:bottom w:type="dxa" w:w="70"/>
              <w:right w:type="dxa" w:w="110"/>
            </w:tcMar>
          </w:tcPr>
          <w:p>
            <w:pPr>
              <w:spacing w:after="0" w:line="250"/>
              <w:jc w:val="right"/>
            </w:pPr>
            <w:r>
              <w:rPr>
                <w:rFonts w:ascii="Calibri" w:cs="Calibri" w:eastAsia="Calibri" w:hAnsi="Calibri"/>
                <w:b/>
                <w:bCs/>
                <w:color w:val="2F6E4E"/>
                <w:sz w:val="18"/>
                <w:szCs w:val="18"/>
              </w:rPr>
              <w:t xml:space="preserve">+2.37</w:t>
            </w:r>
          </w:p>
        </w:tc>
        <w:tc>
          <w:tcPr>
            <w:tcW w:type="dxa" w:w="131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9.3</w:t>
            </w:r>
          </w:p>
        </w:tc>
      </w:tr>
      <w:tr>
        <w:tc>
          <w:tcPr>
            <w:tcW w:type="dxa" w:w="1872"/>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South Carolina</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46</w:t>
            </w:r>
          </w:p>
        </w:tc>
        <w:tc>
          <w:tcPr>
            <w:tcW w:type="dxa" w:w="93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3</w:t>
            </w:r>
          </w:p>
        </w:tc>
        <w:tc>
          <w:tcPr>
            <w:tcW w:type="dxa" w:w="1404"/>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+0.0050</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+0.04</w:t>
            </w:r>
          </w:p>
        </w:tc>
        <w:tc>
          <w:tcPr>
            <w:tcW w:type="dxa" w:w="1310"/>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+1.52</w:t>
            </w:r>
          </w:p>
        </w:tc>
        <w:tc>
          <w:tcPr>
            <w:tcW w:type="dxa" w:w="131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“yes”</w:t>
            </w:r>
          </w:p>
        </w:tc>
      </w:tr>
      <w:tr>
        <w:tc>
          <w:tcPr>
            <w:tcW w:type="dxa" w:w="1872"/>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Georgia</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159</w:t>
            </w:r>
          </w:p>
        </w:tc>
        <w:tc>
          <w:tcPr>
            <w:tcW w:type="dxa" w:w="93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w:t>
            </w:r>
          </w:p>
        </w:tc>
        <w:tc>
          <w:tcPr>
            <w:tcW w:type="dxa" w:w="1404"/>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+0.0030</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+0.03</w:t>
            </w:r>
          </w:p>
        </w:tc>
        <w:tc>
          <w:tcPr>
            <w:tcW w:type="dxa" w:w="1310"/>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+1.05</w:t>
            </w:r>
          </w:p>
        </w:tc>
        <w:tc>
          <w:tcPr>
            <w:tcW w:type="dxa" w:w="131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“yes”</w:t>
            </w:r>
          </w:p>
        </w:tc>
      </w:tr>
      <w:tr>
        <w:tc>
          <w:tcPr>
            <w:tcW w:type="dxa" w:w="1872"/>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Mississippi</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82</w:t>
            </w:r>
          </w:p>
        </w:tc>
        <w:tc>
          <w:tcPr>
            <w:tcW w:type="dxa" w:w="936"/>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6</w:t>
            </w:r>
          </w:p>
        </w:tc>
        <w:tc>
          <w:tcPr>
            <w:tcW w:type="dxa" w:w="1404"/>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−0.0041</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−0.04</w:t>
            </w:r>
          </w:p>
        </w:tc>
        <w:tc>
          <w:tcPr>
            <w:tcW w:type="dxa" w:w="1310"/>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−1.18</w:t>
            </w:r>
          </w:p>
        </w:tc>
        <w:tc>
          <w:tcPr>
            <w:tcW w:type="dxa" w:w="131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w:t>
            </w:r>
          </w:p>
        </w:tc>
      </w:tr>
    </w:tbl>
    <w:p>
      <w:pPr>
        <w:spacing w:after="110"/>
      </w:pPr>
    </w:p>
    <w:p>
      <w:pPr>
        <w:spacing w:after="140" w:line="276"/>
      </w:pPr>
      <w:r>
        <w:rPr>
          <w:rFonts w:ascii="Cambria" w:cs="Cambria" w:eastAsia="Cambria" w:hAnsi="Cambria"/>
          <w:b/>
          <w:bCs/>
          <w:color w:val="1A1A1A"/>
          <w:sz w:val="21"/>
          <w:szCs w:val="21"/>
        </w:rPr>
        <w:t xml:space="preserve">Six states survive; South Carolina and Georgia do not.</w:t>
      </w:r>
      <w:r>
        <w:rPr>
          <w:rFonts w:ascii="Cambria" w:cs="Cambria" w:eastAsia="Cambria" w:hAnsi="Cambria"/>
          <w:color w:val="1A1A1A"/>
          <w:sz w:val="21"/>
          <w:szCs w:val="21"/>
        </w:rPr>
        <w:t xml:space="preserve"> The September version listed “Alabama / South Carolina / Georgia … yes” and said “eight states, every t above 5.” Neither holds: only New York and Pennsylvania exceed 5, and South Carolina and Georgia fall below conventional significance once clustered. Mississippi is negative. </w:t>
      </w:r>
      <w:r>
        <w:rPr>
          <w:rFonts w:ascii="Cambria" w:cs="Cambria" w:eastAsia="Cambria" w:hAnsi="Cambria"/>
          <w:b/>
          <w:bCs/>
          <w:color w:val="1A1A1A"/>
          <w:sz w:val="21"/>
          <w:szCs w:val="21"/>
        </w:rPr>
        <w:t xml:space="preserve">The defensible claim is a robust positive within-state gradient in six states — New York, Pennsylvania, Arkansas, Texas, Virginia, Alabama — with Tennessee reversing and Florida, North Carolina, South Carolina and Georgia washing out.</w:t>
      </w:r>
    </w:p>
    <w:p>
      <w:pPr>
        <w:spacing w:after="140" w:line="276"/>
      </w:pPr>
      <w:r>
        <w:rPr>
          <w:rFonts w:ascii="Cambria" w:cs="Cambria" w:eastAsia="Cambria" w:hAnsi="Cambria"/>
          <w:color w:val="1A1A1A"/>
          <w:sz w:val="21"/>
          <w:szCs w:val="21"/>
        </w:rPr>
        <w:t xml:space="preserve">It still reaches beyond the Deep South into dairy-surplus states: in Texas the low-differential white county is literally the panhandle dairy belt; in New York the Bronx pays more than the upstate production counties. Part of that is cost-real — those metros are large consumption centers drawing milk from farther — so it does not by itself show the surface is arbitrary. §4a now quantifies how much of it is cost.</w:t>
      </w:r>
    </w:p>
    <w:p>
      <w:pPr>
        <w:pStyle w:val="Heading2"/>
        <w:spacing w:after="150" w:before="340"/>
      </w:pPr>
      <w:r>
        <w:rPr>
          <w:rFonts w:ascii="Calibri" w:cs="Calibri" w:eastAsia="Calibri" w:hAnsi="Calibri"/>
          <w:b/>
          <w:bCs/>
          <w:color w:val="1B4A6B"/>
          <w:sz w:val="26"/>
          <w:szCs w:val="26"/>
        </w:rPr>
        <w:t xml:space="preserve">4a. Is it the trucking, or is it USDA? (new)</w:t>
      </w:r>
    </w:p>
    <w:p>
      <w:pPr>
        <w:pBdr>
          <w:left w:val="single" w:color="1B4A6B" w:sz="18" w:space="10"/>
        </w:pBdr>
        <w:spacing w:after="180" w:line="276"/>
        <w:ind w:left="170"/>
      </w:pPr>
      <w:r>
        <w:rPr>
          <w:rFonts w:ascii="Cambria" w:cs="Cambria" w:eastAsia="Cambria" w:hAnsi="Cambria"/>
          <w:color w:val="1A1A1A"/>
          <w:sz w:val="21"/>
          <w:szCs w:val="21"/>
        </w:rPr>
        <w:t xml:space="preserve">Sections 1 through 4 establish that Black communities sit under higher federal milk prices. None of them establishes </w:t>
      </w:r>
      <w:r>
        <w:rPr>
          <w:rFonts w:ascii="Cambria" w:cs="Cambria" w:eastAsia="Cambria" w:hAnsi="Cambria"/>
          <w:b/>
          <w:bCs/>
          <w:color w:val="1A1A1A"/>
          <w:sz w:val="21"/>
          <w:szCs w:val="21"/>
        </w:rPr>
        <w:t xml:space="preserve">why</w:t>
      </w:r>
      <w:r>
        <w:rPr>
          <w:rFonts w:ascii="Cambria" w:cs="Cambria" w:eastAsia="Cambria" w:hAnsi="Cambria"/>
          <w:color w:val="1A1A1A"/>
          <w:sz w:val="21"/>
          <w:szCs w:val="21"/>
        </w:rPr>
        <w:t xml:space="preserve">. The government's answer will be that milk is heavy and perishable, that it genuinely costs more to deliver to the Southeast and the coastal cities, and that Black Americans happen to live in those places. Until now that answer could only be argued about. It can now be measured, and this section measures it.</w:t>
      </w:r>
    </w:p>
    <w:p>
      <w:pPr>
        <w:spacing w:after="140" w:line="276"/>
      </w:pPr>
      <w:r>
        <w:rPr>
          <w:rFonts w:ascii="Cambria" w:cs="Cambria" w:eastAsia="Cambria" w:hAnsi="Cambria"/>
          <w:b/>
          <w:bCs/>
          <w:color w:val="1A1A1A"/>
          <w:sz w:val="21"/>
          <w:szCs w:val="21"/>
        </w:rPr>
        <w:t xml:space="preserve">What changed.</w:t>
      </w:r>
      <w:r>
        <w:rPr>
          <w:rFonts w:ascii="Cambria" w:cs="Cambria" w:eastAsia="Cambria" w:hAnsi="Cambria"/>
          <w:color w:val="1A1A1A"/>
          <w:sz w:val="21"/>
          <w:szCs w:val="21"/>
        </w:rPr>
        <w:t xml:space="preserve"> USDA does not set these prices by hand. It runs a freight model — the U.S. Dairy Sector Simulator — that calculates the cheapest way to move raw milk from farms to bottling plants and finished milk to consumers, accounting for road networks, state truck weight limits, plant capacity, and regional fuel and labor costs. The model has no demographic input of any kind. What it produces is a dollar figure for milk in every county in the country: a pure cost map.</w:t>
      </w:r>
    </w:p>
    <w:p>
      <w:pPr>
        <w:spacing w:after="140" w:line="276"/>
      </w:pPr>
      <w:r>
        <w:rPr>
          <w:rFonts w:ascii="Cambria" w:cs="Cambria" w:eastAsia="Cambria" w:hAnsi="Cambria"/>
          <w:color w:val="1A1A1A"/>
          <w:sz w:val="21"/>
          <w:szCs w:val="21"/>
        </w:rPr>
        <w:t xml:space="preserve">That map was filed at the national rulemaking hearing as </w:t>
      </w:r>
      <w:r>
        <w:rPr>
          <w:rFonts w:ascii="Cambria" w:cs="Cambria" w:eastAsia="Cambria" w:hAnsi="Cambria"/>
          <w:b/>
          <w:bCs/>
          <w:color w:val="1A1A1A"/>
          <w:sz w:val="21"/>
          <w:szCs w:val="21"/>
        </w:rPr>
        <w:t xml:space="preserve">Exhibit MIG-16A</w:t>
      </w:r>
      <w:r>
        <w:rPr>
          <w:rFonts w:ascii="Cambria" w:cs="Cambria" w:eastAsia="Cambria" w:hAnsi="Cambria"/>
          <w:color w:val="1A1A1A"/>
          <w:sz w:val="21"/>
          <w:szCs w:val="21"/>
        </w:rPr>
        <w:t xml:space="preserve"> — 3,085 counties, sponsored by one of the two economists who maintain the model, and admitted into evidence (</w:t>
      </w:r>
      <w:r>
        <w:rPr>
          <w:rFonts w:ascii="Cambria" w:cs="Cambria" w:eastAsia="Cambria" w:hAnsi="Cambria"/>
          <w:i/>
          <w:iCs/>
          <w:color w:val="1A1A1A"/>
          <w:sz w:val="21"/>
          <w:szCs w:val="21"/>
        </w:rPr>
        <w:t xml:space="preserve">Ruling: Record Exhibits</w:t>
      </w:r>
      <w:r>
        <w:rPr>
          <w:rFonts w:ascii="Cambria" w:cs="Cambria" w:eastAsia="Cambria" w:hAnsi="Cambria"/>
          <w:color w:val="1A1A1A"/>
          <w:sz w:val="21"/>
          <w:szCs w:val="21"/>
        </w:rPr>
        <w:t xml:space="preserve">, AO Docket 23-J-0067, 22 March 2024). These are the government's own cost figures, entered by their own author, unopposed. The rule and the cost map can now be laid side by side, county by county.</w:t>
      </w:r>
    </w:p>
    <w:p>
      <w:pPr>
        <w:spacing w:after="140" w:line="276"/>
      </w:pPr>
      <w:r>
        <w:rPr>
          <w:rFonts w:ascii="Cambria" w:cs="Cambria" w:eastAsia="Cambria" w:hAnsi="Cambria"/>
          <w:b/>
          <w:bCs/>
          <w:color w:val="1A1A1A"/>
          <w:sz w:val="21"/>
          <w:szCs w:val="21"/>
        </w:rPr>
        <w:t xml:space="preserve">How to read what follows.</w:t>
      </w:r>
      <w:r>
        <w:rPr>
          <w:rFonts w:ascii="Cambria" w:cs="Cambria" w:eastAsia="Cambria" w:hAnsi="Cambria"/>
          <w:color w:val="1A1A1A"/>
          <w:sz w:val="21"/>
          <w:szCs w:val="21"/>
        </w:rPr>
        <w:t xml:space="preserve"> We ask the cost map the same question Section 1 asks of the rule: how much more per gallon does the average Black resident face than the average white resident, given where each group lives? If the cost map answers zero, the disparity is USDA's doing. If it answers the same as the rule, the disparity is freight.</w:t>
      </w:r>
    </w:p>
    <w:tbl>
      <w:tblPr>
        <w:tblW w:type="dxa" w:w="9360"/>
        <w:tblBorders>
          <w:top w:val="single" w:color="9AA7B2" w:sz="6"/>
          <w:left w:val="none" w:color="FFFFFF" w:sz="0"/>
          <w:bottom w:val="single" w:color="9AA7B2" w:sz="6"/>
          <w:right w:val="none" w:color="FFFFFF" w:sz="0"/>
          <w:insideH w:val="single" w:color="D6DDE3" w:sz="2"/>
          <w:insideV w:val="none" w:color="FFFFFF" w:sz="0"/>
        </w:tblBorders>
      </w:tblPr>
      <w:tblGrid>
        <w:gridCol w:w="2808"/>
        <w:gridCol w:w="2621"/>
        <w:gridCol w:w="1872"/>
        <w:gridCol w:w="2059"/>
      </w:tblGrid>
      <w:tr>
        <w:trPr>
          <w:tblHeader/>
        </w:trPr>
        <w:tc>
          <w:tcPr>
            <w:tcW w:type="dxa" w:w="2808"/>
            <w:shd w:fill="EDF1F5" w:color="auto" w:val="clear"/>
            <w:tcMar>
              <w:top w:type="dxa" w:w="70"/>
              <w:left w:type="dxa" w:w="110"/>
              <w:bottom w:type="dxa" w:w="70"/>
              <w:right w:type="dxa" w:w="110"/>
            </w:tcMar>
          </w:tcPr>
          <w:p>
            <w:pPr>
              <w:spacing w:after="0" w:line="250"/>
            </w:pPr>
            <w:r>
              <w:rPr>
                <w:rFonts w:ascii="Calibri" w:cs="Calibri" w:eastAsia="Calibri" w:hAnsi="Calibri"/>
                <w:b/>
                <w:bCs/>
                <w:color w:val="1A1A1A"/>
                <w:sz w:val="17"/>
                <w:szCs w:val="17"/>
              </w:rPr>
              <w:t xml:space="preserve">The map</w:t>
            </w:r>
          </w:p>
        </w:tc>
        <w:tc>
          <w:tcPr>
            <w:tcW w:type="dxa" w:w="2621"/>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What it is</w:t>
            </w:r>
          </w:p>
        </w:tc>
        <w:tc>
          <w:tcPr>
            <w:tcW w:type="dxa" w:w="1872"/>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Black–white gap</w:t>
            </w:r>
          </w:p>
        </w:tc>
        <w:tc>
          <w:tcPr>
            <w:tcW w:type="dxa" w:w="2059"/>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vs. pure freight</w:t>
            </w:r>
          </w:p>
        </w:tc>
      </w:tr>
      <w:tr>
        <w:tc>
          <w:tcPr>
            <w:tcW w:type="dxa" w:w="2808"/>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2000 differentials</w:t>
            </w:r>
          </w:p>
        </w:tc>
        <w:tc>
          <w:tcPr>
            <w:tcW w:type="dxa" w:w="2621"/>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the rule before 2008</w:t>
            </w:r>
          </w:p>
        </w:tc>
        <w:tc>
          <w:tcPr>
            <w:tcW w:type="dxa" w:w="187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2.91¢/gal</w:t>
            </w:r>
          </w:p>
        </w:tc>
        <w:tc>
          <w:tcPr>
            <w:tcW w:type="dxa" w:w="2059"/>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1.77¢ gentler</w:t>
            </w:r>
          </w:p>
        </w:tc>
      </w:tr>
      <w:tr>
        <w:tc>
          <w:tcPr>
            <w:tcW w:type="dxa" w:w="2808"/>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2008–2025 differentials</w:t>
            </w:r>
          </w:p>
        </w:tc>
        <w:tc>
          <w:tcPr>
            <w:tcW w:type="dxa" w:w="2621"/>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the rule in force for 17 years</w:t>
            </w:r>
          </w:p>
        </w:tc>
        <w:tc>
          <w:tcPr>
            <w:tcW w:type="dxa" w:w="187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3.82¢/gal</w:t>
            </w:r>
          </w:p>
        </w:tc>
        <w:tc>
          <w:tcPr>
            <w:tcW w:type="dxa" w:w="2059"/>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0.86¢ gentler</w:t>
            </w:r>
          </w:p>
        </w:tc>
      </w:tr>
      <w:tr>
        <w:tc>
          <w:tcPr>
            <w:tcW w:type="dxa" w:w="2808"/>
            <w:tcMar>
              <w:top w:type="dxa" w:w="70"/>
              <w:left w:type="dxa" w:w="110"/>
              <w:bottom w:type="dxa" w:w="70"/>
              <w:right w:type="dxa" w:w="110"/>
            </w:tcMar>
          </w:tcPr>
          <w:p>
            <w:pPr>
              <w:spacing w:after="0" w:line="250"/>
            </w:pPr>
            <w:r>
              <w:rPr>
                <w:rFonts w:ascii="Calibri" w:cs="Calibri" w:eastAsia="Calibri" w:hAnsi="Calibri"/>
                <w:b/>
                <w:bCs/>
                <w:color w:val="1A1A1A"/>
                <w:sz w:val="18"/>
                <w:szCs w:val="18"/>
              </w:rPr>
              <w:t xml:space="preserve">The freight model</w:t>
            </w:r>
          </w:p>
        </w:tc>
        <w:tc>
          <w:tcPr>
            <w:tcW w:type="dxa" w:w="2621"/>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what trucking cost alone produces</w:t>
            </w:r>
          </w:p>
        </w:tc>
        <w:tc>
          <w:tcPr>
            <w:tcW w:type="dxa" w:w="1872"/>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4.68¢/gal</w:t>
            </w:r>
          </w:p>
        </w:tc>
        <w:tc>
          <w:tcPr>
            <w:tcW w:type="dxa" w:w="2059"/>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 the benchmark</w:t>
            </w:r>
          </w:p>
        </w:tc>
      </w:tr>
      <w:tr>
        <w:tc>
          <w:tcPr>
            <w:tcW w:type="dxa" w:w="2808"/>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2025 differentials</w:t>
            </w:r>
          </w:p>
        </w:tc>
        <w:tc>
          <w:tcPr>
            <w:tcW w:type="dxa" w:w="2621"/>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the rule USDA adopted</w:t>
            </w:r>
          </w:p>
        </w:tc>
        <w:tc>
          <w:tcPr>
            <w:tcW w:type="dxa" w:w="187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5.59¢/gal</w:t>
            </w:r>
          </w:p>
        </w:tc>
        <w:tc>
          <w:tcPr>
            <w:tcW w:type="dxa" w:w="2059"/>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0.91¢ harsher</w:t>
            </w:r>
          </w:p>
        </w:tc>
      </w:tr>
    </w:tbl>
    <w:p>
      <w:pPr>
        <w:spacing w:after="110"/>
      </w:pPr>
    </w:p>
    <w:p>
      <w:pPr>
        <w:spacing w:after="140" w:line="276"/>
      </w:pPr>
      <w:r>
        <w:rPr>
          <w:rFonts w:ascii="Cambria" w:cs="Cambria" w:eastAsia="Cambria" w:hAnsi="Cambria"/>
          <w:b/>
          <w:bCs/>
          <w:color w:val="1A1A1A"/>
          <w:sz w:val="21"/>
          <w:szCs w:val="21"/>
        </w:rPr>
        <w:t xml:space="preserve">The first finding, and it goes against us.</w:t>
      </w:r>
      <w:r>
        <w:rPr>
          <w:rFonts w:ascii="Cambria" w:cs="Cambria" w:eastAsia="Cambria" w:hAnsi="Cambria"/>
          <w:color w:val="1A1A1A"/>
          <w:sz w:val="21"/>
          <w:szCs w:val="21"/>
        </w:rPr>
        <w:t xml:space="preserve"> Pure freight produces a 4.68¢ gap. The rule actually in force from 2008 to 2025 produced 3.82¢. The real rule was therefore </w:t>
      </w:r>
      <w:r>
        <w:rPr>
          <w:rFonts w:ascii="Cambria" w:cs="Cambria" w:eastAsia="Cambria" w:hAnsi="Cambria"/>
          <w:b/>
          <w:bCs/>
          <w:color w:val="1A1A1A"/>
          <w:sz w:val="21"/>
          <w:szCs w:val="21"/>
        </w:rPr>
        <w:t xml:space="preserve">gentler than trucking costs alone would have been</w:t>
      </w:r>
      <w:r>
        <w:rPr>
          <w:rFonts w:ascii="Cambria" w:cs="Cambria" w:eastAsia="Cambria" w:hAnsi="Cambria"/>
          <w:color w:val="1A1A1A"/>
          <w:sz w:val="21"/>
          <w:szCs w:val="21"/>
        </w:rPr>
        <w:t xml:space="preserve">, by roughly a penny a gallon. For that seventeen-year period the cost-of-service defense is not a pretext — it is accurate, and USDA can prove it with a document already sitting in its own hearing record. </w:t>
      </w:r>
      <w:r>
        <w:rPr>
          <w:rFonts w:ascii="Cambria" w:cs="Cambria" w:eastAsia="Cambria" w:hAnsi="Cambria"/>
          <w:b/>
          <w:bCs/>
          <w:color w:val="1A1A1A"/>
          <w:sz w:val="21"/>
          <w:szCs w:val="21"/>
        </w:rPr>
        <w:t xml:space="preserve">A claim built on the pre-2025 schedule should not be brought.</w:t>
      </w:r>
    </w:p>
    <w:p>
      <w:pPr>
        <w:spacing w:after="140" w:line="276"/>
      </w:pPr>
      <w:r>
        <w:rPr>
          <w:rFonts w:ascii="Cambria" w:cs="Cambria" w:eastAsia="Cambria" w:hAnsi="Cambria"/>
          <w:b/>
          <w:bCs/>
          <w:color w:val="1A1A1A"/>
          <w:sz w:val="21"/>
          <w:szCs w:val="21"/>
        </w:rPr>
        <w:t xml:space="preserve">The second finding, and this is the case.</w:t>
      </w:r>
      <w:r>
        <w:rPr>
          <w:rFonts w:ascii="Cambria" w:cs="Cambria" w:eastAsia="Cambria" w:hAnsi="Cambria"/>
          <w:color w:val="1A1A1A"/>
          <w:sz w:val="21"/>
          <w:szCs w:val="21"/>
        </w:rPr>
        <w:t xml:space="preserve"> The 2025 amendment is the first schedule to price </w:t>
      </w:r>
      <w:r>
        <w:rPr>
          <w:rFonts w:ascii="Cambria" w:cs="Cambria" w:eastAsia="Cambria" w:hAnsi="Cambria"/>
          <w:i/>
          <w:iCs/>
          <w:color w:val="1A1A1A"/>
          <w:sz w:val="21"/>
          <w:szCs w:val="21"/>
        </w:rPr>
        <w:t xml:space="preserve">above</w:t>
      </w:r>
      <w:r>
        <w:rPr>
          <w:rFonts w:ascii="Cambria" w:cs="Cambria" w:eastAsia="Cambria" w:hAnsi="Cambria"/>
          <w:color w:val="1A1A1A"/>
          <w:sz w:val="21"/>
          <w:szCs w:val="21"/>
        </w:rPr>
        <w:t xml:space="preserve"> freight cost — 5.59¢ against the 4.68¢ benchmark. There is also a second and arguably better way to set that benchmark: the purpose of a Class I differential is to pay a farmer enough to send milk to a bottling plant rather than to a cheese plant, so the economically correct figure is not what milk is worth at the bottling plant but the </w:t>
      </w:r>
      <w:r>
        <w:rPr>
          <w:rFonts w:ascii="Cambria" w:cs="Cambria" w:eastAsia="Cambria" w:hAnsi="Cambria"/>
          <w:i/>
          <w:iCs/>
          <w:color w:val="1A1A1A"/>
          <w:sz w:val="21"/>
          <w:szCs w:val="21"/>
        </w:rPr>
        <w:t xml:space="preserve">difference</w:t>
      </w:r>
      <w:r>
        <w:rPr>
          <w:rFonts w:ascii="Cambria" w:cs="Cambria" w:eastAsia="Cambria" w:hAnsi="Cambria"/>
          <w:color w:val="1A1A1A"/>
          <w:sz w:val="21"/>
          <w:szCs w:val="21"/>
        </w:rPr>
        <w:t xml:space="preserve"> between the two — what it takes to bid the milk away from the cheese plant. Measured that way the benchmark is 4.06¢ and the 2025 rule sits 1.53¢ above it. Either way, the 2025 amendment widened the racial gap by 1.8¢ and </w:t>
      </w:r>
      <w:r>
        <w:rPr>
          <w:rFonts w:ascii="Cambria" w:cs="Cambria" w:eastAsia="Cambria" w:hAnsi="Cambria"/>
          <w:b/>
          <w:bCs/>
          <w:color w:val="1A1A1A"/>
          <w:sz w:val="21"/>
          <w:szCs w:val="21"/>
        </w:rPr>
        <w:t xml:space="preserve">between half and five-sixths of that widening has no support in USDA's own cost figures.</w:t>
      </w:r>
    </w:p>
    <w:p>
      <w:pPr>
        <w:pStyle w:val="Heading3"/>
        <w:spacing w:after="120" w:before="250"/>
      </w:pPr>
      <w:r>
        <w:rPr>
          <w:rFonts w:ascii="Calibri" w:cs="Calibri" w:eastAsia="Calibri" w:hAnsi="Calibri"/>
          <w:b/>
          <w:bCs/>
          <w:color w:val="1A1A1A"/>
          <w:sz w:val="22"/>
          <w:szCs w:val="22"/>
        </w:rPr>
        <w:t xml:space="preserve">Where the above-freight money actually went</w:t>
      </w:r>
    </w:p>
    <w:p>
      <w:pPr>
        <w:spacing w:after="140" w:line="276"/>
      </w:pPr>
      <w:r>
        <w:rPr>
          <w:rFonts w:ascii="Cambria" w:cs="Cambria" w:eastAsia="Cambria" w:hAnsi="Cambria"/>
          <w:color w:val="1A1A1A"/>
          <w:sz w:val="21"/>
          <w:szCs w:val="21"/>
        </w:rPr>
        <w:t xml:space="preserve">This is the substance of the section, and it is regional. USDA did not mark up scattered counties. It marked up </w:t>
      </w:r>
      <w:r>
        <w:rPr>
          <w:rFonts w:ascii="Cambria" w:cs="Cambria" w:eastAsia="Cambria" w:hAnsi="Cambria"/>
          <w:b/>
          <w:bCs/>
          <w:color w:val="1A1A1A"/>
          <w:sz w:val="21"/>
          <w:szCs w:val="21"/>
        </w:rPr>
        <w:t xml:space="preserve">entire regions</w:t>
      </w:r>
      <w:r>
        <w:rPr>
          <w:rFonts w:ascii="Cambria" w:cs="Cambria" w:eastAsia="Cambria" w:hAnsi="Cambria"/>
          <w:color w:val="1A1A1A"/>
          <w:sz w:val="21"/>
          <w:szCs w:val="21"/>
        </w:rPr>
        <w:t xml:space="preserve"> relative to its own freight model, and marked others down:</w:t>
      </w:r>
    </w:p>
    <w:tbl>
      <w:tblPr>
        <w:tblW w:type="dxa" w:w="9360"/>
        <w:tblBorders>
          <w:top w:val="single" w:color="9AA7B2" w:sz="6"/>
          <w:left w:val="none" w:color="FFFFFF" w:sz="0"/>
          <w:bottom w:val="single" w:color="9AA7B2" w:sz="6"/>
          <w:right w:val="none" w:color="FFFFFF" w:sz="0"/>
          <w:insideH w:val="single" w:color="D6DDE3" w:sz="2"/>
          <w:insideV w:val="none" w:color="FFFFFF" w:sz="0"/>
        </w:tblBorders>
      </w:tblPr>
      <w:tblGrid>
        <w:gridCol w:w="1591"/>
        <w:gridCol w:w="1498"/>
        <w:gridCol w:w="1030"/>
        <w:gridCol w:w="1685"/>
        <w:gridCol w:w="1778"/>
        <w:gridCol w:w="1778"/>
      </w:tblGrid>
      <w:tr>
        <w:trPr>
          <w:tblHeader/>
        </w:trPr>
        <w:tc>
          <w:tcPr>
            <w:tcW w:type="dxa" w:w="1591"/>
            <w:shd w:fill="EDF1F5" w:color="auto" w:val="clear"/>
            <w:tcMar>
              <w:top w:type="dxa" w:w="70"/>
              <w:left w:type="dxa" w:w="110"/>
              <w:bottom w:type="dxa" w:w="70"/>
              <w:right w:type="dxa" w:w="110"/>
            </w:tcMar>
          </w:tcPr>
          <w:p>
            <w:pPr>
              <w:spacing w:after="0" w:line="250"/>
            </w:pPr>
            <w:r>
              <w:rPr>
                <w:rFonts w:ascii="Calibri" w:cs="Calibri" w:eastAsia="Calibri" w:hAnsi="Calibri"/>
                <w:b/>
                <w:bCs/>
                <w:color w:val="1A1A1A"/>
                <w:sz w:val="17"/>
                <w:szCs w:val="17"/>
              </w:rPr>
              <w:t xml:space="preserve">Region</w:t>
            </w:r>
          </w:p>
        </w:tc>
        <w:tc>
          <w:tcPr>
            <w:tcW w:type="dxa" w:w="1498"/>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Population</w:t>
            </w:r>
          </w:p>
        </w:tc>
        <w:tc>
          <w:tcPr>
            <w:tcW w:type="dxa" w:w="1030"/>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 Black</w:t>
            </w:r>
          </w:p>
        </w:tc>
        <w:tc>
          <w:tcPr>
            <w:tcW w:type="dxa" w:w="1685"/>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vs. freight model</w:t>
            </w:r>
          </w:p>
        </w:tc>
        <w:tc>
          <w:tcPr>
            <w:tcW w:type="dxa" w:w="1778"/>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Share of US Black pop.</w:t>
            </w:r>
          </w:p>
        </w:tc>
        <w:tc>
          <w:tcPr>
            <w:tcW w:type="dxa" w:w="1778"/>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Share of US white pop.</w:t>
            </w:r>
          </w:p>
        </w:tc>
      </w:tr>
      <w:tr>
        <w:tc>
          <w:tcPr>
            <w:tcW w:type="dxa" w:w="1591"/>
            <w:tcMar>
              <w:top w:type="dxa" w:w="70"/>
              <w:left w:type="dxa" w:w="110"/>
              <w:bottom w:type="dxa" w:w="70"/>
              <w:right w:type="dxa" w:w="110"/>
            </w:tcMar>
          </w:tcPr>
          <w:p>
            <w:pPr>
              <w:spacing w:after="0" w:line="250"/>
            </w:pPr>
            <w:r>
              <w:rPr>
                <w:rFonts w:ascii="Calibri" w:cs="Calibri" w:eastAsia="Calibri" w:hAnsi="Calibri"/>
                <w:b/>
                <w:bCs/>
                <w:color w:val="1A1A1A"/>
                <w:sz w:val="18"/>
                <w:szCs w:val="18"/>
              </w:rPr>
              <w:t xml:space="preserve">South</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128.5M</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18.2%</w:t>
            </w:r>
          </w:p>
        </w:tc>
        <w:tc>
          <w:tcPr>
            <w:tcW w:type="dxa" w:w="1685"/>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+3.92¢/gal</w:t>
            </w:r>
          </w:p>
        </w:tc>
        <w:tc>
          <w:tcPr>
            <w:tcW w:type="dxa" w:w="1778"/>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59.5%</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36.5%</w:t>
            </w:r>
          </w:p>
        </w:tc>
      </w:tr>
      <w:tr>
        <w:tc>
          <w:tcPr>
            <w:tcW w:type="dxa" w:w="1591"/>
            <w:tcMar>
              <w:top w:type="dxa" w:w="70"/>
              <w:left w:type="dxa" w:w="110"/>
              <w:bottom w:type="dxa" w:w="70"/>
              <w:right w:type="dxa" w:w="110"/>
            </w:tcMar>
          </w:tcPr>
          <w:p>
            <w:pPr>
              <w:spacing w:after="0" w:line="250"/>
            </w:pPr>
            <w:r>
              <w:rPr>
                <w:rFonts w:ascii="Calibri" w:cs="Calibri" w:eastAsia="Calibri" w:hAnsi="Calibri"/>
                <w:b/>
                <w:bCs/>
                <w:color w:val="1A1A1A"/>
                <w:sz w:val="18"/>
                <w:szCs w:val="18"/>
              </w:rPr>
              <w:t xml:space="preserve">Northeast</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53.8M</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10.6%</w:t>
            </w:r>
          </w:p>
        </w:tc>
        <w:tc>
          <w:tcPr>
            <w:tcW w:type="dxa" w:w="1685"/>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+2.09¢/gal</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14.5%</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17.6%</w:t>
            </w:r>
          </w:p>
        </w:tc>
      </w:tr>
      <w:tr>
        <w:tc>
          <w:tcPr>
            <w:tcW w:type="dxa" w:w="1591"/>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Midwest</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69.1M</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10.0%</w:t>
            </w:r>
          </w:p>
        </w:tc>
        <w:tc>
          <w:tcPr>
            <w:tcW w:type="dxa" w:w="1685"/>
            <w:tcMar>
              <w:top w:type="dxa" w:w="70"/>
              <w:left w:type="dxa" w:w="110"/>
              <w:bottom w:type="dxa" w:w="70"/>
              <w:right w:type="dxa" w:w="110"/>
            </w:tcMar>
          </w:tcPr>
          <w:p>
            <w:pPr>
              <w:spacing w:after="0" w:line="250"/>
              <w:jc w:val="right"/>
            </w:pPr>
            <w:r>
              <w:rPr>
                <w:rFonts w:ascii="Calibri" w:cs="Calibri" w:eastAsia="Calibri" w:hAnsi="Calibri"/>
                <w:b/>
                <w:bCs/>
                <w:color w:val="2F6E4E"/>
                <w:sz w:val="18"/>
                <w:szCs w:val="18"/>
              </w:rPr>
              <w:t xml:space="preserve">−1.60¢/gal</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17.5%</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26.6%</w:t>
            </w:r>
          </w:p>
        </w:tc>
      </w:tr>
      <w:tr>
        <w:tc>
          <w:tcPr>
            <w:tcW w:type="dxa" w:w="1591"/>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West</w:t>
            </w:r>
          </w:p>
        </w:tc>
        <w:tc>
          <w:tcPr>
            <w:tcW w:type="dxa" w:w="149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76.9M</w:t>
            </w:r>
          </w:p>
        </w:tc>
        <w:tc>
          <w:tcPr>
            <w:tcW w:type="dxa" w:w="1030"/>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4.4%</w:t>
            </w:r>
          </w:p>
        </w:tc>
        <w:tc>
          <w:tcPr>
            <w:tcW w:type="dxa" w:w="1685"/>
            <w:tcMar>
              <w:top w:type="dxa" w:w="70"/>
              <w:left w:type="dxa" w:w="110"/>
              <w:bottom w:type="dxa" w:w="70"/>
              <w:right w:type="dxa" w:w="110"/>
            </w:tcMar>
          </w:tcPr>
          <w:p>
            <w:pPr>
              <w:spacing w:after="0" w:line="250"/>
              <w:jc w:val="right"/>
            </w:pPr>
            <w:r>
              <w:rPr>
                <w:rFonts w:ascii="Calibri" w:cs="Calibri" w:eastAsia="Calibri" w:hAnsi="Calibri"/>
                <w:b/>
                <w:bCs/>
                <w:color w:val="2F6E4E"/>
                <w:sz w:val="18"/>
                <w:szCs w:val="18"/>
              </w:rPr>
              <w:t xml:space="preserve">−6.58¢/gal</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8.5%</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19.4%</w:t>
            </w:r>
          </w:p>
        </w:tc>
      </w:tr>
    </w:tbl>
    <w:p>
      <w:pPr>
        <w:spacing w:after="110"/>
      </w:pPr>
    </w:p>
    <w:p>
      <w:pPr>
        <w:spacing w:after="140" w:line="276"/>
      </w:pPr>
      <w:r>
        <w:rPr>
          <w:rFonts w:ascii="Cambria" w:cs="Cambria" w:eastAsia="Cambria" w:hAnsi="Cambria"/>
          <w:color w:val="1A1A1A"/>
          <w:sz w:val="21"/>
          <w:szCs w:val="21"/>
        </w:rPr>
        <w:t xml:space="preserve">USDA priced the </w:t>
      </w:r>
      <w:r>
        <w:rPr>
          <w:rFonts w:ascii="Cambria" w:cs="Cambria" w:eastAsia="Cambria" w:hAnsi="Cambria"/>
          <w:b/>
          <w:bCs/>
          <w:color w:val="1A1A1A"/>
          <w:sz w:val="21"/>
          <w:szCs w:val="21"/>
        </w:rPr>
        <w:t xml:space="preserve">South 3.92¢ per gallon above</w:t>
      </w:r>
      <w:r>
        <w:rPr>
          <w:rFonts w:ascii="Cambria" w:cs="Cambria" w:eastAsia="Cambria" w:hAnsi="Cambria"/>
          <w:color w:val="1A1A1A"/>
          <w:sz w:val="21"/>
          <w:szCs w:val="21"/>
        </w:rPr>
        <w:t xml:space="preserve"> what its own freight model says milk is worth there, and the </w:t>
      </w:r>
      <w:r>
        <w:rPr>
          <w:rFonts w:ascii="Cambria" w:cs="Cambria" w:eastAsia="Cambria" w:hAnsi="Cambria"/>
          <w:b/>
          <w:bCs/>
          <w:color w:val="1A1A1A"/>
          <w:sz w:val="21"/>
          <w:szCs w:val="21"/>
        </w:rPr>
        <w:t xml:space="preserve">West 6.58¢ below</w:t>
      </w:r>
      <w:r>
        <w:rPr>
          <w:rFonts w:ascii="Cambria" w:cs="Cambria" w:eastAsia="Cambria" w:hAnsi="Cambria"/>
          <w:color w:val="1A1A1A"/>
          <w:sz w:val="21"/>
          <w:szCs w:val="21"/>
        </w:rPr>
        <w:t xml:space="preserve">. Narrowing to the Southeast proper — Federal Orders 5, 6 and 7, twelve states, 1,040 counties, 86.4 million people — the markup is </w:t>
      </w:r>
      <w:r>
        <w:rPr>
          <w:rFonts w:ascii="Cambria" w:cs="Cambria" w:eastAsia="Cambria" w:hAnsi="Cambria"/>
          <w:b/>
          <w:bCs/>
          <w:color w:val="1A1A1A"/>
          <w:sz w:val="21"/>
          <w:szCs w:val="21"/>
        </w:rPr>
        <w:t xml:space="preserve">+4.01¢/gallon</w:t>
      </w:r>
      <w:r>
        <w:rPr>
          <w:rFonts w:ascii="Cambria" w:cs="Cambria" w:eastAsia="Cambria" w:hAnsi="Cambria"/>
          <w:color w:val="1A1A1A"/>
          <w:sz w:val="21"/>
          <w:szCs w:val="21"/>
        </w:rPr>
        <w:t xml:space="preserve">, or +5.03¢ against the give-up benchmark.</w:t>
      </w:r>
    </w:p>
    <w:p>
      <w:pPr>
        <w:pBdr>
          <w:left w:val="single" w:color="1B4A6B" w:sz="18" w:space="10"/>
        </w:pBdr>
        <w:spacing w:after="180" w:line="276"/>
        <w:ind w:left="170"/>
      </w:pPr>
      <w:r>
        <w:rPr>
          <w:rFonts w:ascii="Cambria" w:cs="Cambria" w:eastAsia="Cambria" w:hAnsi="Cambria"/>
          <w:b/>
          <w:bCs/>
          <w:color w:val="1A1A1A"/>
          <w:sz w:val="21"/>
          <w:szCs w:val="21"/>
        </w:rPr>
        <w:t xml:space="preserve">The sentence that carries this section: 73.9% of Black Americans live in a region that USDA priced above its own freight cost, against 54.1% of white Americans. Nothing in the freight model asked for that redistribution.</w:t>
      </w:r>
    </w:p>
    <w:p>
      <w:pPr>
        <w:pStyle w:val="Heading3"/>
        <w:spacing w:after="120" w:before="250"/>
      </w:pPr>
      <w:r>
        <w:rPr>
          <w:rFonts w:ascii="Calibri" w:cs="Calibri" w:eastAsia="Calibri" w:hAnsi="Calibri"/>
          <w:b/>
          <w:bCs/>
          <w:color w:val="1A1A1A"/>
          <w:sz w:val="22"/>
          <w:szCs w:val="22"/>
        </w:rPr>
        <w:t xml:space="preserve">Inside a region, the markup does not track race — and that helps rather than hurts</w:t>
      </w:r>
    </w:p>
    <w:p>
      <w:pPr>
        <w:spacing w:after="140" w:line="276"/>
      </w:pPr>
      <w:r>
        <w:rPr>
          <w:rFonts w:ascii="Cambria" w:cs="Cambria" w:eastAsia="Cambria" w:hAnsi="Cambria"/>
          <w:color w:val="1A1A1A"/>
          <w:sz w:val="21"/>
          <w:szCs w:val="21"/>
        </w:rPr>
        <w:t xml:space="preserve">The obvious next question is whether, within the marked-up South, the markup is larger where more Black people live. It is not. Across the Southeast's counties sorted by Black share:</w:t>
      </w:r>
    </w:p>
    <w:tbl>
      <w:tblPr>
        <w:tblW w:type="dxa" w:w="9360"/>
        <w:tblBorders>
          <w:top w:val="single" w:color="9AA7B2" w:sz="6"/>
          <w:left w:val="none" w:color="FFFFFF" w:sz="0"/>
          <w:bottom w:val="single" w:color="9AA7B2" w:sz="6"/>
          <w:right w:val="none" w:color="FFFFFF" w:sz="0"/>
          <w:insideH w:val="single" w:color="D6DDE3" w:sz="2"/>
          <w:insideV w:val="none" w:color="FFFFFF" w:sz="0"/>
        </w:tblBorders>
      </w:tblPr>
      <w:tblGrid>
        <w:gridCol w:w="2059"/>
        <w:gridCol w:w="1872"/>
        <w:gridCol w:w="1778"/>
        <w:gridCol w:w="1778"/>
        <w:gridCol w:w="1873"/>
      </w:tblGrid>
      <w:tr>
        <w:trPr>
          <w:tblHeader/>
        </w:trPr>
        <w:tc>
          <w:tcPr>
            <w:tcW w:type="dxa" w:w="2059"/>
            <w:shd w:fill="EDF1F5" w:color="auto" w:val="clear"/>
            <w:tcMar>
              <w:top w:type="dxa" w:w="70"/>
              <w:left w:type="dxa" w:w="110"/>
              <w:bottom w:type="dxa" w:w="70"/>
              <w:right w:type="dxa" w:w="110"/>
            </w:tcMar>
          </w:tcPr>
          <w:p>
            <w:pPr>
              <w:spacing w:after="0" w:line="250"/>
            </w:pPr>
            <w:r>
              <w:rPr>
                <w:rFonts w:ascii="Calibri" w:cs="Calibri" w:eastAsia="Calibri" w:hAnsi="Calibri"/>
                <w:b/>
                <w:bCs/>
                <w:color w:val="1A1A1A"/>
                <w:sz w:val="17"/>
                <w:szCs w:val="17"/>
              </w:rPr>
              <w:t xml:space="preserve">Southeast counties</w:t>
            </w:r>
          </w:p>
        </w:tc>
        <w:tc>
          <w:tcPr>
            <w:tcW w:type="dxa" w:w="1872"/>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Mean % Black</w:t>
            </w:r>
          </w:p>
        </w:tc>
        <w:tc>
          <w:tcPr>
            <w:tcW w:type="dxa" w:w="1778"/>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Adopted</w:t>
            </w:r>
          </w:p>
        </w:tc>
        <w:tc>
          <w:tcPr>
            <w:tcW w:type="dxa" w:w="1778"/>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Freight model</w:t>
            </w:r>
          </w:p>
        </w:tc>
        <w:tc>
          <w:tcPr>
            <w:tcW w:type="dxa" w:w="1873"/>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Markup</w:t>
            </w:r>
          </w:p>
        </w:tc>
      </w:tr>
      <w:tr>
        <w:tc>
          <w:tcPr>
            <w:tcW w:type="dxa" w:w="2059"/>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Whitest fifth</w:t>
            </w:r>
          </w:p>
        </w:tc>
        <w:tc>
          <w:tcPr>
            <w:tcW w:type="dxa" w:w="187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1.2%</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$4.63</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$4.26</w:t>
            </w:r>
          </w:p>
        </w:tc>
        <w:tc>
          <w:tcPr>
            <w:tcW w:type="dxa" w:w="1873"/>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+$0.374</w:t>
            </w:r>
          </w:p>
        </w:tc>
      </w:tr>
      <w:tr>
        <w:tc>
          <w:tcPr>
            <w:tcW w:type="dxa" w:w="2059"/>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Second fifth</w:t>
            </w:r>
          </w:p>
        </w:tc>
        <w:tc>
          <w:tcPr>
            <w:tcW w:type="dxa" w:w="187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5.2%</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$5.42</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$4.95</w:t>
            </w:r>
          </w:p>
        </w:tc>
        <w:tc>
          <w:tcPr>
            <w:tcW w:type="dxa" w:w="1873"/>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+$0.471</w:t>
            </w:r>
          </w:p>
        </w:tc>
      </w:tr>
      <w:tr>
        <w:tc>
          <w:tcPr>
            <w:tcW w:type="dxa" w:w="2059"/>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Middle fifth</w:t>
            </w:r>
          </w:p>
        </w:tc>
        <w:tc>
          <w:tcPr>
            <w:tcW w:type="dxa" w:w="187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14.1%</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$5.99</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$5.48</w:t>
            </w:r>
          </w:p>
        </w:tc>
        <w:tc>
          <w:tcPr>
            <w:tcW w:type="dxa" w:w="1873"/>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+$0.507</w:t>
            </w:r>
          </w:p>
        </w:tc>
      </w:tr>
      <w:tr>
        <w:tc>
          <w:tcPr>
            <w:tcW w:type="dxa" w:w="2059"/>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Fourth fifth</w:t>
            </w:r>
          </w:p>
        </w:tc>
        <w:tc>
          <w:tcPr>
            <w:tcW w:type="dxa" w:w="187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26.6%</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$5.67</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$5.27</w:t>
            </w:r>
          </w:p>
        </w:tc>
        <w:tc>
          <w:tcPr>
            <w:tcW w:type="dxa" w:w="1873"/>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+$0.400</w:t>
            </w:r>
          </w:p>
        </w:tc>
      </w:tr>
      <w:tr>
        <w:tc>
          <w:tcPr>
            <w:tcW w:type="dxa" w:w="2059"/>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Blackest fifth</w:t>
            </w:r>
          </w:p>
        </w:tc>
        <w:tc>
          <w:tcPr>
            <w:tcW w:type="dxa" w:w="187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47.0%</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$5.47</w:t>
            </w:r>
          </w:p>
        </w:tc>
        <w:tc>
          <w:tcPr>
            <w:tcW w:type="dxa" w:w="1778"/>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$4.97</w:t>
            </w:r>
          </w:p>
        </w:tc>
        <w:tc>
          <w:tcPr>
            <w:tcW w:type="dxa" w:w="1873"/>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+$0.503</w:t>
            </w:r>
          </w:p>
        </w:tc>
      </w:tr>
    </w:tbl>
    <w:p>
      <w:pPr>
        <w:spacing w:after="110"/>
      </w:pPr>
    </w:p>
    <w:p>
      <w:pPr>
        <w:spacing w:after="140" w:line="276"/>
      </w:pPr>
      <w:r>
        <w:rPr>
          <w:rFonts w:ascii="Cambria" w:cs="Cambria" w:eastAsia="Cambria" w:hAnsi="Cambria"/>
          <w:color w:val="1A1A1A"/>
          <w:sz w:val="21"/>
          <w:szCs w:val="21"/>
        </w:rPr>
        <w:t xml:space="preserve">Flat, and not even in order — the markup rises, falls and rises again across a 46-point range in Black share. Tested formally the slope is +0.0005 per percentage point (t +0.19; 89% of random reshuffles produce something this large). </w:t>
      </w:r>
      <w:r>
        <w:rPr>
          <w:rFonts w:ascii="Cambria" w:cs="Cambria" w:eastAsia="Cambria" w:hAnsi="Cambria"/>
          <w:b/>
          <w:bCs/>
          <w:color w:val="1A1A1A"/>
          <w:sz w:val="21"/>
          <w:szCs w:val="21"/>
        </w:rPr>
        <w:t xml:space="preserve">No census region shows a positive gradient</w:t>
      </w:r>
      <w:r>
        <w:rPr>
          <w:rFonts w:ascii="Cambria" w:cs="Cambria" w:eastAsia="Cambria" w:hAnsi="Cambria"/>
          <w:color w:val="1A1A1A"/>
          <w:sz w:val="21"/>
          <w:szCs w:val="21"/>
        </w:rPr>
        <w:t xml:space="preserve">, and two — the Midwest and the West — are significantly </w:t>
      </w:r>
      <w:r>
        <w:rPr>
          <w:rFonts w:ascii="Cambria" w:cs="Cambria" w:eastAsia="Cambria" w:hAnsi="Cambria"/>
          <w:i/>
          <w:iCs/>
          <w:color w:val="1A1A1A"/>
          <w:sz w:val="21"/>
          <w:szCs w:val="21"/>
        </w:rPr>
        <w:t xml:space="preserve">negative</w:t>
      </w:r>
      <w:r>
        <w:rPr>
          <w:rFonts w:ascii="Cambria" w:cs="Cambria" w:eastAsia="Cambria" w:hAnsi="Cambria"/>
          <w:color w:val="1A1A1A"/>
          <w:sz w:val="21"/>
          <w:szCs w:val="21"/>
        </w:rPr>
        <w:t xml:space="preserve">, meaning that in the marked-</w:t>
      </w:r>
      <w:r>
        <w:rPr>
          <w:rFonts w:ascii="Cambria" w:cs="Cambria" w:eastAsia="Cambria" w:hAnsi="Cambria"/>
          <w:i/>
          <w:iCs/>
          <w:color w:val="1A1A1A"/>
          <w:sz w:val="21"/>
          <w:szCs w:val="21"/>
        </w:rPr>
        <w:t xml:space="preserve">down</w:t>
      </w:r>
      <w:r>
        <w:rPr>
          <w:rFonts w:ascii="Cambria" w:cs="Cambria" w:eastAsia="Cambria" w:hAnsi="Cambria"/>
          <w:color w:val="1A1A1A"/>
          <w:sz w:val="21"/>
          <w:szCs w:val="21"/>
        </w:rPr>
        <w:t xml:space="preserve"> regions the Blacker the county the deeper the discount. That is Los Angeles, Chicago and Detroit.</w:t>
      </w:r>
    </w:p>
    <w:p>
      <w:pPr>
        <w:spacing w:after="140" w:line="276"/>
      </w:pPr>
      <w:r>
        <w:rPr>
          <w:rFonts w:ascii="Cambria" w:cs="Cambria" w:eastAsia="Cambria" w:hAnsi="Cambria"/>
          <w:b/>
          <w:bCs/>
          <w:color w:val="1A1A1A"/>
          <w:sz w:val="21"/>
          <w:szCs w:val="21"/>
        </w:rPr>
        <w:t xml:space="preserve">This is the right shape for the claim, not a weakness in it.</w:t>
      </w:r>
      <w:r>
        <w:rPr>
          <w:rFonts w:ascii="Cambria" w:cs="Cambria" w:eastAsia="Cambria" w:hAnsi="Cambria"/>
          <w:color w:val="1A1A1A"/>
          <w:sz w:val="21"/>
          <w:szCs w:val="21"/>
        </w:rPr>
        <w:t xml:space="preserve"> Splitting the national above-freight gap into its two sources:</w:t>
      </w:r>
    </w:p>
    <w:tbl>
      <w:tblPr>
        <w:tblW w:type="dxa" w:w="9360"/>
        <w:tblBorders>
          <w:top w:val="single" w:color="9AA7B2" w:sz="6"/>
          <w:left w:val="none" w:color="FFFFFF" w:sz="0"/>
          <w:bottom w:val="single" w:color="9AA7B2" w:sz="6"/>
          <w:right w:val="none" w:color="FFFFFF" w:sz="0"/>
          <w:insideH w:val="single" w:color="D6DDE3" w:sz="2"/>
          <w:insideV w:val="none" w:color="FFFFFF" w:sz="0"/>
        </w:tblBorders>
      </w:tblPr>
      <w:tblGrid>
        <w:gridCol w:w="5616"/>
        <w:gridCol w:w="3744"/>
      </w:tblGrid>
      <w:tr>
        <w:trPr>
          <w:tblHeader/>
        </w:trPr>
        <w:tc>
          <w:tcPr>
            <w:tcW w:type="dxa" w:w="5616"/>
            <w:shd w:fill="EDF1F5" w:color="auto" w:val="clear"/>
            <w:tcMar>
              <w:top w:type="dxa" w:w="70"/>
              <w:left w:type="dxa" w:w="110"/>
              <w:bottom w:type="dxa" w:w="70"/>
              <w:right w:type="dxa" w:w="110"/>
            </w:tcMar>
          </w:tcPr>
          <w:p>
            <w:pPr>
              <w:spacing w:after="0" w:line="250"/>
            </w:pPr>
            <w:r>
              <w:rPr>
                <w:rFonts w:ascii="Calibri" w:cs="Calibri" w:eastAsia="Calibri" w:hAnsi="Calibri"/>
                <w:b/>
                <w:bCs/>
                <w:color w:val="1A1A1A"/>
                <w:sz w:val="17"/>
                <w:szCs w:val="17"/>
              </w:rPr>
              <w:t xml:space="preserve">Source of the 0.91¢ above-freight racial gap</w:t>
            </w:r>
          </w:p>
        </w:tc>
        <w:tc>
          <w:tcPr>
            <w:tcW w:type="dxa" w:w="3744"/>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Contribution</w:t>
            </w:r>
          </w:p>
        </w:tc>
      </w:tr>
      <w:tr>
        <w:tc>
          <w:tcPr>
            <w:tcW w:type="dxa" w:w="5616"/>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Between regions — who lives in a region USDA marked up</w:t>
            </w:r>
          </w:p>
        </w:tc>
        <w:tc>
          <w:tcPr>
            <w:tcW w:type="dxa" w:w="3744"/>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+1.69¢</w:t>
            </w:r>
          </w:p>
        </w:tc>
      </w:tr>
      <w:tr>
        <w:tc>
          <w:tcPr>
            <w:tcW w:type="dxa" w:w="5616"/>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Within regions — race gradient inside a region</w:t>
            </w:r>
          </w:p>
        </w:tc>
        <w:tc>
          <w:tcPr>
            <w:tcW w:type="dxa" w:w="3744"/>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−0.78¢</w:t>
            </w:r>
          </w:p>
        </w:tc>
      </w:tr>
      <w:tr>
        <w:tc>
          <w:tcPr>
            <w:tcW w:type="dxa" w:w="5616"/>
            <w:tcMar>
              <w:top w:type="dxa" w:w="70"/>
              <w:left w:type="dxa" w:w="110"/>
              <w:bottom w:type="dxa" w:w="70"/>
              <w:right w:type="dxa" w:w="110"/>
            </w:tcMar>
          </w:tcPr>
          <w:p>
            <w:pPr>
              <w:spacing w:after="0" w:line="250"/>
            </w:pPr>
            <w:r>
              <w:rPr>
                <w:rFonts w:ascii="Calibri" w:cs="Calibri" w:eastAsia="Calibri" w:hAnsi="Calibri"/>
                <w:b/>
                <w:bCs/>
                <w:color w:val="1A1A1A"/>
                <w:sz w:val="18"/>
                <w:szCs w:val="18"/>
              </w:rPr>
              <w:t xml:space="preserve">Net</w:t>
            </w:r>
          </w:p>
        </w:tc>
        <w:tc>
          <w:tcPr>
            <w:tcW w:type="dxa" w:w="3744"/>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+0.91¢</w:t>
            </w:r>
          </w:p>
        </w:tc>
      </w:tr>
    </w:tbl>
    <w:p>
      <w:pPr>
        <w:spacing w:after="110"/>
      </w:pPr>
    </w:p>
    <w:p>
      <w:pPr>
        <w:spacing w:after="140" w:line="276"/>
      </w:pPr>
      <w:r>
        <w:rPr>
          <w:rFonts w:ascii="Cambria" w:cs="Cambria" w:eastAsia="Cambria" w:hAnsi="Cambria"/>
          <w:color w:val="1A1A1A"/>
          <w:sz w:val="21"/>
          <w:szCs w:val="21"/>
        </w:rPr>
        <w:t xml:space="preserve">The between-region component is nearly </w:t>
      </w:r>
      <w:r>
        <w:rPr>
          <w:rFonts w:ascii="Cambria" w:cs="Cambria" w:eastAsia="Cambria" w:hAnsi="Cambria"/>
          <w:b/>
          <w:bCs/>
          <w:color w:val="1A1A1A"/>
          <w:sz w:val="21"/>
          <w:szCs w:val="21"/>
        </w:rPr>
        <w:t xml:space="preserve">twice</w:t>
      </w:r>
      <w:r>
        <w:rPr>
          <w:rFonts w:ascii="Cambria" w:cs="Cambria" w:eastAsia="Cambria" w:hAnsi="Cambria"/>
          <w:color w:val="1A1A1A"/>
          <w:sz w:val="21"/>
          <w:szCs w:val="21"/>
        </w:rPr>
        <w:t xml:space="preserve"> the net figure; the within-region component runs the other way and partly cancels it. So the honest theory is the same one Section 3 already makes about the rule as a whole: </w:t>
      </w:r>
      <w:r>
        <w:rPr>
          <w:rFonts w:ascii="Cambria" w:cs="Cambria" w:eastAsia="Cambria" w:hAnsi="Cambria"/>
          <w:b/>
          <w:bCs/>
          <w:color w:val="1A1A1A"/>
          <w:sz w:val="21"/>
          <w:szCs w:val="21"/>
        </w:rPr>
        <w:t xml:space="preserve">the burden is regional, and it lands on Black Americans because of where they live, not because the rule can see them.</w:t>
      </w:r>
      <w:r>
        <w:rPr>
          <w:rFonts w:ascii="Cambria" w:cs="Cambria" w:eastAsia="Cambria" w:hAnsi="Cambria"/>
          <w:color w:val="1A1A1A"/>
          <w:sz w:val="21"/>
          <w:szCs w:val="21"/>
        </w:rPr>
        <w:t xml:space="preserve"> A theory that USDA marked up Black neighborhoods is refuted by its own data — Detroit, Chicago and Los Angeles all sit </w:t>
      </w:r>
      <w:r>
        <w:rPr>
          <w:rFonts w:ascii="Cambria" w:cs="Cambria" w:eastAsia="Cambria" w:hAnsi="Cambria"/>
          <w:i/>
          <w:iCs/>
          <w:color w:val="1A1A1A"/>
          <w:sz w:val="21"/>
          <w:szCs w:val="21"/>
        </w:rPr>
        <w:t xml:space="preserve">below</w:t>
      </w:r>
      <w:r>
        <w:rPr>
          <w:rFonts w:ascii="Cambria" w:cs="Cambria" w:eastAsia="Cambria" w:hAnsi="Cambria"/>
          <w:color w:val="1A1A1A"/>
          <w:sz w:val="21"/>
          <w:szCs w:val="21"/>
        </w:rPr>
        <w:t xml:space="preserve"> the freight line — and advancing one would hand the government an easy rebuttal from the same dataset.</w:t>
      </w:r>
    </w:p>
    <w:p>
      <w:pPr>
        <w:pStyle w:val="Heading3"/>
        <w:spacing w:after="120" w:before="250"/>
      </w:pPr>
      <w:r>
        <w:rPr>
          <w:rFonts w:ascii="Calibri" w:cs="Calibri" w:eastAsia="Calibri" w:hAnsi="Calibri"/>
          <w:b/>
          <w:bCs/>
          <w:color w:val="1A1A1A"/>
          <w:sz w:val="22"/>
          <w:szCs w:val="22"/>
        </w:rPr>
        <w:t xml:space="preserve">The honest limits — three, and all three must travel with the finding</w:t>
      </w:r>
    </w:p>
    <w:p>
      <w:pPr>
        <w:pStyle w:val="ListParagraph"/>
        <w:numPr>
          <w:ilvl w:val="0"/>
          <w:numId w:val="2"/>
        </w:numPr>
        <w:spacing w:after="95" w:line="276"/>
      </w:pPr>
      <w:r>
        <w:rPr>
          <w:rFonts w:ascii="Cambria" w:cs="Cambria" w:eastAsia="Cambria" w:hAnsi="Cambria"/>
          <w:b/>
          <w:bCs/>
          <w:color w:val="1A1A1A"/>
          <w:sz w:val="21"/>
          <w:szCs w:val="21"/>
        </w:rPr>
        <w:t xml:space="preserve">The racial incidence of the regional pattern is still not statistically significant.</w:t>
      </w:r>
      <w:r>
        <w:rPr>
          <w:rFonts w:ascii="Cambria" w:cs="Cambria" w:eastAsia="Cambria" w:hAnsi="Cambria"/>
          <w:color w:val="1A1A1A"/>
          <w:sz w:val="21"/>
          <w:szCs w:val="21"/>
        </w:rPr>
        <w:t xml:space="preserve"> Reshuffling the racial composition of entire states at random, 29% of draws produce an above-freight gap this large by chance; the convention is that anything above 5% is not a finding. With 48 states and a four-region pattern there is simply not much to test against. </w:t>
      </w:r>
      <w:r>
        <w:rPr>
          <w:rFonts w:ascii="Cambria" w:cs="Cambria" w:eastAsia="Cambria" w:hAnsi="Cambria"/>
          <w:b/>
          <w:bCs/>
          <w:color w:val="1A1A1A"/>
          <w:sz w:val="21"/>
          <w:szCs w:val="21"/>
        </w:rPr>
        <w:t xml:space="preserve">The magnitude is large and the inference is weak</w:t>
      </w:r>
      <w:r>
        <w:rPr>
          <w:rFonts w:ascii="Cambria" w:cs="Cambria" w:eastAsia="Cambria" w:hAnsi="Cambria"/>
          <w:color w:val="1A1A1A"/>
          <w:sz w:val="21"/>
          <w:szCs w:val="21"/>
        </w:rPr>
        <w:t xml:space="preserve"> — say both.</w:t>
      </w:r>
    </w:p>
    <w:p>
      <w:pPr>
        <w:pStyle w:val="ListParagraph"/>
        <w:numPr>
          <w:ilvl w:val="0"/>
          <w:numId w:val="2"/>
        </w:numPr>
        <w:spacing w:after="95" w:line="276"/>
      </w:pPr>
      <w:r>
        <w:rPr>
          <w:rFonts w:ascii="Cambria" w:cs="Cambria" w:eastAsia="Cambria" w:hAnsi="Cambria"/>
          <w:b/>
          <w:bCs/>
          <w:color w:val="1A1A1A"/>
          <w:sz w:val="21"/>
          <w:szCs w:val="21"/>
        </w:rPr>
        <w:t xml:space="preserve">The within-region gradient is negative,</w:t>
      </w:r>
      <w:r>
        <w:rPr>
          <w:rFonts w:ascii="Cambria" w:cs="Cambria" w:eastAsia="Cambria" w:hAnsi="Cambria"/>
          <w:color w:val="1A1A1A"/>
          <w:sz w:val="21"/>
          <w:szCs w:val="21"/>
        </w:rPr>
        <w:t xml:space="preserve"> and in one specification (adding region controls to the national regression) significantly so, at t −2.36. Any filing asserting the markup rises with Black share will be met with this, from the same data. This is also where the September version's t = 20.4 came from; corrected, it is 1.66 nationally and 0.19 inside the Southeast.</w:t>
      </w:r>
    </w:p>
    <w:p>
      <w:pPr>
        <w:pStyle w:val="ListParagraph"/>
        <w:numPr>
          <w:ilvl w:val="0"/>
          <w:numId w:val="2"/>
        </w:numPr>
        <w:spacing w:after="95" w:line="276"/>
      </w:pPr>
      <w:r>
        <w:rPr>
          <w:rFonts w:ascii="Cambria" w:cs="Cambria" w:eastAsia="Cambria" w:hAnsi="Cambria"/>
          <w:b/>
          <w:bCs/>
          <w:color w:val="1A1A1A"/>
          <w:sz w:val="21"/>
          <w:szCs w:val="21"/>
        </w:rPr>
        <w:t xml:space="preserve">Above the freight model is not the same as unjustified.</w:t>
      </w:r>
      <w:r>
        <w:rPr>
          <w:rFonts w:ascii="Cambria" w:cs="Cambria" w:eastAsia="Cambria" w:hAnsi="Cambria"/>
          <w:color w:val="1A1A1A"/>
          <w:sz w:val="21"/>
          <w:szCs w:val="21"/>
        </w:rPr>
        <w:t xml:space="preserve"> USDA's stated objectives for the price surface include maintaining “sufficient revenue for producers” and “equity to handlers with regards to raw product costs,” and the South is milk-deficit. A markup above a pure transport figure can be defended on producer-return grounds. The force of the point is not that the markup is inexplicable — it is that </w:t>
      </w:r>
      <w:r>
        <w:rPr>
          <w:rFonts w:ascii="Cambria" w:cs="Cambria" w:eastAsia="Cambria" w:hAnsi="Cambria"/>
          <w:b/>
          <w:bCs/>
          <w:color w:val="1A1A1A"/>
          <w:sz w:val="21"/>
          <w:szCs w:val="21"/>
        </w:rPr>
        <w:t xml:space="preserve">USDA never said this is what it was doing, never quantified who pays for it, and certified no civil-rights impact in three sentences</w:t>
      </w:r>
      <w:r>
        <w:rPr>
          <w:rFonts w:ascii="Cambria" w:cs="Cambria" w:eastAsia="Cambria" w:hAnsi="Cambria"/>
          <w:color w:val="1A1A1A"/>
          <w:sz w:val="21"/>
          <w:szCs w:val="21"/>
        </w:rPr>
        <w:t xml:space="preserve"> (§6).</w:t>
      </w:r>
    </w:p>
    <w:p>
      <w:pPr>
        <w:spacing w:after="140" w:line="276"/>
      </w:pPr>
      <w:r>
        <w:rPr>
          <w:rFonts w:ascii="Cambria" w:cs="Cambria" w:eastAsia="Cambria" w:hAnsi="Cambria"/>
          <w:b/>
          <w:bCs/>
          <w:color w:val="1A1A1A"/>
          <w:sz w:val="21"/>
          <w:szCs w:val="21"/>
        </w:rPr>
        <w:t xml:space="preserve">One point that requires no statistics at all.</w:t>
      </w:r>
      <w:r>
        <w:rPr>
          <w:rFonts w:ascii="Cambria" w:cs="Cambria" w:eastAsia="Cambria" w:hAnsi="Cambria"/>
          <w:color w:val="1A1A1A"/>
          <w:sz w:val="21"/>
          <w:szCs w:val="21"/>
        </w:rPr>
        <w:t xml:space="preserve"> The 2025 map was not calculated; it was negotiated. The dairy producer coalition that drafted it describes its own method in Exhibit NMPF-38: choose nineteen “anchor cities,” convene regional subgroups instructed to </w:t>
      </w:r>
      <w:r>
        <w:rPr>
          <w:rFonts w:ascii="Cambria" w:cs="Cambria" w:eastAsia="Cambria" w:hAnsi="Cambria"/>
          <w:b/>
          <w:bCs/>
          <w:color w:val="1A1A1A"/>
          <w:sz w:val="21"/>
          <w:szCs w:val="21"/>
        </w:rPr>
        <w:t xml:space="preserve">increase or decrease the model-generated values</w:t>
      </w:r>
      <w:r>
        <w:rPr>
          <w:rFonts w:ascii="Cambria" w:cs="Cambria" w:eastAsia="Cambria" w:hAnsi="Cambria"/>
          <w:color w:val="1A1A1A"/>
          <w:sz w:val="21"/>
          <w:szCs w:val="21"/>
        </w:rPr>
        <w:t xml:space="preserve"> using local knowledge, move individual counties between price zones to </w:t>
      </w:r>
      <w:r>
        <w:rPr>
          <w:rFonts w:ascii="Cambria" w:cs="Cambria" w:eastAsia="Cambria" w:hAnsi="Cambria"/>
          <w:b/>
          <w:bCs/>
          <w:color w:val="1A1A1A"/>
          <w:sz w:val="21"/>
          <w:szCs w:val="21"/>
        </w:rPr>
        <w:t xml:space="preserve">equalize raw-product costs among named competing bottling plants</w:t>
      </w:r>
      <w:r>
        <w:rPr>
          <w:rFonts w:ascii="Cambria" w:cs="Cambria" w:eastAsia="Cambria" w:hAnsi="Cambria"/>
          <w:color w:val="1A1A1A"/>
          <w:sz w:val="21"/>
          <w:szCs w:val="21"/>
        </w:rPr>
        <w:t xml:space="preserve"> (Allegheny County, Pennsylvania; Clark County, Ohio), then “fine tune” the result into an “explainable and contiguous” surface. That is a documented fact about process, it sits in the government's own record, and it does not depend on any figure above.</w:t>
      </w:r>
    </w:p>
    <w:p>
      <w:pPr>
        <w:pStyle w:val="Heading2"/>
        <w:spacing w:after="150" w:before="340"/>
      </w:pPr>
      <w:r>
        <w:rPr>
          <w:rFonts w:ascii="Calibri" w:cs="Calibri" w:eastAsia="Calibri" w:hAnsi="Calibri"/>
          <w:b/>
          <w:bCs/>
          <w:color w:val="1B4A6B"/>
          <w:sz w:val="26"/>
          <w:szCs w:val="26"/>
        </w:rPr>
        <w:t xml:space="preserve">5. What the evidence does and does not establish</w:t>
      </w:r>
    </w:p>
    <w:p>
      <w:pPr>
        <w:spacing w:after="140" w:line="276"/>
      </w:pPr>
      <w:r>
        <w:rPr>
          <w:rFonts w:ascii="Cambria" w:cs="Cambria" w:eastAsia="Cambria" w:hAnsi="Cambria"/>
          <w:b/>
          <w:bCs/>
          <w:color w:val="1A1A1A"/>
          <w:sz w:val="21"/>
          <w:szCs w:val="21"/>
        </w:rPr>
        <w:t xml:space="preserve">Establishes:</w:t>
      </w:r>
      <w:r>
        <w:rPr>
          <w:rFonts w:ascii="Cambria" w:cs="Cambria" w:eastAsia="Cambria" w:hAnsi="Cambria"/>
          <w:color w:val="1A1A1A"/>
          <w:sz w:val="21"/>
          <w:szCs w:val="21"/>
        </w:rPr>
        <w:t xml:space="preserve"> a statistically robust racial gradient in a federal price-setting rule, holding income and urbanicity constant (t +5.60 clustered, and t +2.63 within state); that the 2025 modernization widened it 47%, entirely by re-sloping rather than by raising the level; that the widening went 51–86% beyond USDA's own cost model, concentrated in the South (+3.92¢/gal) and Northeast (+2.09¢) and taken out of the West (−6.58¢); that USDA certified no civil-rights impact without any consumer analysis; and that all of it is reproducible from public USDA and Census data.</w:t>
      </w:r>
    </w:p>
    <w:p>
      <w:pPr>
        <w:spacing w:after="140" w:line="276"/>
      </w:pPr>
      <w:r>
        <w:rPr>
          <w:rFonts w:ascii="Cambria" w:cs="Cambria" w:eastAsia="Cambria" w:hAnsi="Cambria"/>
          <w:b/>
          <w:bCs/>
          <w:color w:val="1A1A1A"/>
          <w:sz w:val="21"/>
          <w:szCs w:val="21"/>
        </w:rPr>
        <w:t xml:space="preserve">Does NOT establish:</w:t>
      </w:r>
      <w:r>
        <w:rPr>
          <w:rFonts w:ascii="Cambria" w:cs="Cambria" w:eastAsia="Cambria" w:hAnsi="Cambria"/>
          <w:color w:val="1A1A1A"/>
          <w:sz w:val="21"/>
          <w:szCs w:val="21"/>
        </w:rPr>
        <w:t xml:space="preserve"> discriminatory intent (none is claimed); that any individual paid a specific amount (data are area-level and ecological); that the racial gradient </w:t>
      </w:r>
      <w:r>
        <w:rPr>
          <w:rFonts w:ascii="Cambria" w:cs="Cambria" w:eastAsia="Cambria" w:hAnsi="Cambria"/>
          <w:i/>
          <w:iCs/>
          <w:color w:val="1A1A1A"/>
          <w:sz w:val="21"/>
          <w:szCs w:val="21"/>
        </w:rPr>
        <w:t xml:space="preserve">as a whole</w:t>
      </w:r>
      <w:r>
        <w:rPr>
          <w:rFonts w:ascii="Cambria" w:cs="Cambria" w:eastAsia="Cambria" w:hAnsi="Cambria"/>
          <w:color w:val="1A1A1A"/>
          <w:sz w:val="21"/>
          <w:szCs w:val="21"/>
        </w:rPr>
        <w:t xml:space="preserve"> is unjustified by dairy economics — </w:t>
      </w:r>
      <w:r>
        <w:rPr>
          <w:rFonts w:ascii="Cambria" w:cs="Cambria" w:eastAsia="Cambria" w:hAnsi="Cambria"/>
          <w:b/>
          <w:bCs/>
          <w:color w:val="1A1A1A"/>
          <w:sz w:val="21"/>
          <w:szCs w:val="21"/>
        </w:rPr>
        <w:t xml:space="preserve">§4a shows most of it is what a freight model produces unaided</w:t>
      </w:r>
      <w:r>
        <w:rPr>
          <w:rFonts w:ascii="Cambria" w:cs="Cambria" w:eastAsia="Cambria" w:hAnsi="Cambria"/>
          <w:color w:val="1A1A1A"/>
          <w:sz w:val="21"/>
          <w:szCs w:val="21"/>
        </w:rPr>
        <w:t xml:space="preserve">; that the above-freight markup is racially graded </w:t>
      </w:r>
      <w:r>
        <w:rPr>
          <w:rFonts w:ascii="Cambria" w:cs="Cambria" w:eastAsia="Cambria" w:hAnsi="Cambria"/>
          <w:i/>
          <w:iCs/>
          <w:color w:val="1A1A1A"/>
          <w:sz w:val="21"/>
          <w:szCs w:val="21"/>
        </w:rPr>
        <w:t xml:space="preserve">within</w:t>
      </w:r>
      <w:r>
        <w:rPr>
          <w:rFonts w:ascii="Cambria" w:cs="Cambria" w:eastAsia="Cambria" w:hAnsi="Cambria"/>
          <w:color w:val="1A1A1A"/>
          <w:sz w:val="21"/>
          <w:szCs w:val="21"/>
        </w:rPr>
        <w:t xml:space="preserve"> a region — it is not, and inside the Southeast it is flat (t +0.19); or that the regional pattern's racial incidence meets a conventional standard of proof (p = .289).</w:t>
      </w:r>
    </w:p>
    <w:p>
      <w:pPr>
        <w:spacing w:after="140" w:line="276"/>
      </w:pPr>
      <w:r>
        <w:rPr>
          <w:rFonts w:ascii="Cambria" w:cs="Cambria" w:eastAsia="Cambria" w:hAnsi="Cambria"/>
          <w:b/>
          <w:bCs/>
          <w:color w:val="1A1A1A"/>
          <w:sz w:val="21"/>
          <w:szCs w:val="21"/>
        </w:rPr>
        <w:t xml:space="preserve">On the human scale — the honest framing.</w:t>
      </w:r>
      <w:r>
        <w:rPr>
          <w:rFonts w:ascii="Cambria" w:cs="Cambria" w:eastAsia="Cambria" w:hAnsi="Cambria"/>
          <w:color w:val="1A1A1A"/>
          <w:sz w:val="21"/>
          <w:szCs w:val="21"/>
        </w:rPr>
        <w:t xml:space="preserve"> Per gallon the average Black–white gap is about 5.6¢; per person at roughly 15 gallons a year that is about $0.85 a year, and a few dollars for a milk-drinking family. Individually small — but it is a recurring, government-set price on a nutritional staple, borne disproportionately by a protected class, flowing through federal nutrition programs (§8). The significance is systemic and governmental, not the per-gallon cents.</w:t>
      </w:r>
    </w:p>
    <w:p>
      <w:pPr>
        <w:pStyle w:val="Heading2"/>
        <w:spacing w:after="150" w:before="340"/>
      </w:pPr>
      <w:r>
        <w:rPr>
          <w:rFonts w:ascii="Calibri" w:cs="Calibri" w:eastAsia="Calibri" w:hAnsi="Calibri"/>
          <w:b/>
          <w:bCs/>
          <w:color w:val="1B4A6B"/>
          <w:sz w:val="26"/>
          <w:szCs w:val="26"/>
        </w:rPr>
        <w:t xml:space="preserve">6. USDA analyzed its farmers — not the families who pay (confirmed and strengthened)</w:t>
      </w:r>
    </w:p>
    <w:p>
      <w:pPr>
        <w:spacing w:after="140" w:line="276"/>
      </w:pPr>
      <w:r>
        <w:rPr>
          <w:rFonts w:ascii="Cambria" w:cs="Cambria" w:eastAsia="Cambria" w:hAnsi="Cambria"/>
          <w:color w:val="1A1A1A"/>
          <w:sz w:val="21"/>
          <w:szCs w:val="21"/>
        </w:rPr>
        <w:t xml:space="preserve">This section was audited independently since the September version and it holds. USDA's civil-rights review of this program has only ever examined dairy producers. The one substantive Civil Rights Impact Analysis USDA has produced for the Federal Milk Marketing Orders — prepared for the 2000 Order Reform under Departmental Regulation 4300-004 — defines the protected population as protected-class </w:t>
      </w:r>
      <w:r>
        <w:rPr>
          <w:rFonts w:ascii="Cambria" w:cs="Cambria" w:eastAsia="Cambria" w:hAnsi="Cambria"/>
          <w:i/>
          <w:iCs/>
          <w:color w:val="1A1A1A"/>
          <w:sz w:val="21"/>
          <w:szCs w:val="21"/>
        </w:rPr>
        <w:t xml:space="preserve">farmers</w:t>
      </w:r>
      <w:r>
        <w:rPr>
          <w:rFonts w:ascii="Cambria" w:cs="Cambria" w:eastAsia="Cambria" w:hAnsi="Cambria"/>
          <w:color w:val="1A1A1A"/>
          <w:sz w:val="21"/>
          <w:szCs w:val="21"/>
        </w:rPr>
        <w:t xml:space="preserve"> and finds no disparate impact because every producer receives the same regulated blend price; consumers appear only as aggregate demand.</w:t>
      </w:r>
    </w:p>
    <w:p>
      <w:pPr>
        <w:spacing w:after="140" w:line="276"/>
      </w:pPr>
      <w:r>
        <w:rPr>
          <w:rFonts w:ascii="Cambria" w:cs="Cambria" w:eastAsia="Cambria" w:hAnsi="Cambria"/>
          <w:color w:val="1A1A1A"/>
          <w:sz w:val="21"/>
          <w:szCs w:val="21"/>
        </w:rPr>
        <w:t xml:space="preserve">For the 2025 change USDA performed no comparable analysis. </w:t>
      </w:r>
      <w:r>
        <w:rPr>
          <w:rFonts w:ascii="Cambria" w:cs="Cambria" w:eastAsia="Cambria" w:hAnsi="Cambria"/>
          <w:b/>
          <w:bCs/>
          <w:color w:val="1A1A1A"/>
          <w:sz w:val="21"/>
          <w:szCs w:val="21"/>
        </w:rPr>
        <w:t xml:space="preserve">Its entire civil-rights certification is three sentences</w:t>
      </w:r>
      <w:r>
        <w:rPr>
          <w:rFonts w:ascii="Cambria" w:cs="Cambria" w:eastAsia="Cambria" w:hAnsi="Cambria"/>
          <w:color w:val="1A1A1A"/>
          <w:sz w:val="21"/>
          <w:szCs w:val="21"/>
        </w:rPr>
        <w:t xml:space="preserve">, with no supporting analysis, data, table or citation — while the Regulatory Flexibility Act analysis in the same rule runs past 20,000 characters. Across all 53 pages and 590,370 characters of the Final Decision, checked for hyphen-splitting and letter-spacing:</w:t>
      </w:r>
    </w:p>
    <w:tbl>
      <w:tblPr>
        <w:tblW w:type="dxa" w:w="9360"/>
        <w:tblBorders>
          <w:top w:val="single" w:color="9AA7B2" w:sz="6"/>
          <w:left w:val="none" w:color="FFFFFF" w:sz="0"/>
          <w:bottom w:val="single" w:color="9AA7B2" w:sz="6"/>
          <w:right w:val="none" w:color="FFFFFF" w:sz="0"/>
          <w:insideH w:val="single" w:color="D6DDE3" w:sz="2"/>
          <w:insideV w:val="none" w:color="FFFFFF" w:sz="0"/>
        </w:tblBorders>
      </w:tblPr>
      <w:tblGrid>
        <w:gridCol w:w="4680"/>
        <w:gridCol w:w="2059"/>
        <w:gridCol w:w="2621"/>
      </w:tblGrid>
      <w:tr>
        <w:trPr>
          <w:tblHeader/>
        </w:trPr>
        <w:tc>
          <w:tcPr>
            <w:tcW w:type="dxa" w:w="4680"/>
            <w:shd w:fill="EDF1F5" w:color="auto" w:val="clear"/>
            <w:tcMar>
              <w:top w:type="dxa" w:w="70"/>
              <w:left w:type="dxa" w:w="110"/>
              <w:bottom w:type="dxa" w:w="70"/>
              <w:right w:type="dxa" w:w="110"/>
            </w:tcMar>
          </w:tcPr>
          <w:p>
            <w:pPr>
              <w:spacing w:after="0" w:line="250"/>
            </w:pPr>
            <w:r>
              <w:rPr>
                <w:rFonts w:ascii="Calibri" w:cs="Calibri" w:eastAsia="Calibri" w:hAnsi="Calibri"/>
                <w:b/>
                <w:bCs/>
                <w:color w:val="1A1A1A"/>
                <w:sz w:val="17"/>
                <w:szCs w:val="17"/>
              </w:rPr>
              <w:t xml:space="preserve">Term</w:t>
            </w:r>
          </w:p>
        </w:tc>
        <w:tc>
          <w:tcPr>
            <w:tcW w:type="dxa" w:w="2059"/>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Occurrences</w:t>
            </w:r>
          </w:p>
        </w:tc>
        <w:tc>
          <w:tcPr>
            <w:tcW w:type="dxa" w:w="2621"/>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Note</w:t>
            </w:r>
          </w:p>
        </w:tc>
      </w:tr>
      <w:tr>
        <w:tc>
          <w:tcPr>
            <w:tcW w:type="dxa" w:w="4680"/>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consumer / consumers / consumption</w:t>
            </w:r>
          </w:p>
        </w:tc>
        <w:tc>
          <w:tcPr>
            <w:tcW w:type="dxa" w:w="2059"/>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0</w:t>
            </w:r>
          </w:p>
        </w:tc>
        <w:tc>
          <w:tcPr>
            <w:tcW w:type="dxa" w:w="2621"/>
            <w:tcMar>
              <w:top w:type="dxa" w:w="70"/>
              <w:left w:type="dxa" w:w="110"/>
              <w:bottom w:type="dxa" w:w="70"/>
              <w:right w:type="dxa" w:w="110"/>
            </w:tcMar>
          </w:tcPr>
          <w:p>
            <w:pPr>
              <w:spacing w:after="0" w:line="250"/>
              <w:jc w:val="right"/>
            </w:pPr>
          </w:p>
        </w:tc>
      </w:tr>
      <w:tr>
        <w:tc>
          <w:tcPr>
            <w:tcW w:type="dxa" w:w="4680"/>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retail · household · buyer · shopper</w:t>
            </w:r>
          </w:p>
        </w:tc>
        <w:tc>
          <w:tcPr>
            <w:tcW w:type="dxa" w:w="2059"/>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0</w:t>
            </w:r>
          </w:p>
        </w:tc>
        <w:tc>
          <w:tcPr>
            <w:tcW w:type="dxa" w:w="2621"/>
            <w:tcMar>
              <w:top w:type="dxa" w:w="70"/>
              <w:left w:type="dxa" w:w="110"/>
              <w:bottom w:type="dxa" w:w="70"/>
              <w:right w:type="dxa" w:w="110"/>
            </w:tcMar>
          </w:tcPr>
          <w:p>
            <w:pPr>
              <w:spacing w:after="0" w:line="250"/>
              <w:jc w:val="right"/>
            </w:pPr>
          </w:p>
        </w:tc>
      </w:tr>
      <w:tr>
        <w:tc>
          <w:tcPr>
            <w:tcW w:type="dxa" w:w="4680"/>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WIC</w:t>
            </w:r>
          </w:p>
        </w:tc>
        <w:tc>
          <w:tcPr>
            <w:tcW w:type="dxa" w:w="2059"/>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0</w:t>
            </w:r>
          </w:p>
        </w:tc>
        <w:tc>
          <w:tcPr>
            <w:tcW w:type="dxa" w:w="2621"/>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substring hits are Brunswick, Sedgwick, Wichita, Wicomico</w:t>
            </w:r>
          </w:p>
        </w:tc>
      </w:tr>
      <w:tr>
        <w:tc>
          <w:tcPr>
            <w:tcW w:type="dxa" w:w="4680"/>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SNAP, food stamp, nutrition assistance</w:t>
            </w:r>
          </w:p>
        </w:tc>
        <w:tc>
          <w:tcPr>
            <w:tcW w:type="dxa" w:w="2059"/>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0</w:t>
            </w:r>
          </w:p>
        </w:tc>
        <w:tc>
          <w:tcPr>
            <w:tcW w:type="dxa" w:w="2621"/>
            <w:tcMar>
              <w:top w:type="dxa" w:w="70"/>
              <w:left w:type="dxa" w:w="110"/>
              <w:bottom w:type="dxa" w:w="70"/>
              <w:right w:type="dxa" w:w="110"/>
            </w:tcMar>
          </w:tcPr>
          <w:p>
            <w:pPr>
              <w:spacing w:after="0" w:line="250"/>
              <w:jc w:val="right"/>
            </w:pPr>
          </w:p>
        </w:tc>
      </w:tr>
      <w:tr>
        <w:tc>
          <w:tcPr>
            <w:tcW w:type="dxa" w:w="4680"/>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incidence, distributional</w:t>
            </w:r>
          </w:p>
        </w:tc>
        <w:tc>
          <w:tcPr>
            <w:tcW w:type="dxa" w:w="2059"/>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0</w:t>
            </w:r>
          </w:p>
        </w:tc>
        <w:tc>
          <w:tcPr>
            <w:tcW w:type="dxa" w:w="2621"/>
            <w:tcMar>
              <w:top w:type="dxa" w:w="70"/>
              <w:left w:type="dxa" w:w="110"/>
              <w:bottom w:type="dxa" w:w="70"/>
              <w:right w:type="dxa" w:w="110"/>
            </w:tcMar>
          </w:tcPr>
          <w:p>
            <w:pPr>
              <w:spacing w:after="0" w:line="250"/>
              <w:jc w:val="right"/>
            </w:pPr>
          </w:p>
        </w:tc>
      </w:tr>
      <w:tr>
        <w:tc>
          <w:tcPr>
            <w:tcW w:type="dxa" w:w="4680"/>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low-income</w:t>
            </w:r>
          </w:p>
        </w:tc>
        <w:tc>
          <w:tcPr>
            <w:tcW w:type="dxa" w:w="2059"/>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0</w:t>
            </w:r>
          </w:p>
        </w:tc>
        <w:tc>
          <w:tcPr>
            <w:tcW w:type="dxa" w:w="2621"/>
            <w:tcMar>
              <w:top w:type="dxa" w:w="70"/>
              <w:left w:type="dxa" w:w="110"/>
              <w:bottom w:type="dxa" w:w="70"/>
              <w:right w:type="dxa" w:w="110"/>
            </w:tcMar>
          </w:tcPr>
          <w:p>
            <w:pPr>
              <w:spacing w:after="0" w:line="250"/>
              <w:jc w:val="right"/>
            </w:pPr>
          </w:p>
        </w:tc>
      </w:tr>
      <w:tr>
        <w:tc>
          <w:tcPr>
            <w:tcW w:type="dxa" w:w="4680"/>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“public assistance”</w:t>
            </w:r>
          </w:p>
        </w:tc>
        <w:tc>
          <w:tcPr>
            <w:tcW w:type="dxa" w:w="2059"/>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w:t>
            </w:r>
          </w:p>
        </w:tc>
        <w:tc>
          <w:tcPr>
            <w:tcW w:type="dxa" w:w="2621"/>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only inside the certification boilerplate</w:t>
            </w:r>
          </w:p>
        </w:tc>
      </w:tr>
      <w:tr>
        <w:tc>
          <w:tcPr>
            <w:tcW w:type="dxa" w:w="4680"/>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minority</w:t>
            </w:r>
          </w:p>
        </w:tc>
        <w:tc>
          <w:tcPr>
            <w:tcW w:type="dxa" w:w="2059"/>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1</w:t>
            </w:r>
          </w:p>
        </w:tc>
        <w:tc>
          <w:tcPr>
            <w:tcW w:type="dxa" w:w="2621"/>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only inside the certification's conclusion</w:t>
            </w:r>
          </w:p>
        </w:tc>
      </w:tr>
      <w:tr>
        <w:tc>
          <w:tcPr>
            <w:tcW w:type="dxa" w:w="4680"/>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producer</w:t>
            </w:r>
          </w:p>
        </w:tc>
        <w:tc>
          <w:tcPr>
            <w:tcW w:type="dxa" w:w="2059"/>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66</w:t>
            </w:r>
          </w:p>
        </w:tc>
        <w:tc>
          <w:tcPr>
            <w:tcW w:type="dxa" w:w="2621"/>
            <w:tcMar>
              <w:top w:type="dxa" w:w="70"/>
              <w:left w:type="dxa" w:w="110"/>
              <w:bottom w:type="dxa" w:w="70"/>
              <w:right w:type="dxa" w:w="110"/>
            </w:tcMar>
          </w:tcPr>
          <w:p>
            <w:pPr>
              <w:spacing w:after="0" w:line="250"/>
              <w:jc w:val="right"/>
            </w:pPr>
          </w:p>
        </w:tc>
      </w:tr>
      <w:tr>
        <w:tc>
          <w:tcPr>
            <w:tcW w:type="dxa" w:w="4680"/>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handler</w:t>
            </w:r>
          </w:p>
        </w:tc>
        <w:tc>
          <w:tcPr>
            <w:tcW w:type="dxa" w:w="2059"/>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68</w:t>
            </w:r>
          </w:p>
        </w:tc>
        <w:tc>
          <w:tcPr>
            <w:tcW w:type="dxa" w:w="2621"/>
            <w:tcMar>
              <w:top w:type="dxa" w:w="70"/>
              <w:left w:type="dxa" w:w="110"/>
              <w:bottom w:type="dxa" w:w="70"/>
              <w:right w:type="dxa" w:w="110"/>
            </w:tcMar>
          </w:tcPr>
          <w:p>
            <w:pPr>
              <w:spacing w:after="0" w:line="250"/>
              <w:jc w:val="right"/>
            </w:pPr>
          </w:p>
        </w:tc>
      </w:tr>
    </w:tbl>
    <w:p>
      <w:pPr>
        <w:spacing w:after="110"/>
      </w:pPr>
    </w:p>
    <w:p>
      <w:pPr>
        <w:spacing w:after="140" w:line="276"/>
      </w:pPr>
      <w:r>
        <w:rPr>
          <w:rFonts w:ascii="Cambria" w:cs="Cambria" w:eastAsia="Cambria" w:hAnsi="Cambria"/>
          <w:b/>
          <w:bCs/>
          <w:color w:val="1A1A1A"/>
          <w:sz w:val="21"/>
          <w:szCs w:val="21"/>
        </w:rPr>
        <w:t xml:space="preserve">One precision worth having.</w:t>
      </w:r>
      <w:r>
        <w:rPr>
          <w:rFonts w:ascii="Cambria" w:cs="Cambria" w:eastAsia="Cambria" w:hAnsi="Cambria"/>
          <w:color w:val="1A1A1A"/>
          <w:sz w:val="21"/>
          <w:szCs w:val="21"/>
        </w:rPr>
        <w:t xml:space="preserve"> The certification screens for impacts on “</w:t>
      </w:r>
      <w:r>
        <w:rPr>
          <w:rFonts w:ascii="Cambria" w:cs="Cambria" w:eastAsia="Cambria" w:hAnsi="Cambria"/>
          <w:b/>
          <w:bCs/>
          <w:color w:val="1A1A1A"/>
          <w:sz w:val="21"/>
          <w:szCs w:val="21"/>
        </w:rPr>
        <w:t xml:space="preserve">FMMO participants</w:t>
      </w:r>
      <w:r>
        <w:rPr>
          <w:rFonts w:ascii="Cambria" w:cs="Cambria" w:eastAsia="Cambria" w:hAnsi="Cambria"/>
          <w:color w:val="1A1A1A"/>
          <w:sz w:val="21"/>
          <w:szCs w:val="21"/>
        </w:rPr>
        <w:t xml:space="preserve">,” while the directive it invokes reaches program beneficiaries and expressly people “because an individual's income is derived from any public assistance program” — the WIC and SNAP population by name. USDA's narrower reading is long-standing and consistent, which is a defense rather than a vulnerability: an agency applying a settled if contestable construction of its own directive is on stronger APA footing than one that changed course. The live question is whether that construction is lawful, not whether USDA departed from its own practice.</w:t>
      </w:r>
    </w:p>
    <w:p>
      <w:pPr>
        <w:spacing w:after="140" w:line="276"/>
      </w:pPr>
      <w:r>
        <w:rPr>
          <w:rFonts w:ascii="Cambria" w:cs="Cambria" w:eastAsia="Cambria" w:hAnsi="Cambria"/>
          <w:b/>
          <w:bCs/>
          <w:color w:val="1A1A1A"/>
          <w:sz w:val="21"/>
          <w:szCs w:val="21"/>
        </w:rPr>
        <w:t xml:space="preserve">Two findings that are new and do not depend on the statistics at all:</w:t>
      </w:r>
    </w:p>
    <w:p>
      <w:pPr>
        <w:pStyle w:val="ListParagraph"/>
        <w:numPr>
          <w:ilvl w:val="0"/>
          <w:numId w:val="2"/>
        </w:numPr>
        <w:spacing w:after="95" w:line="276"/>
      </w:pPr>
      <w:r>
        <w:rPr>
          <w:rFonts w:ascii="Cambria" w:cs="Cambria" w:eastAsia="Cambria" w:hAnsi="Cambria"/>
          <w:b/>
          <w:bCs/>
          <w:color w:val="1A1A1A"/>
          <w:sz w:val="21"/>
          <w:szCs w:val="21"/>
        </w:rPr>
        <w:t xml:space="preserve">USDA quantified the transfer and analyzed nobody who pays it.</w:t>
      </w:r>
      <w:r>
        <w:rPr>
          <w:rFonts w:ascii="Cambria" w:cs="Cambria" w:eastAsia="Cambria" w:hAnsi="Cambria"/>
          <w:color w:val="1A1A1A"/>
          <w:sz w:val="21"/>
          <w:szCs w:val="21"/>
        </w:rPr>
        <w:t xml:space="preserve"> Its own Regulatory Economic Impact Analysis puts the amendment's annual transfer at </w:t>
      </w:r>
      <w:r>
        <w:rPr>
          <w:rFonts w:ascii="Cambria" w:cs="Cambria" w:eastAsia="Cambria" w:hAnsi="Cambria"/>
          <w:b/>
          <w:bCs/>
          <w:color w:val="1A1A1A"/>
          <w:sz w:val="21"/>
          <w:szCs w:val="21"/>
        </w:rPr>
        <w:t xml:space="preserve">$4.01 billion</w:t>
      </w:r>
      <w:r>
        <w:rPr>
          <w:rFonts w:ascii="Cambria" w:cs="Cambria" w:eastAsia="Cambria" w:hAnsi="Cambria"/>
          <w:color w:val="1A1A1A"/>
          <w:sz w:val="21"/>
          <w:szCs w:val="21"/>
        </w:rPr>
        <w:t xml:space="preserve">, declines to model its incidence, and contains no consumer analysis of any kind — no breakdown by income, geography or race.</w:t>
      </w:r>
    </w:p>
    <w:p>
      <w:pPr>
        <w:pStyle w:val="ListParagraph"/>
        <w:numPr>
          <w:ilvl w:val="0"/>
          <w:numId w:val="2"/>
        </w:numPr>
        <w:spacing w:after="95" w:line="276"/>
      </w:pPr>
      <w:r>
        <w:rPr>
          <w:rFonts w:ascii="Cambria" w:cs="Cambria" w:eastAsia="Cambria" w:hAnsi="Cambria"/>
          <w:b/>
          <w:bCs/>
          <w:color w:val="1A1A1A"/>
          <w:sz w:val="21"/>
          <w:szCs w:val="21"/>
        </w:rPr>
        <w:t xml:space="preserve">Consumer incidence was raised on the record and went unanswered.</w:t>
      </w:r>
      <w:r>
        <w:rPr>
          <w:rFonts w:ascii="Cambria" w:cs="Cambria" w:eastAsia="Cambria" w:hAnsi="Cambria"/>
          <w:color w:val="1A1A1A"/>
          <w:sz w:val="21"/>
          <w:szCs w:val="21"/>
        </w:rPr>
        <w:t xml:space="preserve"> A commenter representing fluid-milk processors put the burden on lower-income consumers and nutrition-program participants squarely before the agency. The final rule does not respond. Failure to respond to a significant comment is ordinary Administrative Procedure Act territory and requires proving no disparity at all.</w:t>
      </w:r>
    </w:p>
    <w:p>
      <w:pPr>
        <w:spacing w:after="140" w:line="276"/>
      </w:pPr>
      <w:r>
        <w:rPr>
          <w:rFonts w:ascii="Cambria" w:cs="Cambria" w:eastAsia="Cambria" w:hAnsi="Cambria"/>
          <w:color w:val="1A1A1A"/>
          <w:sz w:val="21"/>
          <w:szCs w:val="21"/>
        </w:rPr>
        <w:t xml:space="preserve">USDA also states its objectives for the price surface are to “maintain sufficient revenue for producers … and provide equity to handlers with regards to raw product costs.” Producers and handlers — the consumers who ultimately pay the higher floor appear nowhere among the objectives.</w:t>
      </w:r>
    </w:p>
    <w:p>
      <w:pPr>
        <w:pStyle w:val="Heading2"/>
        <w:spacing w:after="150" w:before="340"/>
      </w:pPr>
      <w:r>
        <w:rPr>
          <w:rFonts w:ascii="Calibri" w:cs="Calibri" w:eastAsia="Calibri" w:hAnsi="Calibri"/>
          <w:b/>
          <w:bCs/>
          <w:color w:val="1B4A6B"/>
          <w:sz w:val="26"/>
          <w:szCs w:val="26"/>
        </w:rPr>
        <w:t xml:space="preserve">7. A narrower, same-cost alternative — restated</w:t>
      </w:r>
    </w:p>
    <w:p>
      <w:pPr>
        <w:spacing w:after="140" w:line="276"/>
      </w:pPr>
      <w:r>
        <w:rPr>
          <w:rFonts w:ascii="Cambria" w:cs="Cambria" w:eastAsia="Cambria" w:hAnsi="Cambria"/>
          <w:b/>
          <w:bCs/>
          <w:color w:val="1A1A1A"/>
          <w:sz w:val="21"/>
          <w:szCs w:val="21"/>
        </w:rPr>
        <w:t xml:space="preserve">The September framing does not survive and should not be used.</w:t>
      </w:r>
      <w:r>
        <w:rPr>
          <w:rFonts w:ascii="Cambria" w:cs="Cambria" w:eastAsia="Cambria" w:hAnsi="Cambria"/>
          <w:color w:val="1A1A1A"/>
          <w:sz w:val="21"/>
          <w:szCs w:val="21"/>
        </w:rPr>
        <w:t xml:space="preserve"> It measured the 2025 increase against USDA's </w:t>
      </w:r>
      <w:r>
        <w:rPr>
          <w:rFonts w:ascii="Cambria" w:cs="Cambria" w:eastAsia="Cambria" w:hAnsi="Cambria"/>
          <w:i/>
          <w:iCs/>
          <w:color w:val="1A1A1A"/>
          <w:sz w:val="21"/>
          <w:szCs w:val="21"/>
        </w:rPr>
        <w:t xml:space="preserve">prior differential</w:t>
      </w:r>
      <w:r>
        <w:rPr>
          <w:rFonts w:ascii="Cambria" w:cs="Cambria" w:eastAsia="Cambria" w:hAnsi="Cambria"/>
          <w:color w:val="1A1A1A"/>
          <w:sz w:val="21"/>
          <w:szCs w:val="21"/>
        </w:rPr>
        <w:t xml:space="preserve"> as the cost baseline and found the increase loaded on Black share beyond it (+$0.0157/cwt per point, t = 20.4). §4a shows why that fails: the prior differential was itself </w:t>
      </w:r>
      <w:r>
        <w:rPr>
          <w:rFonts w:ascii="Cambria" w:cs="Cambria" w:eastAsia="Cambria" w:hAnsi="Cambria"/>
          <w:i/>
          <w:iCs/>
          <w:color w:val="1A1A1A"/>
          <w:sz w:val="21"/>
          <w:szCs w:val="21"/>
        </w:rPr>
        <w:t xml:space="preserve">below</w:t>
      </w:r>
      <w:r>
        <w:rPr>
          <w:rFonts w:ascii="Cambria" w:cs="Cambria" w:eastAsia="Cambria" w:hAnsi="Cambria"/>
          <w:color w:val="1A1A1A"/>
          <w:sz w:val="21"/>
          <w:szCs w:val="21"/>
        </w:rPr>
        <w:t xml:space="preserve"> the cost surface, so USDA's answer — that the prior surface understated cost, which is why it was raised — is now supported by USDA's own filed model. The September version anticipated that objection; the new evidence confirms it.</w:t>
      </w:r>
    </w:p>
    <w:p>
      <w:pPr>
        <w:spacing w:after="140" w:line="276"/>
      </w:pPr>
      <w:r>
        <w:rPr>
          <w:rFonts w:ascii="Cambria" w:cs="Cambria" w:eastAsia="Cambria" w:hAnsi="Cambria"/>
          <w:color w:val="1A1A1A"/>
          <w:sz w:val="21"/>
          <w:szCs w:val="21"/>
        </w:rPr>
        <w:t xml:space="preserve">The September version's illustrative re-anchoring also does not survive. It suggested the Bronx should price near $3.70 against $5.10 actual, and Philadelphia near $2.90 against $4.60. The real model puts the Bronx at </w:t>
      </w:r>
      <w:r>
        <w:rPr>
          <w:rFonts w:ascii="Cambria" w:cs="Cambria" w:eastAsia="Cambria" w:hAnsi="Cambria"/>
          <w:b/>
          <w:bCs/>
          <w:color w:val="1A1A1A"/>
          <w:sz w:val="21"/>
          <w:szCs w:val="21"/>
        </w:rPr>
        <w:t xml:space="preserve">$4.91</w:t>
      </w:r>
      <w:r>
        <w:rPr>
          <w:rFonts w:ascii="Cambria" w:cs="Cambria" w:eastAsia="Cambria" w:hAnsi="Cambria"/>
          <w:color w:val="1A1A1A"/>
          <w:sz w:val="21"/>
          <w:szCs w:val="21"/>
        </w:rPr>
        <w:t xml:space="preserve"> and Philadelphia at </w:t>
      </w:r>
      <w:r>
        <w:rPr>
          <w:rFonts w:ascii="Cambria" w:cs="Cambria" w:eastAsia="Cambria" w:hAnsi="Cambria"/>
          <w:b/>
          <w:bCs/>
          <w:color w:val="1A1A1A"/>
          <w:sz w:val="21"/>
          <w:szCs w:val="21"/>
        </w:rPr>
        <w:t xml:space="preserve">$4.50</w:t>
      </w:r>
      <w:r>
        <w:rPr>
          <w:rFonts w:ascii="Cambria" w:cs="Cambria" w:eastAsia="Cambria" w:hAnsi="Cambria"/>
          <w:color w:val="1A1A1A"/>
          <w:sz w:val="21"/>
          <w:szCs w:val="21"/>
        </w:rPr>
        <w:t xml:space="preserve"> — departures of +$0.19 and +$0.10, not $1.40 and $1.70. Distance to nearest production is not the cost of serving a metro, because the model must account for plant capacity and assembly that upstate New York cannot supply alone. </w:t>
      </w:r>
      <w:r>
        <w:rPr>
          <w:rFonts w:ascii="Cambria" w:cs="Cambria" w:eastAsia="Cambria" w:hAnsi="Cambria"/>
          <w:b/>
          <w:bCs/>
          <w:color w:val="1A1A1A"/>
          <w:sz w:val="21"/>
          <w:szCs w:val="21"/>
        </w:rPr>
        <w:t xml:space="preserve">Do not file the Bronx figure.</w:t>
      </w:r>
    </w:p>
    <w:p>
      <w:pPr>
        <w:spacing w:after="140" w:line="276"/>
      </w:pPr>
      <w:r>
        <w:rPr>
          <w:rFonts w:ascii="Cambria" w:cs="Cambria" w:eastAsia="Cambria" w:hAnsi="Cambria"/>
          <w:b/>
          <w:bCs/>
          <w:color w:val="1A1A1A"/>
          <w:sz w:val="21"/>
          <w:szCs w:val="21"/>
        </w:rPr>
        <w:t xml:space="preserve">What replaces it is better, because it is in the record rather than modeled.</w:t>
      </w:r>
      <w:r>
        <w:rPr>
          <w:rFonts w:ascii="Cambria" w:cs="Cambria" w:eastAsia="Cambria" w:hAnsi="Cambria"/>
          <w:color w:val="1A1A1A"/>
          <w:sz w:val="21"/>
          <w:szCs w:val="21"/>
        </w:rPr>
        <w:t xml:space="preserve"> Four county-level schedules were before USDA at the hearing. Holding the national average level equal so that only distribution differs:</w:t>
      </w:r>
    </w:p>
    <w:tbl>
      <w:tblPr>
        <w:tblW w:type="dxa" w:w="9360"/>
        <w:tblBorders>
          <w:top w:val="single" w:color="9AA7B2" w:sz="6"/>
          <w:left w:val="none" w:color="FFFFFF" w:sz="0"/>
          <w:bottom w:val="single" w:color="9AA7B2" w:sz="6"/>
          <w:right w:val="none" w:color="FFFFFF" w:sz="0"/>
          <w:insideH w:val="single" w:color="D6DDE3" w:sz="2"/>
          <w:insideV w:val="none" w:color="FFFFFF" w:sz="0"/>
        </w:tblBorders>
      </w:tblPr>
      <w:tblGrid>
        <w:gridCol w:w="4306"/>
        <w:gridCol w:w="1872"/>
        <w:gridCol w:w="3182"/>
      </w:tblGrid>
      <w:tr>
        <w:trPr>
          <w:tblHeader/>
        </w:trPr>
        <w:tc>
          <w:tcPr>
            <w:tcW w:type="dxa" w:w="4306"/>
            <w:shd w:fill="EDF1F5" w:color="auto" w:val="clear"/>
            <w:tcMar>
              <w:top w:type="dxa" w:w="70"/>
              <w:left w:type="dxa" w:w="110"/>
              <w:bottom w:type="dxa" w:w="70"/>
              <w:right w:type="dxa" w:w="110"/>
            </w:tcMar>
          </w:tcPr>
          <w:p>
            <w:pPr>
              <w:spacing w:after="0" w:line="250"/>
            </w:pPr>
            <w:r>
              <w:rPr>
                <w:rFonts w:ascii="Calibri" w:cs="Calibri" w:eastAsia="Calibri" w:hAnsi="Calibri"/>
                <w:b/>
                <w:bCs/>
                <w:color w:val="1A1A1A"/>
                <w:sz w:val="17"/>
                <w:szCs w:val="17"/>
              </w:rPr>
              <w:t xml:space="preserve">Schedule before USDA</w:t>
            </w:r>
          </w:p>
        </w:tc>
        <w:tc>
          <w:tcPr>
            <w:tcW w:type="dxa" w:w="1872"/>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Gap ¢/gal</w:t>
            </w:r>
          </w:p>
        </w:tc>
        <w:tc>
          <w:tcPr>
            <w:tcW w:type="dxa" w:w="3182"/>
            <w:shd w:fill="EDF1F5" w:color="auto" w:val="clear"/>
            <w:tcMar>
              <w:top w:type="dxa" w:w="70"/>
              <w:left w:type="dxa" w:w="110"/>
              <w:bottom w:type="dxa" w:w="70"/>
              <w:right w:type="dxa" w:w="110"/>
            </w:tcMar>
          </w:tcPr>
          <w:p>
            <w:pPr>
              <w:spacing w:after="0" w:line="250"/>
              <w:jc w:val="right"/>
            </w:pPr>
            <w:r>
              <w:rPr>
                <w:rFonts w:ascii="Calibri" w:cs="Calibri" w:eastAsia="Calibri" w:hAnsi="Calibri"/>
                <w:b/>
                <w:bCs/>
                <w:color w:val="1A1A1A"/>
                <w:sz w:val="17"/>
                <w:szCs w:val="17"/>
              </w:rPr>
              <w:t xml:space="preserve">Relative to adopted</w:t>
            </w:r>
          </w:p>
        </w:tc>
      </w:tr>
      <w:tr>
        <w:tc>
          <w:tcPr>
            <w:tcW w:type="dxa" w:w="4306"/>
            <w:tcMar>
              <w:top w:type="dxa" w:w="70"/>
              <w:left w:type="dxa" w:w="110"/>
              <w:bottom w:type="dxa" w:w="70"/>
              <w:right w:type="dxa" w:w="110"/>
            </w:tcMar>
          </w:tcPr>
          <w:p>
            <w:pPr>
              <w:spacing w:after="0" w:line="250"/>
            </w:pPr>
            <w:r>
              <w:rPr>
                <w:rFonts w:ascii="Calibri" w:cs="Calibri" w:eastAsia="Calibri" w:hAnsi="Calibri"/>
                <w:b/>
                <w:bCs/>
                <w:color w:val="1A1A1A"/>
                <w:sz w:val="18"/>
                <w:szCs w:val="18"/>
              </w:rPr>
              <w:t xml:space="preserve">Processor coalition’s filed schedule</w:t>
            </w:r>
          </w:p>
        </w:tc>
        <w:tc>
          <w:tcPr>
            <w:tcW w:type="dxa" w:w="1872"/>
            <w:tcMar>
              <w:top w:type="dxa" w:w="70"/>
              <w:left w:type="dxa" w:w="110"/>
              <w:bottom w:type="dxa" w:w="70"/>
              <w:right w:type="dxa" w:w="110"/>
            </w:tcMar>
          </w:tcPr>
          <w:p>
            <w:pPr>
              <w:spacing w:after="0" w:line="250"/>
              <w:jc w:val="right"/>
            </w:pPr>
            <w:r>
              <w:rPr>
                <w:rFonts w:ascii="Calibri" w:cs="Calibri" w:eastAsia="Calibri" w:hAnsi="Calibri"/>
                <w:b/>
                <w:bCs/>
                <w:color w:val="2F6E4E"/>
                <w:sz w:val="18"/>
                <w:szCs w:val="18"/>
              </w:rPr>
              <w:t xml:space="preserve">2.62¢</w:t>
            </w:r>
          </w:p>
        </w:tc>
        <w:tc>
          <w:tcPr>
            <w:tcW w:type="dxa" w:w="318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48% less racially graded</w:t>
            </w:r>
          </w:p>
        </w:tc>
      </w:tr>
      <w:tr>
        <w:tc>
          <w:tcPr>
            <w:tcW w:type="dxa" w:w="4306"/>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Pre-existing schedule</w:t>
            </w:r>
          </w:p>
        </w:tc>
        <w:tc>
          <w:tcPr>
            <w:tcW w:type="dxa" w:w="187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3.36¢</w:t>
            </w:r>
          </w:p>
        </w:tc>
        <w:tc>
          <w:tcPr>
            <w:tcW w:type="dxa" w:w="318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33% less</w:t>
            </w:r>
          </w:p>
        </w:tc>
      </w:tr>
      <w:tr>
        <w:tc>
          <w:tcPr>
            <w:tcW w:type="dxa" w:w="4306"/>
            <w:tcMar>
              <w:top w:type="dxa" w:w="70"/>
              <w:left w:type="dxa" w:w="110"/>
              <w:bottom w:type="dxa" w:w="70"/>
              <w:right w:type="dxa" w:w="110"/>
            </w:tcMar>
          </w:tcPr>
          <w:p>
            <w:pPr>
              <w:spacing w:after="0" w:line="250"/>
            </w:pPr>
            <w:r>
              <w:rPr>
                <w:rFonts w:ascii="Calibri" w:cs="Calibri" w:eastAsia="Calibri" w:hAnsi="Calibri"/>
                <w:color w:val="1A1A1A"/>
                <w:sz w:val="18"/>
                <w:szCs w:val="18"/>
              </w:rPr>
              <w:t xml:space="preserve">Producer proposal (NMPF, Proposal 19)</w:t>
            </w:r>
          </w:p>
        </w:tc>
        <w:tc>
          <w:tcPr>
            <w:tcW w:type="dxa" w:w="187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4.60¢</w:t>
            </w:r>
          </w:p>
        </w:tc>
        <w:tc>
          <w:tcPr>
            <w:tcW w:type="dxa" w:w="3182"/>
            <w:tcMar>
              <w:top w:type="dxa" w:w="70"/>
              <w:left w:type="dxa" w:w="110"/>
              <w:bottom w:type="dxa" w:w="70"/>
              <w:right w:type="dxa" w:w="110"/>
            </w:tcMar>
          </w:tcPr>
          <w:p>
            <w:pPr>
              <w:spacing w:after="0" w:line="250"/>
              <w:jc w:val="right"/>
            </w:pPr>
            <w:r>
              <w:rPr>
                <w:rFonts w:ascii="Calibri" w:cs="Calibri" w:eastAsia="Calibri" w:hAnsi="Calibri"/>
                <w:color w:val="1A1A1A"/>
                <w:sz w:val="18"/>
                <w:szCs w:val="18"/>
              </w:rPr>
              <w:t xml:space="preserve">9% less</w:t>
            </w:r>
          </w:p>
        </w:tc>
      </w:tr>
      <w:tr>
        <w:tc>
          <w:tcPr>
            <w:tcW w:type="dxa" w:w="4306"/>
            <w:tcMar>
              <w:top w:type="dxa" w:w="70"/>
              <w:left w:type="dxa" w:w="110"/>
              <w:bottom w:type="dxa" w:w="70"/>
              <w:right w:type="dxa" w:w="110"/>
            </w:tcMar>
          </w:tcPr>
          <w:p>
            <w:pPr>
              <w:spacing w:after="0" w:line="250"/>
            </w:pPr>
            <w:r>
              <w:rPr>
                <w:rFonts w:ascii="Calibri" w:cs="Calibri" w:eastAsia="Calibri" w:hAnsi="Calibri"/>
                <w:b/>
                <w:bCs/>
                <w:color w:val="1A1A1A"/>
                <w:sz w:val="18"/>
                <w:szCs w:val="18"/>
              </w:rPr>
              <w:t xml:space="preserve">What USDA adopted</w:t>
            </w:r>
          </w:p>
        </w:tc>
        <w:tc>
          <w:tcPr>
            <w:tcW w:type="dxa" w:w="1872"/>
            <w:tcMar>
              <w:top w:type="dxa" w:w="70"/>
              <w:left w:type="dxa" w:w="110"/>
              <w:bottom w:type="dxa" w:w="70"/>
              <w:right w:type="dxa" w:w="110"/>
            </w:tcMar>
          </w:tcPr>
          <w:p>
            <w:pPr>
              <w:spacing w:after="0" w:line="250"/>
              <w:jc w:val="right"/>
            </w:pPr>
            <w:r>
              <w:rPr>
                <w:rFonts w:ascii="Calibri" w:cs="Calibri" w:eastAsia="Calibri" w:hAnsi="Calibri"/>
                <w:b/>
                <w:bCs/>
                <w:color w:val="8C2F22"/>
                <w:sz w:val="18"/>
                <w:szCs w:val="18"/>
              </w:rPr>
              <w:t xml:space="preserve">5.05¢</w:t>
            </w:r>
          </w:p>
        </w:tc>
        <w:tc>
          <w:tcPr>
            <w:tcW w:type="dxa" w:w="3182"/>
            <w:tcMar>
              <w:top w:type="dxa" w:w="70"/>
              <w:left w:type="dxa" w:w="110"/>
              <w:bottom w:type="dxa" w:w="70"/>
              <w:right w:type="dxa" w:w="110"/>
            </w:tcMar>
          </w:tcPr>
          <w:p>
            <w:pPr>
              <w:spacing w:after="0" w:line="250"/>
              <w:jc w:val="right"/>
            </w:pPr>
            <w:r>
              <w:rPr>
                <w:rFonts w:ascii="Calibri" w:cs="Calibri" w:eastAsia="Calibri" w:hAnsi="Calibri"/>
                <w:b/>
                <w:bCs/>
                <w:color w:val="1A1A1A"/>
                <w:sz w:val="18"/>
                <w:szCs w:val="18"/>
              </w:rPr>
              <w:t xml:space="preserve">the most graded of the four</w:t>
            </w:r>
          </w:p>
        </w:tc>
      </w:tr>
    </w:tbl>
    <w:p>
      <w:pPr>
        <w:spacing w:after="110"/>
      </w:pPr>
    </w:p>
    <w:p>
      <w:pPr>
        <w:spacing w:after="140" w:line="276"/>
      </w:pPr>
      <w:r>
        <w:rPr>
          <w:rFonts w:ascii="Cambria" w:cs="Cambria" w:eastAsia="Cambria" w:hAnsi="Cambria"/>
          <w:b/>
          <w:bCs/>
          <w:color w:val="1A1A1A"/>
          <w:sz w:val="21"/>
          <w:szCs w:val="21"/>
        </w:rPr>
        <w:t xml:space="preserve">USDA adopted the most racially graded of the four options in front of it.</w:t>
      </w:r>
      <w:r>
        <w:rPr>
          <w:rFonts w:ascii="Cambria" w:cs="Cambria" w:eastAsia="Cambria" w:hAnsi="Cambria"/>
          <w:color w:val="1A1A1A"/>
          <w:sz w:val="21"/>
          <w:szCs w:val="21"/>
        </w:rPr>
        <w:t xml:space="preserve"> It also cut the producer proposal down in 2,153 counties and raised it in 419 — and its pattern of cuts was systematically smaller where the Black share was higher (t +12.08). A less discriminatory alternative existed, was filed, and was on the record.</w:t>
      </w:r>
    </w:p>
    <w:p>
      <w:pPr>
        <w:spacing w:after="140" w:line="276"/>
      </w:pPr>
      <w:r>
        <w:rPr>
          <w:rFonts w:ascii="Cambria" w:cs="Cambria" w:eastAsia="Cambria" w:hAnsi="Cambria"/>
          <w:b/>
          <w:bCs/>
          <w:color w:val="1A1A1A"/>
          <w:sz w:val="21"/>
          <w:szCs w:val="21"/>
        </w:rPr>
        <w:t xml:space="preserve">The qualification, stated plainly.</w:t>
      </w:r>
      <w:r>
        <w:rPr>
          <w:rFonts w:ascii="Cambria" w:cs="Cambria" w:eastAsia="Cambria" w:hAnsi="Cambria"/>
          <w:color w:val="1A1A1A"/>
          <w:sz w:val="21"/>
          <w:szCs w:val="21"/>
        </w:rPr>
        <w:t xml:space="preserve"> That alternative is the pre-existing surface shifted down by a uniform $1.60, so its </w:t>
      </w:r>
      <w:r>
        <w:rPr>
          <w:rFonts w:ascii="Cambria" w:cs="Cambria" w:eastAsia="Cambria" w:hAnsi="Cambria"/>
          <w:i/>
          <w:iCs/>
          <w:color w:val="1A1A1A"/>
          <w:sz w:val="21"/>
          <w:szCs w:val="21"/>
        </w:rPr>
        <w:t xml:space="preserve">shape</w:t>
      </w:r>
      <w:r>
        <w:rPr>
          <w:rFonts w:ascii="Cambria" w:cs="Cambria" w:eastAsia="Cambria" w:hAnsi="Cambria"/>
          <w:color w:val="1A1A1A"/>
          <w:sz w:val="21"/>
          <w:szCs w:val="21"/>
        </w:rPr>
        <w:t xml:space="preserve"> is the old shape — which §4a shows is flatter than the cost model implies. USDA has grounds to reject it for under-signaling location, and it also cuts the national average to $1.00/cwt, which USDA could reject on producer-return grounds. </w:t>
      </w:r>
      <w:r>
        <w:rPr>
          <w:rFonts w:ascii="Cambria" w:cs="Cambria" w:eastAsia="Cambria" w:hAnsi="Cambria"/>
          <w:b/>
          <w:bCs/>
          <w:color w:val="1A1A1A"/>
          <w:sz w:val="21"/>
          <w:szCs w:val="21"/>
        </w:rPr>
        <w:t xml:space="preserve">An alternative that tracks the cost surface at the adopted level would be materially stronger, and it is constructible from the filed exhibit.</w:t>
      </w:r>
      <w:r>
        <w:rPr>
          <w:rFonts w:ascii="Cambria" w:cs="Cambria" w:eastAsia="Cambria" w:hAnsi="Cambria"/>
          <w:color w:val="1A1A1A"/>
          <w:sz w:val="21"/>
          <w:szCs w:val="21"/>
        </w:rPr>
        <w:t xml:space="preserve"> That is the open analytical task, and it is the one thing that would put this leg on solid footing.</w:t>
      </w:r>
    </w:p>
    <w:p>
      <w:pPr>
        <w:pStyle w:val="Heading2"/>
        <w:spacing w:after="150" w:before="340"/>
      </w:pPr>
      <w:r>
        <w:rPr>
          <w:rFonts w:ascii="Calibri" w:cs="Calibri" w:eastAsia="Calibri" w:hAnsi="Calibri"/>
          <w:b/>
          <w:bCs/>
          <w:color w:val="1B4A6B"/>
          <w:sz w:val="26"/>
          <w:szCs w:val="26"/>
        </w:rPr>
        <w:t xml:space="preserve">8. A concrete harm channel and a candidate plaintiff (WIC)</w:t>
      </w:r>
    </w:p>
    <w:p>
      <w:pPr>
        <w:spacing w:after="140" w:line="276"/>
      </w:pPr>
      <w:r>
        <w:rPr>
          <w:rFonts w:ascii="Cambria" w:cs="Cambria" w:eastAsia="Cambria" w:hAnsi="Cambria"/>
          <w:color w:val="1A1A1A"/>
          <w:sz w:val="21"/>
          <w:szCs w:val="21"/>
        </w:rPr>
        <w:t xml:space="preserve">The federal WIC program — serving low-income mothers and infants, disproportionately minority — buys milk at these floors, so the disparity flows to WIC families in high-differential, high-Black-share areas, a population USDA's civil-rights directive (§6) expressly reaches. In California, Black WIC participants' exposure is measurably higher and the 2025 change widened it. This is the clearest route to a party with standing — a WIC participant or milk consumer in an affected county — though the California magnitudes are modest and partly modeled. This section was not re-audited in this revision.</w:t>
      </w:r>
    </w:p>
    <w:p>
      <w:pPr>
        <w:pBdr>
          <w:left w:val="single" w:color="1B4A6B" w:sz="18" w:space="10"/>
        </w:pBdr>
        <w:spacing w:after="180" w:line="276"/>
        <w:ind w:left="170"/>
      </w:pPr>
      <w:r>
        <w:rPr>
          <w:rFonts w:ascii="Cambria" w:cs="Cambria" w:eastAsia="Cambria" w:hAnsi="Cambria"/>
          <w:b/>
          <w:bCs/>
          <w:color w:val="1A1A1A"/>
          <w:sz w:val="21"/>
          <w:szCs w:val="21"/>
        </w:rPr>
        <w:t xml:space="preserve">One procedural obstacle you will already have in mind.</w:t>
      </w:r>
      <w:r>
        <w:rPr>
          <w:rFonts w:ascii="Cambria" w:cs="Cambria" w:eastAsia="Cambria" w:hAnsi="Cambria"/>
          <w:color w:val="1A1A1A"/>
          <w:sz w:val="21"/>
          <w:szCs w:val="21"/>
        </w:rPr>
        <w:t xml:space="preserve"> Under </w:t>
      </w:r>
      <w:r>
        <w:rPr>
          <w:rFonts w:ascii="Cambria" w:cs="Cambria" w:eastAsia="Cambria" w:hAnsi="Cambria"/>
          <w:i/>
          <w:iCs/>
          <w:color w:val="1A1A1A"/>
          <w:sz w:val="21"/>
          <w:szCs w:val="21"/>
        </w:rPr>
        <w:t xml:space="preserve">Block v. Community Nutrition Institute</w:t>
      </w:r>
      <w:r>
        <w:rPr>
          <w:rFonts w:ascii="Cambria" w:cs="Cambria" w:eastAsia="Cambria" w:hAnsi="Cambria"/>
          <w:color w:val="1A1A1A"/>
          <w:sz w:val="21"/>
          <w:szCs w:val="21"/>
        </w:rPr>
        <w:t xml:space="preserve">, 467 U.S. 340 (1984), judicial review of milk marketing orders was held to be confined to handlers; consumers were found to lack standing to challenge them directly. The commenter who raised consumer incidence on this record represents handlers. The vehicle question may matter more than the incidence evidence.</w:t>
      </w:r>
    </w:p>
    <w:p>
      <w:pPr>
        <w:pStyle w:val="Heading2"/>
        <w:spacing w:after="150" w:before="340"/>
      </w:pPr>
      <w:r>
        <w:rPr>
          <w:rFonts w:ascii="Calibri" w:cs="Calibri" w:eastAsia="Calibri" w:hAnsi="Calibri"/>
          <w:b/>
          <w:bCs/>
          <w:color w:val="1B4A6B"/>
          <w:sz w:val="26"/>
          <w:szCs w:val="26"/>
        </w:rPr>
        <w:t xml:space="preserve">9. The retailer strand — withdrawn</w:t>
      </w:r>
    </w:p>
    <w:p>
      <w:pPr>
        <w:spacing w:after="140" w:line="276"/>
      </w:pPr>
      <w:r>
        <w:rPr>
          <w:rFonts w:ascii="Cambria" w:cs="Cambria" w:eastAsia="Cambria" w:hAnsi="Cambria"/>
          <w:b/>
          <w:bCs/>
          <w:color w:val="1A1A1A"/>
          <w:sz w:val="21"/>
          <w:szCs w:val="21"/>
        </w:rPr>
        <w:t xml:space="preserve">The September version's §9 should be disregarded.</w:t>
      </w:r>
      <w:r>
        <w:rPr>
          <w:rFonts w:ascii="Cambria" w:cs="Cambria" w:eastAsia="Cambria" w:hAnsi="Cambria"/>
          <w:color w:val="1A1A1A"/>
          <w:sz w:val="21"/>
          <w:szCs w:val="21"/>
        </w:rPr>
        <w:t xml:space="preserve"> It reported a milk-specific retail premium robust in South Carolina and Louisiana after a same-region control. On re-analysis it does not survive anywhere:</w:t>
      </w:r>
    </w:p>
    <w:p>
      <w:pPr>
        <w:pStyle w:val="ListParagraph"/>
        <w:numPr>
          <w:ilvl w:val="0"/>
          <w:numId w:val="2"/>
        </w:numPr>
        <w:spacing w:after="95" w:line="276"/>
      </w:pPr>
      <w:r>
        <w:rPr>
          <w:rFonts w:ascii="Cambria" w:cs="Cambria" w:eastAsia="Cambria" w:hAnsi="Cambria"/>
          <w:color w:val="1A1A1A"/>
          <w:sz w:val="21"/>
          <w:szCs w:val="21"/>
        </w:rPr>
        <w:t xml:space="preserve">South Carolina, within postal region: </w:t>
      </w:r>
      <w:r>
        <w:rPr>
          <w:rFonts w:ascii="Cambria" w:cs="Cambria" w:eastAsia="Cambria" w:hAnsi="Cambria"/>
          <w:b/>
          <w:bCs/>
          <w:color w:val="1A1A1A"/>
          <w:sz w:val="21"/>
          <w:szCs w:val="21"/>
        </w:rPr>
        <w:t xml:space="preserve">t −1.56</w:t>
      </w:r>
      <w:r>
        <w:rPr>
          <w:rFonts w:ascii="Cambria" w:cs="Cambria" w:eastAsia="Cambria" w:hAnsi="Cambria"/>
          <w:color w:val="1A1A1A"/>
          <w:sz w:val="21"/>
          <w:szCs w:val="21"/>
        </w:rPr>
        <w:t xml:space="preserve">. Louisiana: </w:t>
      </w:r>
      <w:r>
        <w:rPr>
          <w:rFonts w:ascii="Cambria" w:cs="Cambria" w:eastAsia="Cambria" w:hAnsi="Cambria"/>
          <w:b/>
          <w:bCs/>
          <w:color w:val="1A1A1A"/>
          <w:sz w:val="21"/>
          <w:szCs w:val="21"/>
        </w:rPr>
        <w:t xml:space="preserve">t +0.37</w:t>
      </w:r>
      <w:r>
        <w:rPr>
          <w:rFonts w:ascii="Cambria" w:cs="Cambria" w:eastAsia="Cambria" w:hAnsi="Cambria"/>
          <w:color w:val="1A1A1A"/>
          <w:sz w:val="21"/>
          <w:szCs w:val="21"/>
        </w:rPr>
        <w:t xml:space="preserve">. North Carolina and Texas are significantly </w:t>
      </w:r>
      <w:r>
        <w:rPr>
          <w:rFonts w:ascii="Cambria" w:cs="Cambria" w:eastAsia="Cambria" w:hAnsi="Cambria"/>
          <w:i/>
          <w:iCs/>
          <w:color w:val="1A1A1A"/>
          <w:sz w:val="21"/>
          <w:szCs w:val="21"/>
        </w:rPr>
        <w:t xml:space="preserve">negative</w:t>
      </w:r>
      <w:r>
        <w:rPr>
          <w:rFonts w:ascii="Cambria" w:cs="Cambria" w:eastAsia="Cambria" w:hAnsi="Cambria"/>
          <w:color w:val="1A1A1A"/>
          <w:sz w:val="21"/>
          <w:szCs w:val="21"/>
        </w:rPr>
        <w:t xml:space="preserve">.</w:t>
      </w:r>
    </w:p>
    <w:p>
      <w:pPr>
        <w:pStyle w:val="ListParagraph"/>
        <w:numPr>
          <w:ilvl w:val="0"/>
          <w:numId w:val="2"/>
        </w:numPr>
        <w:spacing w:after="95" w:line="276"/>
      </w:pPr>
      <w:r>
        <w:rPr>
          <w:rFonts w:ascii="Cambria" w:cs="Cambria" w:eastAsia="Cambria" w:hAnsi="Cambria"/>
          <w:color w:val="1A1A1A"/>
          <w:sz w:val="21"/>
          <w:szCs w:val="21"/>
        </w:rPr>
        <w:t xml:space="preserve">Metropolitan Atlanta — 71 stores, 30 high-Black ZIPs against 13 low-Black, the original matched-pair design applied inside one market: </w:t>
      </w:r>
      <w:r>
        <w:rPr>
          <w:rFonts w:ascii="Cambria" w:cs="Cambria" w:eastAsia="Cambria" w:hAnsi="Cambria"/>
          <w:b/>
          <w:bCs/>
          <w:color w:val="1A1A1A"/>
          <w:sz w:val="21"/>
          <w:szCs w:val="21"/>
        </w:rPr>
        <w:t xml:space="preserve">−2.9¢/gallon, p = 0.65</w:t>
      </w:r>
      <w:r>
        <w:rPr>
          <w:rFonts w:ascii="Cambria" w:cs="Cambria" w:eastAsia="Cambria" w:hAnsi="Cambria"/>
          <w:color w:val="1A1A1A"/>
          <w:sz w:val="21"/>
          <w:szCs w:val="21"/>
        </w:rPr>
        <w:t xml:space="preserve">, with power to detect a 12¢ gap at 80% and a 16¢ gap at 95%.</w:t>
      </w:r>
    </w:p>
    <w:p>
      <w:pPr>
        <w:pStyle w:val="ListParagraph"/>
        <w:numPr>
          <w:ilvl w:val="0"/>
          <w:numId w:val="2"/>
        </w:numPr>
        <w:spacing w:after="95" w:line="276"/>
      </w:pPr>
      <w:r>
        <w:rPr>
          <w:rFonts w:ascii="Cambria" w:cs="Cambria" w:eastAsia="Cambria" w:hAnsi="Cambria"/>
          <w:color w:val="1A1A1A"/>
          <w:sz w:val="21"/>
          <w:szCs w:val="21"/>
        </w:rPr>
        <w:t xml:space="preserve">Twelve metropolitan areas tested; </w:t>
      </w:r>
      <w:r>
        <w:rPr>
          <w:rFonts w:ascii="Cambria" w:cs="Cambria" w:eastAsia="Cambria" w:hAnsi="Cambria"/>
          <w:b/>
          <w:bCs/>
          <w:color w:val="1A1A1A"/>
          <w:sz w:val="21"/>
          <w:szCs w:val="21"/>
        </w:rPr>
        <w:t xml:space="preserve">not one shows a significant positive gradient.</w:t>
      </w:r>
      <w:r>
        <w:rPr>
          <w:rFonts w:ascii="Cambria" w:cs="Cambria" w:eastAsia="Cambria" w:hAnsi="Cambria"/>
          <w:color w:val="1A1A1A"/>
          <w:sz w:val="21"/>
          <w:szCs w:val="21"/>
        </w:rPr>
        <w:t xml:space="preserve"> Pooled with metro fixed effects the coefficient is −0.0007 (t −0.88).</w:t>
      </w:r>
    </w:p>
    <w:p>
      <w:pPr>
        <w:spacing w:after="140" w:line="276"/>
      </w:pPr>
      <w:r>
        <w:rPr>
          <w:rFonts w:ascii="Cambria" w:cs="Cambria" w:eastAsia="Cambria" w:hAnsi="Cambria"/>
          <w:b/>
          <w:bCs/>
          <w:color w:val="1A1A1A"/>
          <w:sz w:val="21"/>
          <w:szCs w:val="21"/>
        </w:rPr>
        <w:t xml:space="preserve">Recommendation: the retail pricing theory should not be advanced.</w:t>
      </w:r>
      <w:r>
        <w:rPr>
          <w:rFonts w:ascii="Cambria" w:cs="Cambria" w:eastAsia="Cambria" w:hAnsi="Cambria"/>
          <w:color w:val="1A1A1A"/>
          <w:sz w:val="21"/>
          <w:szCs w:val="21"/>
        </w:rPr>
        <w:t xml:space="preserve"> It fails in the jurisdiction it was built on, in the best-powered test available, and nationally. The “deceptive discount” observations referenced in the September version were not part of this analysis and I can express no view on them.</w:t>
      </w:r>
    </w:p>
    <w:p>
      <w:pPr>
        <w:spacing w:after="140" w:line="276"/>
      </w:pPr>
      <w:r>
        <w:rPr>
          <w:rFonts w:ascii="Cambria" w:cs="Cambria" w:eastAsia="Cambria" w:hAnsi="Cambria"/>
          <w:color w:val="1A1A1A"/>
          <w:sz w:val="21"/>
          <w:szCs w:val="21"/>
        </w:rPr>
        <w:t xml:space="preserve">One collateral finding is solid and worth keeping, though it is not a disparity: fluid milk is priced store-by-store while adjacent dairy is priced nationally. Across a 13-item basket at all 92 South Carolina Walmart stores, whole milk took 25 distinct prices while sour cream, mozzarella, Greek yogurt, eggs and canned green beans each took exactly one statewide. It establishes a mechanism capable of producing disparity and forecloses the defense that all staples are priced locally. It is not evidence that any disparity occurred.</w:t>
      </w:r>
    </w:p>
    <w:p>
      <w:pPr>
        <w:spacing w:after="140" w:line="276"/>
      </w:pPr>
      <w:r>
        <w:rPr>
          <w:rFonts w:ascii="Cambria" w:cs="Cambria" w:eastAsia="Cambria" w:hAnsi="Cambria"/>
          <w:color w:val="1A1A1A"/>
          <w:sz w:val="21"/>
          <w:szCs w:val="21"/>
        </w:rPr>
        <w:t xml:space="preserve">Separately: </w:t>
      </w:r>
      <w:r>
        <w:rPr>
          <w:rFonts w:ascii="Cambria" w:cs="Cambria" w:eastAsia="Cambria" w:hAnsi="Cambria"/>
          <w:b/>
          <w:bCs/>
          <w:color w:val="1A1A1A"/>
          <w:sz w:val="21"/>
          <w:szCs w:val="21"/>
        </w:rPr>
        <w:t xml:space="preserve">state regulation moves retail milk prices far more than anything racial in this data.</w:t>
      </w:r>
      <w:r>
        <w:rPr>
          <w:rFonts w:ascii="Cambria" w:cs="Cambria" w:eastAsia="Cambria" w:hAnsi="Cambria"/>
          <w:color w:val="1A1A1A"/>
          <w:sz w:val="21"/>
          <w:szCs w:val="21"/>
        </w:rPr>
        <w:t xml:space="preserve"> Pennsylvania and New Jersey set minimum </w:t>
      </w:r>
      <w:r>
        <w:rPr>
          <w:rFonts w:ascii="Cambria" w:cs="Cambria" w:eastAsia="Cambria" w:hAnsi="Cambria"/>
          <w:i/>
          <w:iCs/>
          <w:color w:val="1A1A1A"/>
          <w:sz w:val="21"/>
          <w:szCs w:val="21"/>
        </w:rPr>
        <w:t xml:space="preserve">retail</w:t>
      </w:r>
      <w:r>
        <w:rPr>
          <w:rFonts w:ascii="Cambria" w:cs="Cambria" w:eastAsia="Cambria" w:hAnsi="Cambria"/>
          <w:color w:val="1A1A1A"/>
          <w:sz w:val="21"/>
          <w:szCs w:val="21"/>
        </w:rPr>
        <w:t xml:space="preserve"> milk prices by statute; stores there average $4.75/gallon against $3.47 where no such regime applies — a $1.28 gap, roughly sixteen times the retail effect originally claimed. Pennsylvania, the highest-priced state in the country, has a Walmart footprint that is 2.6% Black at the median against a state population near 12%. High milk prices are not in themselves a racial phenomenon.</w:t>
      </w:r>
    </w:p>
    <w:p>
      <w:pPr>
        <w:pStyle w:val="Heading2"/>
        <w:spacing w:after="150" w:before="340"/>
      </w:pPr>
      <w:r>
        <w:rPr>
          <w:rFonts w:ascii="Calibri" w:cs="Calibri" w:eastAsia="Calibri" w:hAnsi="Calibri"/>
          <w:b/>
          <w:bCs/>
          <w:color w:val="1B4A6B"/>
          <w:sz w:val="26"/>
          <w:szCs w:val="26"/>
        </w:rPr>
        <w:t xml:space="preserve">10. The ask</w:t>
      </w:r>
    </w:p>
    <w:p>
      <w:pPr>
        <w:spacing w:after="140" w:line="276"/>
      </w:pPr>
      <w:r>
        <w:rPr>
          <w:rFonts w:ascii="Cambria" w:cs="Cambria" w:eastAsia="Cambria" w:hAnsi="Cambria"/>
          <w:b/>
          <w:bCs/>
          <w:color w:val="1A1A1A"/>
          <w:sz w:val="21"/>
          <w:szCs w:val="21"/>
        </w:rPr>
        <w:t xml:space="preserve">(1)</w:t>
      </w:r>
      <w:r>
        <w:rPr>
          <w:rFonts w:ascii="Cambria" w:cs="Cambria" w:eastAsia="Cambria" w:hAnsi="Cambria"/>
          <w:color w:val="1A1A1A"/>
          <w:sz w:val="21"/>
          <w:szCs w:val="21"/>
        </w:rPr>
        <w:t xml:space="preserve"> Does a facially neutral federal pricing rule with this racial impact fit an impact-litigation / Title VI docket — recognizing, per §4a, that most of the gradient is freight cost and the contestable portion is the 2025 re-sloping? </w:t>
      </w:r>
      <w:r>
        <w:rPr>
          <w:rFonts w:ascii="Cambria" w:cs="Cambria" w:eastAsia="Cambria" w:hAnsi="Cambria"/>
          <w:b/>
          <w:bCs/>
          <w:color w:val="1A1A1A"/>
          <w:sz w:val="21"/>
          <w:szCs w:val="21"/>
        </w:rPr>
        <w:t xml:space="preserve">(2)</w:t>
      </w:r>
      <w:r>
        <w:rPr>
          <w:rFonts w:ascii="Cambria" w:cs="Cambria" w:eastAsia="Cambria" w:hAnsi="Cambria"/>
          <w:color w:val="1A1A1A"/>
          <w:sz w:val="21"/>
          <w:szCs w:val="21"/>
        </w:rPr>
        <w:t xml:space="preserve"> If not, who should see it? </w:t>
      </w:r>
      <w:r>
        <w:rPr>
          <w:rFonts w:ascii="Cambria" w:cs="Cambria" w:eastAsia="Cambria" w:hAnsi="Cambria"/>
          <w:b/>
          <w:bCs/>
          <w:color w:val="1A1A1A"/>
          <w:sz w:val="21"/>
          <w:szCs w:val="21"/>
        </w:rPr>
        <w:t xml:space="preserve">(3)</w:t>
      </w:r>
      <w:r>
        <w:rPr>
          <w:rFonts w:ascii="Cambria" w:cs="Cambria" w:eastAsia="Cambria" w:hAnsi="Cambria"/>
          <w:color w:val="1A1A1A"/>
          <w:sz w:val="21"/>
          <w:szCs w:val="21"/>
        </w:rPr>
        <w:t xml:space="preserve"> What would you need to evaluate it?</w:t>
      </w:r>
    </w:p>
    <w:p>
      <w:pPr>
        <w:spacing w:after="140" w:line="276"/>
      </w:pPr>
      <w:r>
        <w:rPr>
          <w:rFonts w:ascii="Cambria" w:cs="Cambria" w:eastAsia="Cambria" w:hAnsi="Cambria"/>
          <w:b/>
          <w:bCs/>
          <w:color w:val="1A1A1A"/>
          <w:sz w:val="21"/>
          <w:szCs w:val="21"/>
        </w:rPr>
        <w:t xml:space="preserve">One specific discovery item, if this goes forward.</w:t>
      </w:r>
      <w:r>
        <w:rPr>
          <w:rFonts w:ascii="Cambria" w:cs="Cambria" w:eastAsia="Cambria" w:hAnsi="Cambria"/>
          <w:color w:val="1A1A1A"/>
          <w:sz w:val="21"/>
          <w:szCs w:val="21"/>
        </w:rPr>
        <w:t xml:space="preserve"> The cost surface tested in §4a is a March 2016 model run — the one that reached the record. The 2025 schedule was built on </w:t>
      </w:r>
      <w:r>
        <w:rPr>
          <w:rFonts w:ascii="Cambria" w:cs="Cambria" w:eastAsia="Cambria" w:hAnsi="Cambria"/>
          <w:b/>
          <w:bCs/>
          <w:color w:val="1A1A1A"/>
          <w:sz w:val="21"/>
          <w:szCs w:val="21"/>
        </w:rPr>
        <w:t xml:space="preserve">May and October 2021 runs</w:t>
      </w:r>
      <w:r>
        <w:rPr>
          <w:rFonts w:ascii="Cambria" w:cs="Cambria" w:eastAsia="Cambria" w:hAnsi="Cambria"/>
          <w:color w:val="1A1A1A"/>
          <w:sz w:val="21"/>
          <w:szCs w:val="21"/>
        </w:rPr>
        <w:t xml:space="preserve">, which the producer coalition quotes in its hearing exhibit but never filed the county table for. Obtaining it would replace every vintage caveat in this memo and is a narrow, well-identified request. A second is whether a completed civil-rights worksheet exists behind the three-sentence certification; USDA's directive contemplates one.</w:t>
      </w:r>
    </w:p>
    <w:p>
      <w:pPr>
        <w:spacing w:after="140" w:line="276"/>
      </w:pPr>
      <w:r>
        <w:rPr>
          <w:rFonts w:ascii="Cambria" w:cs="Cambria" w:eastAsia="Cambria" w:hAnsi="Cambria"/>
          <w:color w:val="555555"/>
          <w:sz w:val="20"/>
          <w:szCs w:val="20"/>
        </w:rPr>
        <w:t xml:space="preserve">Prepared as an empirical assessment for legal evaluation, not as legal advice or an expert disclosure. All data sources are public: USDA AMS / eCFR 7 CFR 1000.52; Final Decision 89 FR 95466; amendment 90 FR 6605; Hearing Exhibits MIG-16A and NMPF-38, AO Docket 23-J-0067; U.S. Census ACS 2023. Standard errors are clustered on state, or on the differential zone for within-state estimates; permutation inference reassigns demographics across whole states, preserving within-state structure.</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2026-09-12T16:59:20.951Z</dcterms:created>
  <dcterms:modified xsi:type="dcterms:W3CDTF">2026-09-12T16:59:20.951Z</dcterms:modified>
</cp:coreProperties>
</file>

<file path=docProps/custom.xml><?xml version="1.0" encoding="utf-8"?>
<Properties xmlns="http://schemas.openxmlformats.org/officeDocument/2006/custom-properties" xmlns:vt="http://schemas.openxmlformats.org/officeDocument/2006/docPropsVTypes"/>
</file>