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Cyber Defencely</w:t>
      </w:r>
    </w:p>
    <w:p>
      <w:pPr>
        <w:spacing w:after="200"/>
      </w:pPr>
      <w:r>
        <w:rPr>
          <w:color w:val="0A556D"/>
          <w:sz w:val="28"/>
          <w:szCs w:val="28"/>
        </w:rPr>
        <w:t xml:space="preserve">Pre-sales engine — the package, in editable form</w:t>
      </w:r>
    </w:p>
    <w:p>
      <w:pPr>
        <w:spacing w:after="120"/>
      </w:pPr>
      <w:r>
        <w:rPr>
          <w:sz w:val="21"/>
          <w:szCs w:val="21"/>
        </w:rPr>
        <w:t xml:space="preserve">This document contains the text of the seven pages so you can read and edit it. The interactive versions (charts, the flow diagram, the navigable deck, light/dark theming) are the published artifacts. Edit here, then tell me the changes and I will update the artifacts — the links stay the same.</w:t>
      </w:r>
    </w:p>
    <w:p>
      <w:pPr>
        <w:spacing w:after="120"/>
      </w:pPr>
      <w:r>
        <w:rPr>
          <w:i/>
          <w:iCs/>
          <w:color w:val="55616F"/>
          <w:sz w:val="21"/>
          <w:szCs w:val="21"/>
        </w:rPr>
        <w:t xml:space="preserve">Contents: 1) Prospect Brief  2) How It Works  3) Sources &amp; Method  4) Getting It Live  5) The Score-to-Fix Pattern  6) The Playbook (7 use cases).</w:t>
      </w:r>
    </w:p>
    <w:p>
      <w:r>
        <w:br w:type="page"/>
      </w:r>
    </w:p>
    <w:p>
      <w:pPr>
        <w:pStyle w:val="Heading1"/>
        <w:spacing w:after="120" w:before="240"/>
      </w:pPr>
      <w:r>
        <w:t xml:space="preserve">1 · Prospect Brief</w:t>
      </w:r>
    </w:p>
    <w:p>
      <w:pPr>
        <w:spacing w:after="120"/>
      </w:pPr>
      <w:r>
        <w:rPr>
          <w:b/>
          <w:bCs/>
          <w:sz w:val="26"/>
          <w:szCs w:val="26"/>
        </w:rPr>
        <w:t xml:space="preserve">Ten Swedish firms that are legally obligated — and not ready.</w:t>
      </w:r>
    </w:p>
    <w:p>
      <w:pPr>
        <w:spacing w:after="120"/>
      </w:pPr>
      <w:r>
        <w:rPr>
          <w:sz w:val="21"/>
          <w:szCs w:val="21"/>
        </w:rPr>
        <w:t xml:space="preserve">Sweden's Cybersecurity Act (Cybersäkerhetslagen, SFS 2025:1506) went live 15 January 2026. It puts energy and transport operators squarely in NIS2 scope. This brief points at ten of them, ranks each on public risk signals, and surfaces the IT/OT suppliers they're all dependent on.</w:t>
      </w:r>
    </w:p>
    <w:p>
      <w:pPr>
        <w:pStyle w:val="Heading3"/>
        <w:spacing w:after="80" w:before="160"/>
      </w:pPr>
      <w:r>
        <w:t xml:space="preserve">NIS2, in brief</w:t>
      </w:r>
    </w:p>
    <w:p>
      <w:pPr>
        <w:pStyle w:val="ListParagraph"/>
        <w:numPr>
          <w:ilvl w:val="0"/>
          <w:numId w:val="1"/>
        </w:numPr>
        <w:spacing w:after="60"/>
      </w:pPr>
      <w:r>
        <w:rPr>
          <w:sz w:val="21"/>
          <w:szCs w:val="21"/>
        </w:rPr>
        <w:t xml:space="preserve">In force since January 2026.</w:t>
      </w:r>
    </w:p>
    <w:p>
      <w:pPr>
        <w:pStyle w:val="ListParagraph"/>
        <w:numPr>
          <w:ilvl w:val="0"/>
          <w:numId w:val="1"/>
        </w:numPr>
        <w:spacing w:after="60"/>
      </w:pPr>
      <w:r>
        <w:rPr>
          <w:sz w:val="21"/>
          <w:szCs w:val="21"/>
        </w:rPr>
        <w:t xml:space="preserve">18 sectors, including energy &amp; transport.</w:t>
      </w:r>
    </w:p>
    <w:p>
      <w:pPr>
        <w:pStyle w:val="ListParagraph"/>
        <w:numPr>
          <w:ilvl w:val="0"/>
          <w:numId w:val="1"/>
        </w:numPr>
        <w:spacing w:after="60"/>
      </w:pPr>
      <w:r>
        <w:rPr>
          <w:sz w:val="21"/>
          <w:szCs w:val="21"/>
        </w:rPr>
        <w:t xml:space="preserve">Applies at ≥50 staff OR €10M turnover / balance sheet.</w:t>
      </w:r>
    </w:p>
    <w:p>
      <w:pPr>
        <w:pStyle w:val="ListParagraph"/>
        <w:numPr>
          <w:ilvl w:val="0"/>
          <w:numId w:val="1"/>
        </w:numPr>
        <w:spacing w:after="60"/>
      </w:pPr>
      <w:r>
        <w:rPr>
          <w:sz w:val="21"/>
          <w:szCs w:val="21"/>
        </w:rPr>
        <w:t xml:space="preserve">Entity-wide scope; management is personally accountable.</w:t>
      </w:r>
    </w:p>
    <w:p>
      <w:pPr>
        <w:pStyle w:val="Heading2"/>
        <w:spacing w:after="100" w:before="200"/>
      </w:pPr>
      <w:r>
        <w:t xml:space="preserve">The 10 prospects, ranked by fit</w:t>
      </w:r>
    </w:p>
    <w:p>
      <w:pPr>
        <w:spacing w:after="120"/>
      </w:pPr>
      <w:r>
        <w:rPr>
          <w:i/>
          <w:iCs/>
          <w:color w:val="55616F"/>
          <w:sz w:val="20"/>
          <w:szCs w:val="20"/>
        </w:rPr>
        <w:t xml:space="preserve">All in NIS2 scope · 8 with weak email security · 10 with no clear CISO · 5 actively hiring a CISO (the buying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1150"/>
        <w:gridCol w:w="1050"/>
        <w:gridCol w:w="1000"/>
        <w:gridCol w:w="1080"/>
        <w:gridCol w:w="900"/>
        <w:gridCol w:w="1260"/>
      </w:tblGrid>
      <w:tr>
        <w:trPr>
          <w:tblHeader/>
        </w:trPr>
        <w:tc>
          <w:tcPr>
            <w:tcW w:type="dxa" w:w="520"/>
            <w:shd w:fill="E7EEF5" w:color="auto" w:val="clear"/>
            <w:tcMar>
              <w:top w:type="dxa" w:w="40"/>
              <w:left w:type="dxa" w:w="80"/>
              <w:bottom w:type="dxa" w:w="40"/>
              <w:right w:type="dxa" w:w="80"/>
            </w:tcMar>
          </w:tcPr>
          <w:p>
            <w:r>
              <w:rPr>
                <w:b/>
                <w:bCs/>
                <w:sz w:val="17"/>
                <w:szCs w:val="17"/>
              </w:rPr>
              <w:t xml:space="preserve">#</w:t>
            </w:r>
          </w:p>
        </w:tc>
        <w:tc>
          <w:tcPr>
            <w:tcW w:type="dxa" w:w="2400"/>
            <w:shd w:fill="E7EEF5" w:color="auto" w:val="clear"/>
            <w:tcMar>
              <w:top w:type="dxa" w:w="40"/>
              <w:left w:type="dxa" w:w="80"/>
              <w:bottom w:type="dxa" w:w="40"/>
              <w:right w:type="dxa" w:w="80"/>
            </w:tcMar>
          </w:tcPr>
          <w:p>
            <w:r>
              <w:rPr>
                <w:b/>
                <w:bCs/>
                <w:sz w:val="17"/>
                <w:szCs w:val="17"/>
              </w:rPr>
              <w:t xml:space="preserve">Company</w:t>
            </w:r>
          </w:p>
        </w:tc>
        <w:tc>
          <w:tcPr>
            <w:tcW w:type="dxa" w:w="1150"/>
            <w:shd w:fill="E7EEF5" w:color="auto" w:val="clear"/>
            <w:tcMar>
              <w:top w:type="dxa" w:w="40"/>
              <w:left w:type="dxa" w:w="80"/>
              <w:bottom w:type="dxa" w:w="40"/>
              <w:right w:type="dxa" w:w="80"/>
            </w:tcMar>
          </w:tcPr>
          <w:p>
            <w:r>
              <w:rPr>
                <w:b/>
                <w:bCs/>
                <w:sz w:val="17"/>
                <w:szCs w:val="17"/>
              </w:rPr>
              <w:t xml:space="preserve">Sector</w:t>
            </w:r>
          </w:p>
        </w:tc>
        <w:tc>
          <w:tcPr>
            <w:tcW w:type="dxa" w:w="1050"/>
            <w:shd w:fill="E7EEF5" w:color="auto" w:val="clear"/>
            <w:tcMar>
              <w:top w:type="dxa" w:w="40"/>
              <w:left w:type="dxa" w:w="80"/>
              <w:bottom w:type="dxa" w:w="40"/>
              <w:right w:type="dxa" w:w="80"/>
            </w:tcMar>
          </w:tcPr>
          <w:p>
            <w:r>
              <w:rPr>
                <w:b/>
                <w:bCs/>
                <w:sz w:val="17"/>
                <w:szCs w:val="17"/>
              </w:rPr>
              <w:t xml:space="preserve">Size</w:t>
            </w:r>
          </w:p>
        </w:tc>
        <w:tc>
          <w:tcPr>
            <w:tcW w:type="dxa" w:w="1000"/>
            <w:shd w:fill="E7EEF5" w:color="auto" w:val="clear"/>
            <w:tcMar>
              <w:top w:type="dxa" w:w="40"/>
              <w:left w:type="dxa" w:w="80"/>
              <w:bottom w:type="dxa" w:w="40"/>
              <w:right w:type="dxa" w:w="80"/>
            </w:tcMar>
          </w:tcPr>
          <w:p>
            <w:r>
              <w:rPr>
                <w:b/>
                <w:bCs/>
                <w:sz w:val="17"/>
                <w:szCs w:val="17"/>
              </w:rPr>
              <w:t xml:space="preserve">Email</w:t>
            </w:r>
          </w:p>
        </w:tc>
        <w:tc>
          <w:tcPr>
            <w:tcW w:type="dxa" w:w="1080"/>
            <w:shd w:fill="E7EEF5" w:color="auto" w:val="clear"/>
            <w:tcMar>
              <w:top w:type="dxa" w:w="40"/>
              <w:left w:type="dxa" w:w="80"/>
              <w:bottom w:type="dxa" w:w="40"/>
              <w:right w:type="dxa" w:w="80"/>
            </w:tcMar>
          </w:tcPr>
          <w:p>
            <w:r>
              <w:rPr>
                <w:b/>
                <w:bCs/>
                <w:sz w:val="17"/>
                <w:szCs w:val="17"/>
              </w:rPr>
              <w:t xml:space="preserve">CISO</w:t>
            </w:r>
          </w:p>
        </w:tc>
        <w:tc>
          <w:tcPr>
            <w:tcW w:type="dxa" w:w="900"/>
            <w:shd w:fill="E7EEF5" w:color="auto" w:val="clear"/>
            <w:tcMar>
              <w:top w:type="dxa" w:w="40"/>
              <w:left w:type="dxa" w:w="80"/>
              <w:bottom w:type="dxa" w:w="40"/>
              <w:right w:type="dxa" w:w="80"/>
            </w:tcMar>
          </w:tcPr>
          <w:p>
            <w:r>
              <w:rPr>
                <w:b/>
                <w:bCs/>
                <w:sz w:val="17"/>
                <w:szCs w:val="17"/>
              </w:rPr>
              <w:t xml:space="preserve">Hiring</w:t>
            </w:r>
          </w:p>
        </w:tc>
        <w:tc>
          <w:tcPr>
            <w:tcW w:type="dxa" w:w="1260"/>
            <w:shd w:fill="E7EEF5" w:color="auto" w:val="clear"/>
            <w:tcMar>
              <w:top w:type="dxa" w:w="40"/>
              <w:left w:type="dxa" w:w="80"/>
              <w:bottom w:type="dxa" w:w="40"/>
              <w:right w:type="dxa" w:w="80"/>
            </w:tcMar>
          </w:tcPr>
          <w:p>
            <w:r>
              <w:rPr>
                <w:b/>
                <w:bCs/>
                <w:sz w:val="17"/>
                <w:szCs w:val="17"/>
              </w:rPr>
              <w:t xml:space="preserve">Fit</w:t>
            </w:r>
          </w:p>
        </w:tc>
      </w:tr>
      <w:tr>
        <w:tc>
          <w:tcPr>
            <w:tcW w:type="dxa" w:w="520"/>
            <w:tcMar>
              <w:top w:type="dxa" w:w="40"/>
              <w:left w:type="dxa" w:w="80"/>
              <w:bottom w:type="dxa" w:w="40"/>
              <w:right w:type="dxa" w:w="80"/>
            </w:tcMar>
          </w:tcPr>
          <w:p>
            <w:r>
              <w:rPr>
                <w:b w:val="false"/>
                <w:bCs w:val="false"/>
                <w:sz w:val="18"/>
                <w:szCs w:val="18"/>
              </w:rPr>
              <w:t xml:space="preserve">1</w:t>
            </w:r>
          </w:p>
        </w:tc>
        <w:tc>
          <w:tcPr>
            <w:tcW w:type="dxa" w:w="2400"/>
            <w:tcMar>
              <w:top w:type="dxa" w:w="40"/>
              <w:left w:type="dxa" w:w="80"/>
              <w:bottom w:type="dxa" w:w="40"/>
              <w:right w:type="dxa" w:w="80"/>
            </w:tcMar>
          </w:tcPr>
          <w:p>
            <w:r>
              <w:rPr>
                <w:b w:val="false"/>
                <w:bCs w:val="false"/>
                <w:sz w:val="18"/>
                <w:szCs w:val="18"/>
              </w:rPr>
              <w:t xml:space="preserve">Skellefteå Kraft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~700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w:t>
            </w:r>
          </w:p>
        </w:tc>
        <w:tc>
          <w:tcPr>
            <w:tcW w:type="dxa" w:w="1260"/>
            <w:tcMar>
              <w:top w:type="dxa" w:w="40"/>
              <w:left w:type="dxa" w:w="80"/>
              <w:bottom w:type="dxa" w:w="40"/>
              <w:right w:type="dxa" w:w="80"/>
            </w:tcMar>
          </w:tcPr>
          <w:p>
            <w:r>
              <w:rPr>
                <w:b w:val="false"/>
                <w:bCs w:val="false"/>
                <w:sz w:val="18"/>
                <w:szCs w:val="18"/>
              </w:rPr>
              <w:t xml:space="preserve">100</w:t>
            </w:r>
          </w:p>
        </w:tc>
      </w:tr>
      <w:tr>
        <w:tc>
          <w:tcPr>
            <w:tcW w:type="dxa" w:w="520"/>
            <w:tcMar>
              <w:top w:type="dxa" w:w="40"/>
              <w:left w:type="dxa" w:w="80"/>
              <w:bottom w:type="dxa" w:w="40"/>
              <w:right w:type="dxa" w:w="80"/>
            </w:tcMar>
          </w:tcPr>
          <w:p>
            <w:r>
              <w:rPr>
                <w:b w:val="false"/>
                <w:bCs w:val="false"/>
                <w:sz w:val="18"/>
                <w:szCs w:val="18"/>
              </w:rPr>
              <w:t xml:space="preserve">2</w:t>
            </w:r>
          </w:p>
        </w:tc>
        <w:tc>
          <w:tcPr>
            <w:tcW w:type="dxa" w:w="2400"/>
            <w:tcMar>
              <w:top w:type="dxa" w:w="40"/>
              <w:left w:type="dxa" w:w="80"/>
              <w:bottom w:type="dxa" w:w="40"/>
              <w:right w:type="dxa" w:w="80"/>
            </w:tcMar>
          </w:tcPr>
          <w:p>
            <w:r>
              <w:rPr>
                <w:b w:val="false"/>
                <w:bCs w:val="false"/>
                <w:sz w:val="18"/>
                <w:szCs w:val="18"/>
              </w:rPr>
              <w:t xml:space="preserve">Mälarenergi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~750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YES</w:t>
            </w:r>
          </w:p>
        </w:tc>
        <w:tc>
          <w:tcPr>
            <w:tcW w:type="dxa" w:w="1260"/>
            <w:tcMar>
              <w:top w:type="dxa" w:w="40"/>
              <w:left w:type="dxa" w:w="80"/>
              <w:bottom w:type="dxa" w:w="40"/>
              <w:right w:type="dxa" w:w="80"/>
            </w:tcMar>
          </w:tcPr>
          <w:p>
            <w:r>
              <w:rPr>
                <w:b w:val="false"/>
                <w:bCs w:val="false"/>
                <w:sz w:val="18"/>
                <w:szCs w:val="18"/>
              </w:rPr>
              <w:t xml:space="preserve">100</w:t>
            </w:r>
          </w:p>
        </w:tc>
      </w:tr>
      <w:tr>
        <w:tc>
          <w:tcPr>
            <w:tcW w:type="dxa" w:w="520"/>
            <w:tcMar>
              <w:top w:type="dxa" w:w="40"/>
              <w:left w:type="dxa" w:w="80"/>
              <w:bottom w:type="dxa" w:w="40"/>
              <w:right w:type="dxa" w:w="80"/>
            </w:tcMar>
          </w:tcPr>
          <w:p>
            <w:r>
              <w:rPr>
                <w:b w:val="false"/>
                <w:bCs w:val="false"/>
                <w:sz w:val="18"/>
                <w:szCs w:val="18"/>
              </w:rPr>
              <w:t xml:space="preserve">3</w:t>
            </w:r>
          </w:p>
        </w:tc>
        <w:tc>
          <w:tcPr>
            <w:tcW w:type="dxa" w:w="2400"/>
            <w:tcMar>
              <w:top w:type="dxa" w:w="40"/>
              <w:left w:type="dxa" w:w="80"/>
              <w:bottom w:type="dxa" w:w="40"/>
              <w:right w:type="dxa" w:w="80"/>
            </w:tcMar>
          </w:tcPr>
          <w:p>
            <w:r>
              <w:rPr>
                <w:b w:val="false"/>
                <w:bCs w:val="false"/>
                <w:sz w:val="18"/>
                <w:szCs w:val="18"/>
              </w:rPr>
              <w:t xml:space="preserve">Göteborg Energi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~1,150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YES</w:t>
            </w:r>
          </w:p>
        </w:tc>
        <w:tc>
          <w:tcPr>
            <w:tcW w:type="dxa" w:w="1260"/>
            <w:tcMar>
              <w:top w:type="dxa" w:w="40"/>
              <w:left w:type="dxa" w:w="80"/>
              <w:bottom w:type="dxa" w:w="40"/>
              <w:right w:type="dxa" w:w="80"/>
            </w:tcMar>
          </w:tcPr>
          <w:p>
            <w:r>
              <w:rPr>
                <w:b w:val="false"/>
                <w:bCs w:val="false"/>
                <w:sz w:val="18"/>
                <w:szCs w:val="18"/>
              </w:rPr>
              <w:t xml:space="preserve">100</w:t>
            </w:r>
          </w:p>
        </w:tc>
      </w:tr>
      <w:tr>
        <w:tc>
          <w:tcPr>
            <w:tcW w:type="dxa" w:w="520"/>
            <w:tcMar>
              <w:top w:type="dxa" w:w="40"/>
              <w:left w:type="dxa" w:w="80"/>
              <w:bottom w:type="dxa" w:w="40"/>
              <w:right w:type="dxa" w:w="80"/>
            </w:tcMar>
          </w:tcPr>
          <w:p>
            <w:r>
              <w:rPr>
                <w:b w:val="false"/>
                <w:bCs w:val="false"/>
                <w:sz w:val="18"/>
                <w:szCs w:val="18"/>
              </w:rPr>
              <w:t xml:space="preserve">4</w:t>
            </w:r>
          </w:p>
        </w:tc>
        <w:tc>
          <w:tcPr>
            <w:tcW w:type="dxa" w:w="2400"/>
            <w:tcMar>
              <w:top w:type="dxa" w:w="40"/>
              <w:left w:type="dxa" w:w="80"/>
              <w:bottom w:type="dxa" w:w="40"/>
              <w:right w:type="dxa" w:w="80"/>
            </w:tcMar>
          </w:tcPr>
          <w:p>
            <w:r>
              <w:rPr>
                <w:b w:val="false"/>
                <w:bCs w:val="false"/>
                <w:sz w:val="18"/>
                <w:szCs w:val="18"/>
              </w:rPr>
              <w:t xml:space="preserve">Öresundskraft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~450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YES</w:t>
            </w:r>
          </w:p>
        </w:tc>
        <w:tc>
          <w:tcPr>
            <w:tcW w:type="dxa" w:w="1260"/>
            <w:tcMar>
              <w:top w:type="dxa" w:w="40"/>
              <w:left w:type="dxa" w:w="80"/>
              <w:bottom w:type="dxa" w:w="40"/>
              <w:right w:type="dxa" w:w="80"/>
            </w:tcMar>
          </w:tcPr>
          <w:p>
            <w:r>
              <w:rPr>
                <w:b w:val="false"/>
                <w:bCs w:val="false"/>
                <w:sz w:val="18"/>
                <w:szCs w:val="18"/>
              </w:rPr>
              <w:t xml:space="preserve">100</w:t>
            </w:r>
          </w:p>
        </w:tc>
      </w:tr>
      <w:tr>
        <w:tc>
          <w:tcPr>
            <w:tcW w:type="dxa" w:w="520"/>
            <w:tcMar>
              <w:top w:type="dxa" w:w="40"/>
              <w:left w:type="dxa" w:w="80"/>
              <w:bottom w:type="dxa" w:w="40"/>
              <w:right w:type="dxa" w:w="80"/>
            </w:tcMar>
          </w:tcPr>
          <w:p>
            <w:r>
              <w:rPr>
                <w:b w:val="false"/>
                <w:bCs w:val="false"/>
                <w:sz w:val="18"/>
                <w:szCs w:val="18"/>
              </w:rPr>
              <w:t xml:space="preserve">5</w:t>
            </w:r>
          </w:p>
        </w:tc>
        <w:tc>
          <w:tcPr>
            <w:tcW w:type="dxa" w:w="2400"/>
            <w:tcMar>
              <w:top w:type="dxa" w:w="40"/>
              <w:left w:type="dxa" w:w="80"/>
              <w:bottom w:type="dxa" w:w="40"/>
              <w:right w:type="dxa" w:w="80"/>
            </w:tcMar>
          </w:tcPr>
          <w:p>
            <w:r>
              <w:rPr>
                <w:b w:val="false"/>
                <w:bCs w:val="false"/>
                <w:sz w:val="18"/>
                <w:szCs w:val="18"/>
              </w:rPr>
              <w:t xml:space="preserve">Stena Line Scandinavia AB</w:t>
            </w:r>
          </w:p>
        </w:tc>
        <w:tc>
          <w:tcPr>
            <w:tcW w:type="dxa" w:w="1150"/>
            <w:tcMar>
              <w:top w:type="dxa" w:w="40"/>
              <w:left w:type="dxa" w:w="80"/>
              <w:bottom w:type="dxa" w:w="40"/>
              <w:right w:type="dxa" w:w="80"/>
            </w:tcMar>
          </w:tcPr>
          <w:p>
            <w:r>
              <w:rPr>
                <w:b w:val="false"/>
                <w:bCs w:val="false"/>
                <w:sz w:val="18"/>
                <w:szCs w:val="18"/>
              </w:rPr>
              <w:t xml:space="preserve">Transport</w:t>
            </w:r>
          </w:p>
        </w:tc>
        <w:tc>
          <w:tcPr>
            <w:tcW w:type="dxa" w:w="1050"/>
            <w:tcMar>
              <w:top w:type="dxa" w:w="40"/>
              <w:left w:type="dxa" w:w="80"/>
              <w:bottom w:type="dxa" w:w="40"/>
              <w:right w:type="dxa" w:w="80"/>
            </w:tcMar>
          </w:tcPr>
          <w:p>
            <w:r>
              <w:rPr>
                <w:b w:val="false"/>
                <w:bCs w:val="false"/>
                <w:sz w:val="18"/>
                <w:szCs w:val="18"/>
              </w:rPr>
              <w:t xml:space="preserve">~5,000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w:t>
            </w:r>
          </w:p>
        </w:tc>
        <w:tc>
          <w:tcPr>
            <w:tcW w:type="dxa" w:w="1260"/>
            <w:tcMar>
              <w:top w:type="dxa" w:w="40"/>
              <w:left w:type="dxa" w:w="80"/>
              <w:bottom w:type="dxa" w:w="40"/>
              <w:right w:type="dxa" w:w="80"/>
            </w:tcMar>
          </w:tcPr>
          <w:p>
            <w:r>
              <w:rPr>
                <w:b w:val="false"/>
                <w:bCs w:val="false"/>
                <w:sz w:val="18"/>
                <w:szCs w:val="18"/>
              </w:rPr>
              <w:t xml:space="preserve">100</w:t>
            </w:r>
          </w:p>
        </w:tc>
      </w:tr>
      <w:tr>
        <w:tc>
          <w:tcPr>
            <w:tcW w:type="dxa" w:w="520"/>
            <w:tcMar>
              <w:top w:type="dxa" w:w="40"/>
              <w:left w:type="dxa" w:w="80"/>
              <w:bottom w:type="dxa" w:w="40"/>
              <w:right w:type="dxa" w:w="80"/>
            </w:tcMar>
          </w:tcPr>
          <w:p>
            <w:r>
              <w:rPr>
                <w:b w:val="false"/>
                <w:bCs w:val="false"/>
                <w:sz w:val="18"/>
                <w:szCs w:val="18"/>
              </w:rPr>
              <w:t xml:space="preserve">6</w:t>
            </w:r>
          </w:p>
        </w:tc>
        <w:tc>
          <w:tcPr>
            <w:tcW w:type="dxa" w:w="2400"/>
            <w:tcMar>
              <w:top w:type="dxa" w:w="40"/>
              <w:left w:type="dxa" w:w="80"/>
              <w:bottom w:type="dxa" w:w="40"/>
              <w:right w:type="dxa" w:w="80"/>
            </w:tcMar>
          </w:tcPr>
          <w:p>
            <w:r>
              <w:rPr>
                <w:b w:val="false"/>
                <w:bCs w:val="false"/>
                <w:sz w:val="18"/>
                <w:szCs w:val="18"/>
              </w:rPr>
              <w:t xml:space="preserve">Jämtkraft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~350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unclear</w:t>
            </w:r>
          </w:p>
        </w:tc>
        <w:tc>
          <w:tcPr>
            <w:tcW w:type="dxa" w:w="900"/>
            <w:tcMar>
              <w:top w:type="dxa" w:w="40"/>
              <w:left w:type="dxa" w:w="80"/>
              <w:bottom w:type="dxa" w:w="40"/>
              <w:right w:type="dxa" w:w="80"/>
            </w:tcMar>
          </w:tcPr>
          <w:p>
            <w:r>
              <w:rPr>
                <w:b w:val="false"/>
                <w:bCs w:val="false"/>
                <w:sz w:val="18"/>
                <w:szCs w:val="18"/>
              </w:rPr>
              <w:t xml:space="preserve">—</w:t>
            </w:r>
          </w:p>
        </w:tc>
        <w:tc>
          <w:tcPr>
            <w:tcW w:type="dxa" w:w="1260"/>
            <w:tcMar>
              <w:top w:type="dxa" w:w="40"/>
              <w:left w:type="dxa" w:w="80"/>
              <w:bottom w:type="dxa" w:w="40"/>
              <w:right w:type="dxa" w:w="80"/>
            </w:tcMar>
          </w:tcPr>
          <w:p>
            <w:r>
              <w:rPr>
                <w:b w:val="false"/>
                <w:bCs w:val="false"/>
                <w:sz w:val="18"/>
                <w:szCs w:val="18"/>
              </w:rPr>
              <w:t xml:space="preserve">85</w:t>
            </w:r>
          </w:p>
        </w:tc>
      </w:tr>
      <w:tr>
        <w:tc>
          <w:tcPr>
            <w:tcW w:type="dxa" w:w="520"/>
            <w:tcMar>
              <w:top w:type="dxa" w:w="40"/>
              <w:left w:type="dxa" w:w="80"/>
              <w:bottom w:type="dxa" w:w="40"/>
              <w:right w:type="dxa" w:w="80"/>
            </w:tcMar>
          </w:tcPr>
          <w:p>
            <w:r>
              <w:rPr>
                <w:b w:val="false"/>
                <w:bCs w:val="false"/>
                <w:sz w:val="18"/>
                <w:szCs w:val="18"/>
              </w:rPr>
              <w:t xml:space="preserve">7</w:t>
            </w:r>
          </w:p>
        </w:tc>
        <w:tc>
          <w:tcPr>
            <w:tcW w:type="dxa" w:w="2400"/>
            <w:tcMar>
              <w:top w:type="dxa" w:w="40"/>
              <w:left w:type="dxa" w:w="80"/>
              <w:bottom w:type="dxa" w:w="40"/>
              <w:right w:type="dxa" w:w="80"/>
            </w:tcMar>
          </w:tcPr>
          <w:p>
            <w:r>
              <w:rPr>
                <w:b w:val="false"/>
                <w:bCs w:val="false"/>
                <w:sz w:val="18"/>
                <w:szCs w:val="18"/>
              </w:rPr>
              <w:t xml:space="preserve">Tekniska verken i Linköping AB</w:t>
            </w:r>
          </w:p>
        </w:tc>
        <w:tc>
          <w:tcPr>
            <w:tcW w:type="dxa" w:w="1150"/>
            <w:tcMar>
              <w:top w:type="dxa" w:w="40"/>
              <w:left w:type="dxa" w:w="80"/>
              <w:bottom w:type="dxa" w:w="40"/>
              <w:right w:type="dxa" w:w="80"/>
            </w:tcMar>
          </w:tcPr>
          <w:p>
            <w:r>
              <w:rPr>
                <w:b w:val="false"/>
                <w:bCs w:val="false"/>
                <w:sz w:val="18"/>
                <w:szCs w:val="18"/>
              </w:rPr>
              <w:t xml:space="preserve">Energy</w:t>
            </w:r>
          </w:p>
        </w:tc>
        <w:tc>
          <w:tcPr>
            <w:tcW w:type="dxa" w:w="1050"/>
            <w:tcMar>
              <w:top w:type="dxa" w:w="40"/>
              <w:left w:type="dxa" w:w="80"/>
              <w:bottom w:type="dxa" w:w="40"/>
              <w:right w:type="dxa" w:w="80"/>
            </w:tcMar>
          </w:tcPr>
          <w:p>
            <w:r>
              <w:rPr>
                <w:b w:val="false"/>
                <w:bCs w:val="false"/>
                <w:sz w:val="18"/>
                <w:szCs w:val="18"/>
              </w:rPr>
              <w:t xml:space="preserve">~1,000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unclear</w:t>
            </w:r>
          </w:p>
        </w:tc>
        <w:tc>
          <w:tcPr>
            <w:tcW w:type="dxa" w:w="900"/>
            <w:tcMar>
              <w:top w:type="dxa" w:w="40"/>
              <w:left w:type="dxa" w:w="80"/>
              <w:bottom w:type="dxa" w:w="40"/>
              <w:right w:type="dxa" w:w="80"/>
            </w:tcMar>
          </w:tcPr>
          <w:p>
            <w:r>
              <w:rPr>
                <w:b w:val="false"/>
                <w:bCs w:val="false"/>
                <w:sz w:val="18"/>
                <w:szCs w:val="18"/>
              </w:rPr>
              <w:t xml:space="preserve">YES</w:t>
            </w:r>
          </w:p>
        </w:tc>
        <w:tc>
          <w:tcPr>
            <w:tcW w:type="dxa" w:w="1260"/>
            <w:tcMar>
              <w:top w:type="dxa" w:w="40"/>
              <w:left w:type="dxa" w:w="80"/>
              <w:bottom w:type="dxa" w:w="40"/>
              <w:right w:type="dxa" w:w="80"/>
            </w:tcMar>
          </w:tcPr>
          <w:p>
            <w:r>
              <w:rPr>
                <w:b w:val="false"/>
                <w:bCs w:val="false"/>
                <w:sz w:val="18"/>
                <w:szCs w:val="18"/>
              </w:rPr>
              <w:t xml:space="preserve">85</w:t>
            </w:r>
          </w:p>
        </w:tc>
      </w:tr>
      <w:tr>
        <w:tc>
          <w:tcPr>
            <w:tcW w:type="dxa" w:w="520"/>
            <w:tcMar>
              <w:top w:type="dxa" w:w="40"/>
              <w:left w:type="dxa" w:w="80"/>
              <w:bottom w:type="dxa" w:w="40"/>
              <w:right w:type="dxa" w:w="80"/>
            </w:tcMar>
          </w:tcPr>
          <w:p>
            <w:r>
              <w:rPr>
                <w:b w:val="false"/>
                <w:bCs w:val="false"/>
                <w:sz w:val="18"/>
                <w:szCs w:val="18"/>
              </w:rPr>
              <w:t xml:space="preserve">8</w:t>
            </w:r>
          </w:p>
        </w:tc>
        <w:tc>
          <w:tcPr>
            <w:tcW w:type="dxa" w:w="2400"/>
            <w:tcMar>
              <w:top w:type="dxa" w:w="40"/>
              <w:left w:type="dxa" w:w="80"/>
              <w:bottom w:type="dxa" w:w="40"/>
              <w:right w:type="dxa" w:w="80"/>
            </w:tcMar>
          </w:tcPr>
          <w:p>
            <w:r>
              <w:rPr>
                <w:b w:val="false"/>
                <w:bCs w:val="false"/>
                <w:sz w:val="18"/>
                <w:szCs w:val="18"/>
              </w:rPr>
              <w:t xml:space="preserve">Transdev Sverige AB</w:t>
            </w:r>
          </w:p>
        </w:tc>
        <w:tc>
          <w:tcPr>
            <w:tcW w:type="dxa" w:w="1150"/>
            <w:tcMar>
              <w:top w:type="dxa" w:w="40"/>
              <w:left w:type="dxa" w:w="80"/>
              <w:bottom w:type="dxa" w:w="40"/>
              <w:right w:type="dxa" w:w="80"/>
            </w:tcMar>
          </w:tcPr>
          <w:p>
            <w:r>
              <w:rPr>
                <w:b w:val="false"/>
                <w:bCs w:val="false"/>
                <w:sz w:val="18"/>
                <w:szCs w:val="18"/>
              </w:rPr>
              <w:t xml:space="preserve">Transport</w:t>
            </w:r>
          </w:p>
        </w:tc>
        <w:tc>
          <w:tcPr>
            <w:tcW w:type="dxa" w:w="1050"/>
            <w:tcMar>
              <w:top w:type="dxa" w:w="40"/>
              <w:left w:type="dxa" w:w="80"/>
              <w:bottom w:type="dxa" w:w="40"/>
              <w:right w:type="dxa" w:w="80"/>
            </w:tcMar>
          </w:tcPr>
          <w:p>
            <w:r>
              <w:rPr>
                <w:b w:val="false"/>
                <w:bCs w:val="false"/>
                <w:sz w:val="18"/>
                <w:szCs w:val="18"/>
              </w:rPr>
              <w:t xml:space="preserve">~6,000</w:t>
            </w:r>
          </w:p>
        </w:tc>
        <w:tc>
          <w:tcPr>
            <w:tcW w:type="dxa" w:w="1000"/>
            <w:tcMar>
              <w:top w:type="dxa" w:w="40"/>
              <w:left w:type="dxa" w:w="80"/>
              <w:bottom w:type="dxa" w:w="40"/>
              <w:right w:type="dxa" w:w="80"/>
            </w:tcMar>
          </w:tcPr>
          <w:p>
            <w:r>
              <w:rPr>
                <w:b w:val="false"/>
                <w:bCs w:val="false"/>
                <w:sz w:val="18"/>
                <w:szCs w:val="18"/>
              </w:rPr>
              <w:t xml:space="preserve">weak</w:t>
            </w:r>
          </w:p>
        </w:tc>
        <w:tc>
          <w:tcPr>
            <w:tcW w:type="dxa" w:w="1080"/>
            <w:tcMar>
              <w:top w:type="dxa" w:w="40"/>
              <w:left w:type="dxa" w:w="80"/>
              <w:bottom w:type="dxa" w:w="40"/>
              <w:right w:type="dxa" w:w="80"/>
            </w:tcMar>
          </w:tcPr>
          <w:p>
            <w:r>
              <w:rPr>
                <w:b w:val="false"/>
                <w:bCs w:val="false"/>
                <w:sz w:val="18"/>
                <w:szCs w:val="18"/>
              </w:rPr>
              <w:t xml:space="preserve">unclear</w:t>
            </w:r>
          </w:p>
        </w:tc>
        <w:tc>
          <w:tcPr>
            <w:tcW w:type="dxa" w:w="900"/>
            <w:tcMar>
              <w:top w:type="dxa" w:w="40"/>
              <w:left w:type="dxa" w:w="80"/>
              <w:bottom w:type="dxa" w:w="40"/>
              <w:right w:type="dxa" w:w="80"/>
            </w:tcMar>
          </w:tcPr>
          <w:p>
            <w:r>
              <w:rPr>
                <w:b w:val="false"/>
                <w:bCs w:val="false"/>
                <w:sz w:val="18"/>
                <w:szCs w:val="18"/>
              </w:rPr>
              <w:t xml:space="preserve">YES</w:t>
            </w:r>
          </w:p>
        </w:tc>
        <w:tc>
          <w:tcPr>
            <w:tcW w:type="dxa" w:w="1260"/>
            <w:tcMar>
              <w:top w:type="dxa" w:w="40"/>
              <w:left w:type="dxa" w:w="80"/>
              <w:bottom w:type="dxa" w:w="40"/>
              <w:right w:type="dxa" w:w="80"/>
            </w:tcMar>
          </w:tcPr>
          <w:p>
            <w:r>
              <w:rPr>
                <w:b w:val="false"/>
                <w:bCs w:val="false"/>
                <w:sz w:val="18"/>
                <w:szCs w:val="18"/>
              </w:rPr>
              <w:t xml:space="preserve">85</w:t>
            </w:r>
          </w:p>
        </w:tc>
      </w:tr>
      <w:tr>
        <w:tc>
          <w:tcPr>
            <w:tcW w:type="dxa" w:w="520"/>
            <w:tcMar>
              <w:top w:type="dxa" w:w="40"/>
              <w:left w:type="dxa" w:w="80"/>
              <w:bottom w:type="dxa" w:w="40"/>
              <w:right w:type="dxa" w:w="80"/>
            </w:tcMar>
          </w:tcPr>
          <w:p>
            <w:r>
              <w:rPr>
                <w:b w:val="false"/>
                <w:bCs w:val="false"/>
                <w:sz w:val="18"/>
                <w:szCs w:val="18"/>
              </w:rPr>
              <w:t xml:space="preserve">9</w:t>
            </w:r>
          </w:p>
        </w:tc>
        <w:tc>
          <w:tcPr>
            <w:tcW w:type="dxa" w:w="2400"/>
            <w:tcMar>
              <w:top w:type="dxa" w:w="40"/>
              <w:left w:type="dxa" w:w="80"/>
              <w:bottom w:type="dxa" w:w="40"/>
              <w:right w:type="dxa" w:w="80"/>
            </w:tcMar>
          </w:tcPr>
          <w:p>
            <w:r>
              <w:rPr>
                <w:b w:val="false"/>
                <w:bCs w:val="false"/>
                <w:sz w:val="18"/>
                <w:szCs w:val="18"/>
              </w:rPr>
              <w:t xml:space="preserve">Green Cargo AB</w:t>
            </w:r>
          </w:p>
        </w:tc>
        <w:tc>
          <w:tcPr>
            <w:tcW w:type="dxa" w:w="1150"/>
            <w:tcMar>
              <w:top w:type="dxa" w:w="40"/>
              <w:left w:type="dxa" w:w="80"/>
              <w:bottom w:type="dxa" w:w="40"/>
              <w:right w:type="dxa" w:w="80"/>
            </w:tcMar>
          </w:tcPr>
          <w:p>
            <w:r>
              <w:rPr>
                <w:b w:val="false"/>
                <w:bCs w:val="false"/>
                <w:sz w:val="18"/>
                <w:szCs w:val="18"/>
              </w:rPr>
              <w:t xml:space="preserve">Transport</w:t>
            </w:r>
          </w:p>
        </w:tc>
        <w:tc>
          <w:tcPr>
            <w:tcW w:type="dxa" w:w="1050"/>
            <w:tcMar>
              <w:top w:type="dxa" w:w="40"/>
              <w:left w:type="dxa" w:w="80"/>
              <w:bottom w:type="dxa" w:w="40"/>
              <w:right w:type="dxa" w:w="80"/>
            </w:tcMar>
          </w:tcPr>
          <w:p>
            <w:r>
              <w:rPr>
                <w:b w:val="false"/>
                <w:bCs w:val="false"/>
                <w:sz w:val="18"/>
                <w:szCs w:val="18"/>
              </w:rPr>
              <w:t xml:space="preserve">~1,800</w:t>
            </w:r>
          </w:p>
        </w:tc>
        <w:tc>
          <w:tcPr>
            <w:tcW w:type="dxa" w:w="1000"/>
            <w:tcMar>
              <w:top w:type="dxa" w:w="40"/>
              <w:left w:type="dxa" w:w="80"/>
              <w:bottom w:type="dxa" w:w="40"/>
              <w:right w:type="dxa" w:w="80"/>
            </w:tcMar>
          </w:tcPr>
          <w:p>
            <w:r>
              <w:rPr>
                <w:b w:val="false"/>
                <w:bCs w:val="false"/>
                <w:sz w:val="18"/>
                <w:szCs w:val="18"/>
              </w:rPr>
              <w:t xml:space="preserve">strong</w:t>
            </w:r>
          </w:p>
        </w:tc>
        <w:tc>
          <w:tcPr>
            <w:tcW w:type="dxa" w:w="1080"/>
            <w:tcMar>
              <w:top w:type="dxa" w:w="40"/>
              <w:left w:type="dxa" w:w="80"/>
              <w:bottom w:type="dxa" w:w="40"/>
              <w:right w:type="dxa" w:w="80"/>
            </w:tcMar>
          </w:tcPr>
          <w:p>
            <w:r>
              <w:rPr>
                <w:b w:val="false"/>
                <w:bCs w:val="false"/>
                <w:sz w:val="18"/>
                <w:szCs w:val="18"/>
              </w:rPr>
              <w:t xml:space="preserve">none</w:t>
            </w:r>
          </w:p>
        </w:tc>
        <w:tc>
          <w:tcPr>
            <w:tcW w:type="dxa" w:w="900"/>
            <w:tcMar>
              <w:top w:type="dxa" w:w="40"/>
              <w:left w:type="dxa" w:w="80"/>
              <w:bottom w:type="dxa" w:w="40"/>
              <w:right w:type="dxa" w:w="80"/>
            </w:tcMar>
          </w:tcPr>
          <w:p>
            <w:r>
              <w:rPr>
                <w:b w:val="false"/>
                <w:bCs w:val="false"/>
                <w:sz w:val="18"/>
                <w:szCs w:val="18"/>
              </w:rPr>
              <w:t xml:space="preserve">—</w:t>
            </w:r>
          </w:p>
        </w:tc>
        <w:tc>
          <w:tcPr>
            <w:tcW w:type="dxa" w:w="1260"/>
            <w:tcMar>
              <w:top w:type="dxa" w:w="40"/>
              <w:left w:type="dxa" w:w="80"/>
              <w:bottom w:type="dxa" w:w="40"/>
              <w:right w:type="dxa" w:w="80"/>
            </w:tcMar>
          </w:tcPr>
          <w:p>
            <w:r>
              <w:rPr>
                <w:b w:val="false"/>
                <w:bCs w:val="false"/>
                <w:sz w:val="18"/>
                <w:szCs w:val="18"/>
              </w:rPr>
              <w:t xml:space="preserve">75</w:t>
            </w:r>
          </w:p>
        </w:tc>
      </w:tr>
      <w:tr>
        <w:tc>
          <w:tcPr>
            <w:tcW w:type="dxa" w:w="520"/>
            <w:tcMar>
              <w:top w:type="dxa" w:w="40"/>
              <w:left w:type="dxa" w:w="80"/>
              <w:bottom w:type="dxa" w:w="40"/>
              <w:right w:type="dxa" w:w="80"/>
            </w:tcMar>
          </w:tcPr>
          <w:p>
            <w:r>
              <w:rPr>
                <w:b w:val="false"/>
                <w:bCs w:val="false"/>
                <w:sz w:val="18"/>
                <w:szCs w:val="18"/>
              </w:rPr>
              <w:t xml:space="preserve">10</w:t>
            </w:r>
          </w:p>
        </w:tc>
        <w:tc>
          <w:tcPr>
            <w:tcW w:type="dxa" w:w="2400"/>
            <w:tcMar>
              <w:top w:type="dxa" w:w="40"/>
              <w:left w:type="dxa" w:w="80"/>
              <w:bottom w:type="dxa" w:w="40"/>
              <w:right w:type="dxa" w:w="80"/>
            </w:tcMar>
          </w:tcPr>
          <w:p>
            <w:r>
              <w:rPr>
                <w:b w:val="false"/>
                <w:bCs w:val="false"/>
                <w:sz w:val="18"/>
                <w:szCs w:val="18"/>
              </w:rPr>
              <w:t xml:space="preserve">Nobina Sverige AB</w:t>
            </w:r>
          </w:p>
        </w:tc>
        <w:tc>
          <w:tcPr>
            <w:tcW w:type="dxa" w:w="1150"/>
            <w:tcMar>
              <w:top w:type="dxa" w:w="40"/>
              <w:left w:type="dxa" w:w="80"/>
              <w:bottom w:type="dxa" w:w="40"/>
              <w:right w:type="dxa" w:w="80"/>
            </w:tcMar>
          </w:tcPr>
          <w:p>
            <w:r>
              <w:rPr>
                <w:b w:val="false"/>
                <w:bCs w:val="false"/>
                <w:sz w:val="18"/>
                <w:szCs w:val="18"/>
              </w:rPr>
              <w:t xml:space="preserve">Transport</w:t>
            </w:r>
          </w:p>
        </w:tc>
        <w:tc>
          <w:tcPr>
            <w:tcW w:type="dxa" w:w="1050"/>
            <w:tcMar>
              <w:top w:type="dxa" w:w="40"/>
              <w:left w:type="dxa" w:w="80"/>
              <w:bottom w:type="dxa" w:w="40"/>
              <w:right w:type="dxa" w:w="80"/>
            </w:tcMar>
          </w:tcPr>
          <w:p>
            <w:r>
              <w:rPr>
                <w:b w:val="false"/>
                <w:bCs w:val="false"/>
                <w:sz w:val="18"/>
                <w:szCs w:val="18"/>
              </w:rPr>
              <w:t xml:space="preserve">~11,000</w:t>
            </w:r>
          </w:p>
        </w:tc>
        <w:tc>
          <w:tcPr>
            <w:tcW w:type="dxa" w:w="1000"/>
            <w:tcMar>
              <w:top w:type="dxa" w:w="40"/>
              <w:left w:type="dxa" w:w="80"/>
              <w:bottom w:type="dxa" w:w="40"/>
              <w:right w:type="dxa" w:w="80"/>
            </w:tcMar>
          </w:tcPr>
          <w:p>
            <w:r>
              <w:rPr>
                <w:b w:val="false"/>
                <w:bCs w:val="false"/>
                <w:sz w:val="18"/>
                <w:szCs w:val="18"/>
              </w:rPr>
              <w:t xml:space="preserve">strong</w:t>
            </w:r>
          </w:p>
        </w:tc>
        <w:tc>
          <w:tcPr>
            <w:tcW w:type="dxa" w:w="1080"/>
            <w:tcMar>
              <w:top w:type="dxa" w:w="40"/>
              <w:left w:type="dxa" w:w="80"/>
              <w:bottom w:type="dxa" w:w="40"/>
              <w:right w:type="dxa" w:w="80"/>
            </w:tcMar>
          </w:tcPr>
          <w:p>
            <w:r>
              <w:rPr>
                <w:b w:val="false"/>
                <w:bCs w:val="false"/>
                <w:sz w:val="18"/>
                <w:szCs w:val="18"/>
              </w:rPr>
              <w:t xml:space="preserve">unclear</w:t>
            </w:r>
          </w:p>
        </w:tc>
        <w:tc>
          <w:tcPr>
            <w:tcW w:type="dxa" w:w="900"/>
            <w:tcMar>
              <w:top w:type="dxa" w:w="40"/>
              <w:left w:type="dxa" w:w="80"/>
              <w:bottom w:type="dxa" w:w="40"/>
              <w:right w:type="dxa" w:w="80"/>
            </w:tcMar>
          </w:tcPr>
          <w:p>
            <w:r>
              <w:rPr>
                <w:b w:val="false"/>
                <w:bCs w:val="false"/>
                <w:sz w:val="18"/>
                <w:szCs w:val="18"/>
              </w:rPr>
              <w:t xml:space="preserve">—</w:t>
            </w:r>
          </w:p>
        </w:tc>
        <w:tc>
          <w:tcPr>
            <w:tcW w:type="dxa" w:w="1260"/>
            <w:tcMar>
              <w:top w:type="dxa" w:w="40"/>
              <w:left w:type="dxa" w:w="80"/>
              <w:bottom w:type="dxa" w:w="40"/>
              <w:right w:type="dxa" w:w="80"/>
            </w:tcMar>
          </w:tcPr>
          <w:p>
            <w:r>
              <w:rPr>
                <w:b w:val="false"/>
                <w:bCs w:val="false"/>
                <w:sz w:val="18"/>
                <w:szCs w:val="18"/>
              </w:rPr>
              <w:t xml:space="preserve">60</w:t>
            </w:r>
          </w:p>
        </w:tc>
      </w:tr>
    </w:tbl>
    <w:p>
      <w:pPr>
        <w:spacing w:after="120"/>
      </w:pPr>
      <w:r>
        <w:t xml:space="preserve"/>
      </w:r>
    </w:p>
    <w:p>
      <w:pPr>
        <w:pBdr>
          <w:left w:val="single" w:color="0D6E8C" w:sz="12" w:space="12"/>
        </w:pBdr>
        <w:spacing w:after="120"/>
      </w:pPr>
      <w:r>
        <w:rPr>
          <w:i/>
          <w:iCs/>
          <w:color w:val="55616F"/>
          <w:sz w:val="20"/>
          <w:szCs w:val="20"/>
        </w:rPr>
        <w:t xml:space="preserve">The signal that matters most: half are actively recruiting a CISO or infosec lead right now — they have admitted the gap and have the budget. The ideal moment to walk in with CISO-as-a-Service.</w:t>
      </w:r>
    </w:p>
    <w:p>
      <w:pPr>
        <w:pStyle w:val="Heading2"/>
        <w:spacing w:after="100" w:before="200"/>
      </w:pPr>
      <w:r>
        <w:t xml:space="preserve">Their suppliers are their liability too</w:t>
      </w:r>
    </w:p>
    <w:p>
      <w:pPr>
        <w:spacing w:after="120"/>
      </w:pPr>
      <w:r>
        <w:rPr>
          <w:sz w:val="21"/>
          <w:szCs w:val="21"/>
        </w:rPr>
        <w:t xml:space="preserve">NIS2 Art. 21(2)(d) makes each firm accountable for its suppliers’ security. Two layers are public: the ICT/OT vendors they procure (EU tender records), and the third-party code running in their websites.</w:t>
      </w:r>
    </w:p>
    <w:p>
      <w:pPr>
        <w:pStyle w:val="Heading3"/>
        <w:spacing w:after="80" w:before="160"/>
      </w:pPr>
      <w:r>
        <w:t xml:space="preserve">NIS2-critical contracts outsourced (public procurement / 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7EEF5" w:color="auto" w:val="clear"/>
            <w:tcMar>
              <w:top w:type="dxa" w:w="40"/>
              <w:left w:type="dxa" w:w="80"/>
              <w:bottom w:type="dxa" w:w="40"/>
              <w:right w:type="dxa" w:w="80"/>
            </w:tcMar>
          </w:tcPr>
          <w:p>
            <w:r>
              <w:rPr>
                <w:b/>
                <w:bCs/>
                <w:sz w:val="17"/>
                <w:szCs w:val="17"/>
              </w:rPr>
              <w:t xml:space="preserve">Buyer</w:t>
            </w:r>
          </w:p>
        </w:tc>
        <w:tc>
          <w:tcPr>
            <w:tcW w:type="dxa" w:w="3000"/>
            <w:shd w:fill="E7EEF5" w:color="auto" w:val="clear"/>
            <w:tcMar>
              <w:top w:type="dxa" w:w="40"/>
              <w:left w:type="dxa" w:w="80"/>
              <w:bottom w:type="dxa" w:w="40"/>
              <w:right w:type="dxa" w:w="80"/>
            </w:tcMar>
          </w:tcPr>
          <w:p>
            <w:r>
              <w:rPr>
                <w:b/>
                <w:bCs/>
                <w:sz w:val="17"/>
                <w:szCs w:val="17"/>
              </w:rPr>
              <w:t xml:space="preserve">Critical contracts</w:t>
            </w:r>
          </w:p>
        </w:tc>
      </w:tr>
      <w:tr>
        <w:tc>
          <w:tcPr>
            <w:tcW w:type="dxa" w:w="6360"/>
            <w:tcMar>
              <w:top w:type="dxa" w:w="40"/>
              <w:left w:type="dxa" w:w="80"/>
              <w:bottom w:type="dxa" w:w="40"/>
              <w:right w:type="dxa" w:w="80"/>
            </w:tcMar>
          </w:tcPr>
          <w:p>
            <w:r>
              <w:rPr>
                <w:b w:val="false"/>
                <w:bCs w:val="false"/>
                <w:sz w:val="18"/>
                <w:szCs w:val="18"/>
              </w:rPr>
              <w:t xml:space="preserve">Göteborg Energi</w:t>
            </w:r>
          </w:p>
        </w:tc>
        <w:tc>
          <w:tcPr>
            <w:tcW w:type="dxa" w:w="3000"/>
            <w:tcMar>
              <w:top w:type="dxa" w:w="40"/>
              <w:left w:type="dxa" w:w="80"/>
              <w:bottom w:type="dxa" w:w="40"/>
              <w:right w:type="dxa" w:w="80"/>
            </w:tcMar>
          </w:tcPr>
          <w:p>
            <w:r>
              <w:rPr>
                <w:b w:val="false"/>
                <w:bCs w:val="false"/>
                <w:sz w:val="18"/>
                <w:szCs w:val="18"/>
              </w:rPr>
              <w:t xml:space="preserve">35</w:t>
            </w:r>
          </w:p>
        </w:tc>
      </w:tr>
      <w:tr>
        <w:tc>
          <w:tcPr>
            <w:tcW w:type="dxa" w:w="6360"/>
            <w:tcMar>
              <w:top w:type="dxa" w:w="40"/>
              <w:left w:type="dxa" w:w="80"/>
              <w:bottom w:type="dxa" w:w="40"/>
              <w:right w:type="dxa" w:w="80"/>
            </w:tcMar>
          </w:tcPr>
          <w:p>
            <w:r>
              <w:rPr>
                <w:b w:val="false"/>
                <w:bCs w:val="false"/>
                <w:sz w:val="18"/>
                <w:szCs w:val="18"/>
              </w:rPr>
              <w:t xml:space="preserve">Öresundskraft</w:t>
            </w:r>
          </w:p>
        </w:tc>
        <w:tc>
          <w:tcPr>
            <w:tcW w:type="dxa" w:w="3000"/>
            <w:tcMar>
              <w:top w:type="dxa" w:w="40"/>
              <w:left w:type="dxa" w:w="80"/>
              <w:bottom w:type="dxa" w:w="40"/>
              <w:right w:type="dxa" w:w="80"/>
            </w:tcMar>
          </w:tcPr>
          <w:p>
            <w:r>
              <w:rPr>
                <w:b w:val="false"/>
                <w:bCs w:val="false"/>
                <w:sz w:val="18"/>
                <w:szCs w:val="18"/>
              </w:rPr>
              <w:t xml:space="preserve">27</w:t>
            </w:r>
          </w:p>
        </w:tc>
      </w:tr>
      <w:tr>
        <w:tc>
          <w:tcPr>
            <w:tcW w:type="dxa" w:w="6360"/>
            <w:tcMar>
              <w:top w:type="dxa" w:w="40"/>
              <w:left w:type="dxa" w:w="80"/>
              <w:bottom w:type="dxa" w:w="40"/>
              <w:right w:type="dxa" w:w="80"/>
            </w:tcMar>
          </w:tcPr>
          <w:p>
            <w:r>
              <w:rPr>
                <w:b w:val="false"/>
                <w:bCs w:val="false"/>
                <w:sz w:val="18"/>
                <w:szCs w:val="18"/>
              </w:rPr>
              <w:t xml:space="preserve">Skellefteå Kraft</w:t>
            </w:r>
          </w:p>
        </w:tc>
        <w:tc>
          <w:tcPr>
            <w:tcW w:type="dxa" w:w="3000"/>
            <w:tcMar>
              <w:top w:type="dxa" w:w="40"/>
              <w:left w:type="dxa" w:w="80"/>
              <w:bottom w:type="dxa" w:w="40"/>
              <w:right w:type="dxa" w:w="80"/>
            </w:tcMar>
          </w:tcPr>
          <w:p>
            <w:r>
              <w:rPr>
                <w:b w:val="false"/>
                <w:bCs w:val="false"/>
                <w:sz w:val="18"/>
                <w:szCs w:val="18"/>
              </w:rPr>
              <w:t xml:space="preserve">27</w:t>
            </w:r>
          </w:p>
        </w:tc>
      </w:tr>
      <w:tr>
        <w:tc>
          <w:tcPr>
            <w:tcW w:type="dxa" w:w="6360"/>
            <w:tcMar>
              <w:top w:type="dxa" w:w="40"/>
              <w:left w:type="dxa" w:w="80"/>
              <w:bottom w:type="dxa" w:w="40"/>
              <w:right w:type="dxa" w:w="80"/>
            </w:tcMar>
          </w:tcPr>
          <w:p>
            <w:r>
              <w:rPr>
                <w:b w:val="false"/>
                <w:bCs w:val="false"/>
                <w:sz w:val="18"/>
                <w:szCs w:val="18"/>
              </w:rPr>
              <w:t xml:space="preserve">Tekniska verken</w:t>
            </w:r>
          </w:p>
        </w:tc>
        <w:tc>
          <w:tcPr>
            <w:tcW w:type="dxa" w:w="3000"/>
            <w:tcMar>
              <w:top w:type="dxa" w:w="40"/>
              <w:left w:type="dxa" w:w="80"/>
              <w:bottom w:type="dxa" w:w="40"/>
              <w:right w:type="dxa" w:w="80"/>
            </w:tcMar>
          </w:tcPr>
          <w:p>
            <w:r>
              <w:rPr>
                <w:b w:val="false"/>
                <w:bCs w:val="false"/>
                <w:sz w:val="18"/>
                <w:szCs w:val="18"/>
              </w:rPr>
              <w:t xml:space="preserve">14</w:t>
            </w:r>
          </w:p>
        </w:tc>
      </w:tr>
      <w:tr>
        <w:tc>
          <w:tcPr>
            <w:tcW w:type="dxa" w:w="6360"/>
            <w:tcMar>
              <w:top w:type="dxa" w:w="40"/>
              <w:left w:type="dxa" w:w="80"/>
              <w:bottom w:type="dxa" w:w="40"/>
              <w:right w:type="dxa" w:w="80"/>
            </w:tcMar>
          </w:tcPr>
          <w:p>
            <w:r>
              <w:rPr>
                <w:b w:val="false"/>
                <w:bCs w:val="false"/>
                <w:sz w:val="18"/>
                <w:szCs w:val="18"/>
              </w:rPr>
              <w:t xml:space="preserve">Mälarenergi</w:t>
            </w:r>
          </w:p>
        </w:tc>
        <w:tc>
          <w:tcPr>
            <w:tcW w:type="dxa" w:w="3000"/>
            <w:tcMar>
              <w:top w:type="dxa" w:w="40"/>
              <w:left w:type="dxa" w:w="80"/>
              <w:bottom w:type="dxa" w:w="40"/>
              <w:right w:type="dxa" w:w="80"/>
            </w:tcMar>
          </w:tcPr>
          <w:p>
            <w:r>
              <w:rPr>
                <w:b w:val="false"/>
                <w:bCs w:val="false"/>
                <w:sz w:val="18"/>
                <w:szCs w:val="18"/>
              </w:rPr>
              <w:t xml:space="preserve">11</w:t>
            </w:r>
          </w:p>
        </w:tc>
      </w:tr>
      <w:tr>
        <w:tc>
          <w:tcPr>
            <w:tcW w:type="dxa" w:w="6360"/>
            <w:tcMar>
              <w:top w:type="dxa" w:w="40"/>
              <w:left w:type="dxa" w:w="80"/>
              <w:bottom w:type="dxa" w:w="40"/>
              <w:right w:type="dxa" w:w="80"/>
            </w:tcMar>
          </w:tcPr>
          <w:p>
            <w:r>
              <w:rPr>
                <w:b w:val="false"/>
                <w:bCs w:val="false"/>
                <w:sz w:val="18"/>
                <w:szCs w:val="18"/>
              </w:rPr>
              <w:t xml:space="preserve">Jämtkraft</w:t>
            </w:r>
          </w:p>
        </w:tc>
        <w:tc>
          <w:tcPr>
            <w:tcW w:type="dxa" w:w="3000"/>
            <w:tcMar>
              <w:top w:type="dxa" w:w="40"/>
              <w:left w:type="dxa" w:w="80"/>
              <w:bottom w:type="dxa" w:w="40"/>
              <w:right w:type="dxa" w:w="80"/>
            </w:tcMar>
          </w:tcPr>
          <w:p>
            <w:r>
              <w:rPr>
                <w:b w:val="false"/>
                <w:bCs w:val="false"/>
                <w:sz w:val="18"/>
                <w:szCs w:val="18"/>
              </w:rPr>
              <w:t xml:space="preserve">10</w:t>
            </w:r>
          </w:p>
        </w:tc>
      </w:tr>
    </w:tbl>
    <w:p>
      <w:pPr>
        <w:spacing w:after="120"/>
      </w:pPr>
      <w:r>
        <w:t xml:space="preserve"/>
      </w:r>
    </w:p>
    <w:p>
      <w:pPr>
        <w:pStyle w:val="Heading3"/>
        <w:spacing w:after="80" w:before="160"/>
      </w:pPr>
      <w:r>
        <w:t xml:space="preserve">Third-party code in their sites (external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7EEF5" w:color="auto" w:val="clear"/>
            <w:tcMar>
              <w:top w:type="dxa" w:w="40"/>
              <w:left w:type="dxa" w:w="80"/>
              <w:bottom w:type="dxa" w:w="40"/>
              <w:right w:type="dxa" w:w="80"/>
            </w:tcMar>
          </w:tcPr>
          <w:p>
            <w:r>
              <w:rPr>
                <w:b/>
                <w:bCs/>
                <w:sz w:val="17"/>
                <w:szCs w:val="17"/>
              </w:rPr>
              <w:t xml:space="preserve">Company</w:t>
            </w:r>
          </w:p>
        </w:tc>
        <w:tc>
          <w:tcPr>
            <w:tcW w:type="dxa" w:w="3000"/>
            <w:shd w:fill="E7EEF5" w:color="auto" w:val="clear"/>
            <w:tcMar>
              <w:top w:type="dxa" w:w="40"/>
              <w:left w:type="dxa" w:w="80"/>
              <w:bottom w:type="dxa" w:w="40"/>
              <w:right w:type="dxa" w:w="80"/>
            </w:tcMar>
          </w:tcPr>
          <w:p>
            <w:r>
              <w:rPr>
                <w:b/>
                <w:bCs/>
                <w:sz w:val="17"/>
                <w:szCs w:val="17"/>
              </w:rPr>
              <w:t xml:space="preserve">External suppliers</w:t>
            </w:r>
          </w:p>
        </w:tc>
      </w:tr>
      <w:tr>
        <w:tc>
          <w:tcPr>
            <w:tcW w:type="dxa" w:w="6360"/>
            <w:tcMar>
              <w:top w:type="dxa" w:w="40"/>
              <w:left w:type="dxa" w:w="80"/>
              <w:bottom w:type="dxa" w:w="40"/>
              <w:right w:type="dxa" w:w="80"/>
            </w:tcMar>
          </w:tcPr>
          <w:p>
            <w:r>
              <w:rPr>
                <w:b w:val="false"/>
                <w:bCs w:val="false"/>
                <w:sz w:val="18"/>
                <w:szCs w:val="18"/>
              </w:rPr>
              <w:t xml:space="preserve">Stena Line</w:t>
            </w:r>
          </w:p>
        </w:tc>
        <w:tc>
          <w:tcPr>
            <w:tcW w:type="dxa" w:w="3000"/>
            <w:tcMar>
              <w:top w:type="dxa" w:w="40"/>
              <w:left w:type="dxa" w:w="80"/>
              <w:bottom w:type="dxa" w:w="40"/>
              <w:right w:type="dxa" w:w="80"/>
            </w:tcMar>
          </w:tcPr>
          <w:p>
            <w:r>
              <w:rPr>
                <w:b w:val="false"/>
                <w:bCs w:val="false"/>
                <w:sz w:val="18"/>
                <w:szCs w:val="18"/>
              </w:rPr>
              <w:t xml:space="preserve">27</w:t>
            </w:r>
          </w:p>
        </w:tc>
      </w:tr>
      <w:tr>
        <w:tc>
          <w:tcPr>
            <w:tcW w:type="dxa" w:w="6360"/>
            <w:tcMar>
              <w:top w:type="dxa" w:w="40"/>
              <w:left w:type="dxa" w:w="80"/>
              <w:bottom w:type="dxa" w:w="40"/>
              <w:right w:type="dxa" w:w="80"/>
            </w:tcMar>
          </w:tcPr>
          <w:p>
            <w:r>
              <w:rPr>
                <w:b w:val="false"/>
                <w:bCs w:val="false"/>
                <w:sz w:val="18"/>
                <w:szCs w:val="18"/>
              </w:rPr>
              <w:t xml:space="preserve">Green Cargo</w:t>
            </w:r>
          </w:p>
        </w:tc>
        <w:tc>
          <w:tcPr>
            <w:tcW w:type="dxa" w:w="3000"/>
            <w:tcMar>
              <w:top w:type="dxa" w:w="40"/>
              <w:left w:type="dxa" w:w="80"/>
              <w:bottom w:type="dxa" w:w="40"/>
              <w:right w:type="dxa" w:w="80"/>
            </w:tcMar>
          </w:tcPr>
          <w:p>
            <w:r>
              <w:rPr>
                <w:b w:val="false"/>
                <w:bCs w:val="false"/>
                <w:sz w:val="18"/>
                <w:szCs w:val="18"/>
              </w:rPr>
              <w:t xml:space="preserve">23</w:t>
            </w:r>
          </w:p>
        </w:tc>
      </w:tr>
      <w:tr>
        <w:tc>
          <w:tcPr>
            <w:tcW w:type="dxa" w:w="6360"/>
            <w:tcMar>
              <w:top w:type="dxa" w:w="40"/>
              <w:left w:type="dxa" w:w="80"/>
              <w:bottom w:type="dxa" w:w="40"/>
              <w:right w:type="dxa" w:w="80"/>
            </w:tcMar>
          </w:tcPr>
          <w:p>
            <w:r>
              <w:rPr>
                <w:b w:val="false"/>
                <w:bCs w:val="false"/>
                <w:sz w:val="18"/>
                <w:szCs w:val="18"/>
              </w:rPr>
              <w:t xml:space="preserve">Transdev</w:t>
            </w:r>
          </w:p>
        </w:tc>
        <w:tc>
          <w:tcPr>
            <w:tcW w:type="dxa" w:w="3000"/>
            <w:tcMar>
              <w:top w:type="dxa" w:w="40"/>
              <w:left w:type="dxa" w:w="80"/>
              <w:bottom w:type="dxa" w:w="40"/>
              <w:right w:type="dxa" w:w="80"/>
            </w:tcMar>
          </w:tcPr>
          <w:p>
            <w:r>
              <w:rPr>
                <w:b w:val="false"/>
                <w:bCs w:val="false"/>
                <w:sz w:val="18"/>
                <w:szCs w:val="18"/>
              </w:rPr>
              <w:t xml:space="preserve">18</w:t>
            </w:r>
          </w:p>
        </w:tc>
      </w:tr>
      <w:tr>
        <w:tc>
          <w:tcPr>
            <w:tcW w:type="dxa" w:w="6360"/>
            <w:tcMar>
              <w:top w:type="dxa" w:w="40"/>
              <w:left w:type="dxa" w:w="80"/>
              <w:bottom w:type="dxa" w:w="40"/>
              <w:right w:type="dxa" w:w="80"/>
            </w:tcMar>
          </w:tcPr>
          <w:p>
            <w:r>
              <w:rPr>
                <w:b w:val="false"/>
                <w:bCs w:val="false"/>
                <w:sz w:val="18"/>
                <w:szCs w:val="18"/>
              </w:rPr>
              <w:t xml:space="preserve">Nobina</w:t>
            </w:r>
          </w:p>
        </w:tc>
        <w:tc>
          <w:tcPr>
            <w:tcW w:type="dxa" w:w="3000"/>
            <w:tcMar>
              <w:top w:type="dxa" w:w="40"/>
              <w:left w:type="dxa" w:w="80"/>
              <w:bottom w:type="dxa" w:w="40"/>
              <w:right w:type="dxa" w:w="80"/>
            </w:tcMar>
          </w:tcPr>
          <w:p>
            <w:r>
              <w:rPr>
                <w:b w:val="false"/>
                <w:bCs w:val="false"/>
                <w:sz w:val="18"/>
                <w:szCs w:val="18"/>
              </w:rPr>
              <w:t xml:space="preserve">13</w:t>
            </w:r>
          </w:p>
        </w:tc>
      </w:tr>
      <w:tr>
        <w:tc>
          <w:tcPr>
            <w:tcW w:type="dxa" w:w="6360"/>
            <w:tcMar>
              <w:top w:type="dxa" w:w="40"/>
              <w:left w:type="dxa" w:w="80"/>
              <w:bottom w:type="dxa" w:w="40"/>
              <w:right w:type="dxa" w:w="80"/>
            </w:tcMar>
          </w:tcPr>
          <w:p>
            <w:r>
              <w:rPr>
                <w:b w:val="false"/>
                <w:bCs w:val="false"/>
                <w:sz w:val="18"/>
                <w:szCs w:val="18"/>
              </w:rPr>
              <w:t xml:space="preserve">Öresundskraft</w:t>
            </w:r>
          </w:p>
        </w:tc>
        <w:tc>
          <w:tcPr>
            <w:tcW w:type="dxa" w:w="3000"/>
            <w:tcMar>
              <w:top w:type="dxa" w:w="40"/>
              <w:left w:type="dxa" w:w="80"/>
              <w:bottom w:type="dxa" w:w="40"/>
              <w:right w:type="dxa" w:w="80"/>
            </w:tcMar>
          </w:tcPr>
          <w:p>
            <w:r>
              <w:rPr>
                <w:b w:val="false"/>
                <w:bCs w:val="false"/>
                <w:sz w:val="18"/>
                <w:szCs w:val="18"/>
              </w:rPr>
              <w:t xml:space="preserve">13</w:t>
            </w:r>
          </w:p>
        </w:tc>
      </w:tr>
      <w:tr>
        <w:tc>
          <w:tcPr>
            <w:tcW w:type="dxa" w:w="6360"/>
            <w:tcMar>
              <w:top w:type="dxa" w:w="40"/>
              <w:left w:type="dxa" w:w="80"/>
              <w:bottom w:type="dxa" w:w="40"/>
              <w:right w:type="dxa" w:w="80"/>
            </w:tcMar>
          </w:tcPr>
          <w:p>
            <w:r>
              <w:rPr>
                <w:b w:val="false"/>
                <w:bCs w:val="false"/>
                <w:sz w:val="18"/>
                <w:szCs w:val="18"/>
              </w:rPr>
              <w:t xml:space="preserve">Göteborg Energi</w:t>
            </w:r>
          </w:p>
        </w:tc>
        <w:tc>
          <w:tcPr>
            <w:tcW w:type="dxa" w:w="3000"/>
            <w:tcMar>
              <w:top w:type="dxa" w:w="40"/>
              <w:left w:type="dxa" w:w="80"/>
              <w:bottom w:type="dxa" w:w="40"/>
              <w:right w:type="dxa" w:w="80"/>
            </w:tcMar>
          </w:tcPr>
          <w:p>
            <w:r>
              <w:rPr>
                <w:b w:val="false"/>
                <w:bCs w:val="false"/>
                <w:sz w:val="18"/>
                <w:szCs w:val="18"/>
              </w:rPr>
              <w:t xml:space="preserve">13</w:t>
            </w:r>
          </w:p>
        </w:tc>
      </w:tr>
    </w:tbl>
    <w:p>
      <w:pPr>
        <w:pStyle w:val="Heading2"/>
        <w:spacing w:after="100" w:before="200"/>
      </w:pPr>
      <w:r>
        <w:t xml:space="preserve">The big suppliers, embedded everywhere (bonus)</w:t>
      </w:r>
    </w:p>
    <w:p>
      <w:pPr>
        <w:spacing w:after="120"/>
      </w:pPr>
      <w:r>
        <w:rPr>
          <w:sz w:val="21"/>
          <w:szCs w:val="21"/>
        </w:rPr>
        <w:t xml:space="preserve">The named suppliers pulled from award records are huge prospects in their own right. Each supplies dozens of public bodies, so every one of those buyers now demands NIS2 assurance from them. Compliance pressure flows downhill.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rPr>
          <w:tblHeader/>
        </w:trPr>
        <w:tc>
          <w:tcPr>
            <w:tcW w:type="dxa" w:w="3000"/>
            <w:shd w:fill="E7EEF5" w:color="auto" w:val="clear"/>
            <w:tcMar>
              <w:top w:type="dxa" w:w="40"/>
              <w:left w:type="dxa" w:w="80"/>
              <w:bottom w:type="dxa" w:w="40"/>
              <w:right w:type="dxa" w:w="80"/>
            </w:tcMar>
          </w:tcPr>
          <w:p>
            <w:r>
              <w:rPr>
                <w:b/>
                <w:bCs/>
                <w:sz w:val="17"/>
                <w:szCs w:val="17"/>
              </w:rPr>
              <w:t xml:space="preserve">Supplier</w:t>
            </w:r>
          </w:p>
        </w:tc>
        <w:tc>
          <w:tcPr>
            <w:tcW w:type="dxa" w:w="3860"/>
            <w:shd w:fill="E7EEF5" w:color="auto" w:val="clear"/>
            <w:tcMar>
              <w:top w:type="dxa" w:w="40"/>
              <w:left w:type="dxa" w:w="80"/>
              <w:bottom w:type="dxa" w:w="40"/>
              <w:right w:type="dxa" w:w="80"/>
            </w:tcMar>
          </w:tcPr>
          <w:p>
            <w:r>
              <w:rPr>
                <w:b/>
                <w:bCs/>
                <w:sz w:val="17"/>
                <w:szCs w:val="17"/>
              </w:rPr>
              <w:t xml:space="preserve">Role</w:t>
            </w:r>
          </w:p>
        </w:tc>
        <w:tc>
          <w:tcPr>
            <w:tcW w:type="dxa" w:w="2500"/>
            <w:shd w:fill="E7EEF5" w:color="auto" w:val="clear"/>
            <w:tcMar>
              <w:top w:type="dxa" w:w="40"/>
              <w:left w:type="dxa" w:w="80"/>
              <w:bottom w:type="dxa" w:w="40"/>
              <w:right w:type="dxa" w:w="80"/>
            </w:tcMar>
          </w:tcPr>
          <w:p>
            <w:r>
              <w:rPr>
                <w:b/>
                <w:bCs/>
                <w:sz w:val="17"/>
                <w:szCs w:val="17"/>
              </w:rPr>
              <w:t xml:space="preserve">Public-sector reach</w:t>
            </w:r>
          </w:p>
        </w:tc>
      </w:tr>
      <w:tr>
        <w:tc>
          <w:tcPr>
            <w:tcW w:type="dxa" w:w="3000"/>
            <w:tcMar>
              <w:top w:type="dxa" w:w="40"/>
              <w:left w:type="dxa" w:w="80"/>
              <w:bottom w:type="dxa" w:w="40"/>
              <w:right w:type="dxa" w:w="80"/>
            </w:tcMar>
          </w:tcPr>
          <w:p>
            <w:r>
              <w:rPr>
                <w:b w:val="false"/>
                <w:bCs w:val="false"/>
                <w:sz w:val="18"/>
                <w:szCs w:val="18"/>
              </w:rPr>
              <w:t xml:space="preserve">Atea Sverige AB</w:t>
            </w:r>
          </w:p>
        </w:tc>
        <w:tc>
          <w:tcPr>
            <w:tcW w:type="dxa" w:w="3860"/>
            <w:tcMar>
              <w:top w:type="dxa" w:w="40"/>
              <w:left w:type="dxa" w:w="80"/>
              <w:bottom w:type="dxa" w:w="40"/>
              <w:right w:type="dxa" w:w="80"/>
            </w:tcMar>
          </w:tcPr>
          <w:p>
            <w:r>
              <w:rPr>
                <w:b w:val="false"/>
                <w:bCs w:val="false"/>
                <w:sz w:val="18"/>
                <w:szCs w:val="18"/>
              </w:rPr>
              <w:t xml:space="preserve">IT services &amp; hardware</w:t>
            </w:r>
          </w:p>
        </w:tc>
        <w:tc>
          <w:tcPr>
            <w:tcW w:type="dxa" w:w="2500"/>
            <w:tcMar>
              <w:top w:type="dxa" w:w="40"/>
              <w:left w:type="dxa" w:w="80"/>
              <w:bottom w:type="dxa" w:w="40"/>
              <w:right w:type="dxa" w:w="80"/>
            </w:tcMar>
          </w:tcPr>
          <w:p>
            <w:r>
              <w:rPr>
                <w:b w:val="false"/>
                <w:bCs w:val="false"/>
                <w:sz w:val="18"/>
                <w:szCs w:val="18"/>
              </w:rPr>
              <w:t xml:space="preserve">49 buyers</w:t>
            </w:r>
          </w:p>
        </w:tc>
      </w:tr>
      <w:tr>
        <w:tc>
          <w:tcPr>
            <w:tcW w:type="dxa" w:w="3000"/>
            <w:tcMar>
              <w:top w:type="dxa" w:w="40"/>
              <w:left w:type="dxa" w:w="80"/>
              <w:bottom w:type="dxa" w:w="40"/>
              <w:right w:type="dxa" w:w="80"/>
            </w:tcMar>
          </w:tcPr>
          <w:p>
            <w:r>
              <w:rPr>
                <w:b w:val="false"/>
                <w:bCs w:val="false"/>
                <w:sz w:val="18"/>
                <w:szCs w:val="18"/>
              </w:rPr>
              <w:t xml:space="preserve">Advania Sverige AB</w:t>
            </w:r>
          </w:p>
        </w:tc>
        <w:tc>
          <w:tcPr>
            <w:tcW w:type="dxa" w:w="3860"/>
            <w:tcMar>
              <w:top w:type="dxa" w:w="40"/>
              <w:left w:type="dxa" w:w="80"/>
              <w:bottom w:type="dxa" w:w="40"/>
              <w:right w:type="dxa" w:w="80"/>
            </w:tcMar>
          </w:tcPr>
          <w:p>
            <w:r>
              <w:rPr>
                <w:b w:val="false"/>
                <w:bCs w:val="false"/>
                <w:sz w:val="18"/>
                <w:szCs w:val="18"/>
              </w:rPr>
              <w:t xml:space="preserve">IT services</w:t>
            </w:r>
          </w:p>
        </w:tc>
        <w:tc>
          <w:tcPr>
            <w:tcW w:type="dxa" w:w="2500"/>
            <w:tcMar>
              <w:top w:type="dxa" w:w="40"/>
              <w:left w:type="dxa" w:w="80"/>
              <w:bottom w:type="dxa" w:w="40"/>
              <w:right w:type="dxa" w:w="80"/>
            </w:tcMar>
          </w:tcPr>
          <w:p>
            <w:r>
              <w:rPr>
                <w:b w:val="false"/>
                <w:bCs w:val="false"/>
                <w:sz w:val="18"/>
                <w:szCs w:val="18"/>
              </w:rPr>
              <w:t xml:space="preserve">41 buyers</w:t>
            </w:r>
          </w:p>
        </w:tc>
      </w:tr>
      <w:tr>
        <w:tc>
          <w:tcPr>
            <w:tcW w:type="dxa" w:w="3000"/>
            <w:tcMar>
              <w:top w:type="dxa" w:w="40"/>
              <w:left w:type="dxa" w:w="80"/>
              <w:bottom w:type="dxa" w:w="40"/>
              <w:right w:type="dxa" w:w="80"/>
            </w:tcMar>
          </w:tcPr>
          <w:p>
            <w:r>
              <w:rPr>
                <w:b w:val="false"/>
                <w:bCs w:val="false"/>
                <w:sz w:val="18"/>
                <w:szCs w:val="18"/>
              </w:rPr>
              <w:t xml:space="preserve">ABB Power Grids Sweden AB</w:t>
            </w:r>
          </w:p>
        </w:tc>
        <w:tc>
          <w:tcPr>
            <w:tcW w:type="dxa" w:w="3860"/>
            <w:tcMar>
              <w:top w:type="dxa" w:w="40"/>
              <w:left w:type="dxa" w:w="80"/>
              <w:bottom w:type="dxa" w:w="40"/>
              <w:right w:type="dxa" w:w="80"/>
            </w:tcMar>
          </w:tcPr>
          <w:p>
            <w:r>
              <w:rPr>
                <w:b w:val="false"/>
                <w:bCs w:val="false"/>
                <w:sz w:val="18"/>
                <w:szCs w:val="18"/>
              </w:rPr>
              <w:t xml:space="preserve">OT / grid control</w:t>
            </w:r>
          </w:p>
        </w:tc>
        <w:tc>
          <w:tcPr>
            <w:tcW w:type="dxa" w:w="2500"/>
            <w:tcMar>
              <w:top w:type="dxa" w:w="40"/>
              <w:left w:type="dxa" w:w="80"/>
              <w:bottom w:type="dxa" w:w="40"/>
              <w:right w:type="dxa" w:w="80"/>
            </w:tcMar>
          </w:tcPr>
          <w:p>
            <w:r>
              <w:rPr>
                <w:b w:val="false"/>
                <w:bCs w:val="false"/>
                <w:sz w:val="18"/>
                <w:szCs w:val="18"/>
              </w:rPr>
              <w:t xml:space="preserve">OT supplier</w:t>
            </w:r>
          </w:p>
        </w:tc>
      </w:tr>
      <w:tr>
        <w:tc>
          <w:tcPr>
            <w:tcW w:type="dxa" w:w="3000"/>
            <w:tcMar>
              <w:top w:type="dxa" w:w="40"/>
              <w:left w:type="dxa" w:w="80"/>
              <w:bottom w:type="dxa" w:w="40"/>
              <w:right w:type="dxa" w:w="80"/>
            </w:tcMar>
          </w:tcPr>
          <w:p>
            <w:r>
              <w:rPr>
                <w:b w:val="false"/>
                <w:bCs w:val="false"/>
                <w:sz w:val="18"/>
                <w:szCs w:val="18"/>
              </w:rPr>
              <w:t xml:space="preserve">Ramböll Management Consulting AB</w:t>
            </w:r>
          </w:p>
        </w:tc>
        <w:tc>
          <w:tcPr>
            <w:tcW w:type="dxa" w:w="3860"/>
            <w:tcMar>
              <w:top w:type="dxa" w:w="40"/>
              <w:left w:type="dxa" w:w="80"/>
              <w:bottom w:type="dxa" w:w="40"/>
              <w:right w:type="dxa" w:w="80"/>
            </w:tcMar>
          </w:tcPr>
          <w:p>
            <w:r>
              <w:rPr>
                <w:b w:val="false"/>
                <w:bCs w:val="false"/>
                <w:sz w:val="18"/>
                <w:szCs w:val="18"/>
              </w:rPr>
              <w:t xml:space="preserve">IT &amp; advisory</w:t>
            </w:r>
          </w:p>
        </w:tc>
        <w:tc>
          <w:tcPr>
            <w:tcW w:type="dxa" w:w="2500"/>
            <w:tcMar>
              <w:top w:type="dxa" w:w="40"/>
              <w:left w:type="dxa" w:w="80"/>
              <w:bottom w:type="dxa" w:w="40"/>
              <w:right w:type="dxa" w:w="80"/>
            </w:tcMar>
          </w:tcPr>
          <w:p>
            <w:r>
              <w:rPr>
                <w:b w:val="false"/>
                <w:bCs w:val="false"/>
                <w:sz w:val="18"/>
                <w:szCs w:val="18"/>
              </w:rPr>
              <w:t xml:space="preserve">37 buyers</w:t>
            </w:r>
          </w:p>
        </w:tc>
      </w:tr>
    </w:tbl>
    <w:p>
      <w:pPr>
        <w:pStyle w:val="Heading3"/>
        <w:spacing w:after="80" w:before="160"/>
      </w:pPr>
      <w:r>
        <w:t xml:space="preserve">Supplier spotlight — Atea Sverige AB (verified live)</w:t>
      </w:r>
    </w:p>
    <w:p>
      <w:pPr>
        <w:pStyle w:val="ListParagraph"/>
        <w:numPr>
          <w:ilvl w:val="0"/>
          <w:numId w:val="1"/>
        </w:numPr>
        <w:spacing w:after="60"/>
      </w:pPr>
      <w:r>
        <w:rPr>
          <w:sz w:val="21"/>
          <w:szCs w:val="21"/>
        </w:rPr>
        <w:t xml:space="preserve">SPF: strong (−all).</w:t>
      </w:r>
    </w:p>
    <w:p>
      <w:pPr>
        <w:pStyle w:val="ListParagraph"/>
        <w:numPr>
          <w:ilvl w:val="0"/>
          <w:numId w:val="1"/>
        </w:numPr>
        <w:spacing w:after="60"/>
      </w:pPr>
      <w:r>
        <w:rPr>
          <w:sz w:val="21"/>
          <w:szCs w:val="21"/>
        </w:rPr>
        <w:t xml:space="preserve">DMARC: p=none — deployed but NOT enforced (domain still spoofable).</w:t>
      </w:r>
    </w:p>
    <w:p>
      <w:pPr>
        <w:pStyle w:val="ListParagraph"/>
        <w:numPr>
          <w:ilvl w:val="0"/>
          <w:numId w:val="1"/>
        </w:numPr>
        <w:spacing w:after="60"/>
      </w:pPr>
      <w:r>
        <w:rPr>
          <w:sz w:val="21"/>
          <w:szCs w:val="21"/>
        </w:rPr>
        <w:t xml:space="preserve">MTA-STS: missing.</w:t>
      </w:r>
    </w:p>
    <w:p>
      <w:pPr>
        <w:pStyle w:val="ListParagraph"/>
        <w:numPr>
          <w:ilvl w:val="0"/>
          <w:numId w:val="1"/>
        </w:numPr>
        <w:spacing w:after="60"/>
      </w:pPr>
      <w:r>
        <w:rPr>
          <w:sz w:val="21"/>
          <w:szCs w:val="21"/>
        </w:rPr>
        <w:t xml:space="preserve">NIS2: in scope (managed-IT provider / MSP).</w:t>
      </w:r>
    </w:p>
    <w:p>
      <w:pPr>
        <w:spacing w:after="120"/>
      </w:pPr>
      <w:r>
        <w:rPr>
          <w:sz w:val="21"/>
          <w:szCs w:val="21"/>
        </w:rPr>
        <w:t xml:space="preserve">The opener: Atea already collects DMARC reports but left the policy at monitor-only. "You’re one config change from p=reject — want help closing the last step safely?" A security vendor with an unenforced DMARC takes that call.</w:t>
      </w:r>
    </w:p>
    <w:p>
      <w:pPr>
        <w:pBdr>
          <w:left w:val="single" w:color="0D6E8C" w:sz="12" w:space="12"/>
        </w:pBdr>
        <w:spacing w:after="120"/>
      </w:pPr>
      <w:r>
        <w:rPr>
          <w:i/>
          <w:iCs/>
          <w:color w:val="55616F"/>
          <w:sz w:val="20"/>
          <w:szCs w:val="20"/>
        </w:rPr>
        <w:t xml:space="preserve">Two funnels for the price of one. Sell NIS2 readiness to the utilities — and to the IT/OT suppliers they depend on. And every deal you close feeds back — turning your proprietary data into an actionable competitive advantage no rival list can copy.</w:t>
      </w:r>
    </w:p>
    <w:p>
      <w:r>
        <w:br w:type="page"/>
      </w:r>
    </w:p>
    <w:p>
      <w:pPr>
        <w:pStyle w:val="Heading1"/>
        <w:spacing w:after="120" w:before="240"/>
      </w:pPr>
      <w:r>
        <w:t xml:space="preserve">2 · How It Works</w:t>
      </w:r>
    </w:p>
    <w:p>
      <w:pPr>
        <w:spacing w:after="120"/>
      </w:pPr>
      <w:r>
        <w:rPr>
          <w:b/>
          <w:bCs/>
          <w:sz w:val="26"/>
          <w:szCs w:val="26"/>
        </w:rPr>
        <w:t xml:space="preserve">One pipeline, from raw registry to a self-sharpening lead engine.</w:t>
      </w:r>
    </w:p>
    <w:p>
      <w:pPr>
        <w:spacing w:after="120"/>
      </w:pPr>
      <w:r>
        <w:rPr>
          <w:sz w:val="21"/>
          <w:szCs w:val="21"/>
        </w:rPr>
        <w:t xml:space="preserve">The engine turns a registry of Swedish firms into ranked, context-mapped prospects using only passive public signals. The value isn’t the scraper — it’s that the signal plugs into your GTM stack and gets sharper every time you close a deal.</w:t>
      </w:r>
    </w:p>
    <w:p>
      <w:pPr>
        <w:pStyle w:val="Heading2"/>
        <w:spacing w:after="100" w:before="200"/>
      </w:pPr>
      <w:r>
        <w:t xml:space="preserve">The flow</w:t>
      </w:r>
    </w:p>
    <w:p>
      <w:pPr>
        <w:spacing w:after="120"/>
      </w:pPr>
      <w:r>
        <w:rPr>
          <w:b/>
          <w:bCs/>
          <w:sz w:val="22"/>
          <w:szCs w:val="22"/>
        </w:rPr>
        <w:t xml:space="preserve">Registry (Roaring / allabolag)  →  presales_scout engine  →  Clay  →  UpliftIQ  →  Cyber Defencely</w:t>
      </w:r>
    </w:p>
    <w:p>
      <w:pPr>
        <w:pStyle w:val="ListParagraph"/>
        <w:numPr>
          <w:ilvl w:val="0"/>
          <w:numId w:val="1"/>
        </w:numPr>
        <w:spacing w:after="60"/>
      </w:pPr>
      <w:r>
        <w:rPr>
          <w:sz w:val="21"/>
          <w:szCs w:val="21"/>
        </w:rPr>
        <w:t xml:space="preserve">Registry → candidates: every energy/transport firm in scope, by SNI code + size.</w:t>
      </w:r>
    </w:p>
    <w:p>
      <w:pPr>
        <w:pStyle w:val="ListParagraph"/>
        <w:numPr>
          <w:ilvl w:val="0"/>
          <w:numId w:val="1"/>
        </w:numPr>
        <w:spacing w:after="60"/>
      </w:pPr>
      <w:r>
        <w:rPr>
          <w:sz w:val="21"/>
          <w:szCs w:val="21"/>
        </w:rPr>
        <w:t xml:space="preserve">Engine → leads + vulns: passive signals (NIS2, email, CISO+hiring, attack surface, suppliers), each mapped to its NIS2/ISO obligation and the service that closes it.</w:t>
      </w:r>
    </w:p>
    <w:p>
      <w:pPr>
        <w:pStyle w:val="ListParagraph"/>
        <w:numPr>
          <w:ilvl w:val="0"/>
          <w:numId w:val="1"/>
        </w:numPr>
        <w:spacing w:after="60"/>
      </w:pPr>
      <w:r>
        <w:rPr>
          <w:sz w:val="21"/>
          <w:szCs w:val="21"/>
        </w:rPr>
        <w:t xml:space="preserve">Clay → enriched row: waterfall enrichment adds contacts and emails.</w:t>
      </w:r>
    </w:p>
    <w:p>
      <w:pPr>
        <w:pStyle w:val="ListParagraph"/>
        <w:numPr>
          <w:ilvl w:val="0"/>
          <w:numId w:val="1"/>
        </w:numPr>
        <w:spacing w:after="60"/>
      </w:pPr>
      <w:r>
        <w:rPr>
          <w:sz w:val="21"/>
          <w:szCs w:val="21"/>
        </w:rPr>
        <w:t xml:space="preserve">UpliftIQ → prioritised: scores and ranks leads + vulnerabilities.</w:t>
      </w:r>
    </w:p>
    <w:p>
      <w:pPr>
        <w:pStyle w:val="ListParagraph"/>
        <w:numPr>
          <w:ilvl w:val="0"/>
          <w:numId w:val="1"/>
        </w:numPr>
        <w:spacing w:after="60"/>
      </w:pPr>
      <w:r>
        <w:rPr>
          <w:sz w:val="21"/>
          <w:szCs w:val="21"/>
        </w:rPr>
        <w:t xml:space="preserve">Cyber Defencely → CRM + real assessments: delivery produces ground truth.</w:t>
      </w:r>
    </w:p>
    <w:p>
      <w:pPr>
        <w:pStyle w:val="Heading2"/>
        <w:spacing w:after="100" w:before="200"/>
      </w:pPr>
      <w:r>
        <w:t xml:space="preserve">The feedback loop = the moat</w:t>
      </w:r>
    </w:p>
    <w:p>
      <w:pPr>
        <w:spacing w:after="120"/>
      </w:pPr>
      <w:r>
        <w:rPr>
          <w:sz w:val="21"/>
          <w:szCs w:val="21"/>
        </w:rPr>
        <w:t xml:space="preserve">Every real assessment is ground truth that retrains which signals predict a real gap and a won deal — on data only Cyber Defencely holds. Each seam between stages is clean JSON/CSV, so no single box is the lock-in; the loop closing is — this is how you turn your proprietary data into an actionable competitive advantage.</w:t>
      </w:r>
    </w:p>
    <w:p>
      <w:pPr>
        <w:pStyle w:val="Heading3"/>
        <w:spacing w:after="80" w:before="160"/>
      </w:pPr>
      <w:r>
        <w:t xml:space="preserve">Five stages</w:t>
      </w:r>
    </w:p>
    <w:p>
      <w:pPr>
        <w:pStyle w:val="ListParagraph"/>
        <w:numPr>
          <w:ilvl w:val="0"/>
          <w:numId w:val="1"/>
        </w:numPr>
        <w:spacing w:after="60"/>
      </w:pPr>
      <w:r>
        <w:rPr>
          <w:sz w:val="21"/>
          <w:szCs w:val="21"/>
        </w:rPr>
        <w:t xml:space="preserve">Stage 0 — Harvest: registry → in-scope firms by SNI + size.</w:t>
      </w:r>
    </w:p>
    <w:p>
      <w:pPr>
        <w:pStyle w:val="ListParagraph"/>
        <w:numPr>
          <w:ilvl w:val="0"/>
          <w:numId w:val="1"/>
        </w:numPr>
        <w:spacing w:after="60"/>
      </w:pPr>
      <w:r>
        <w:rPr>
          <w:sz w:val="21"/>
          <w:szCs w:val="21"/>
        </w:rPr>
        <w:t xml:space="preserve">Stage 1–4 — Enrich: passive signals per firm.</w:t>
      </w:r>
    </w:p>
    <w:p>
      <w:pPr>
        <w:pStyle w:val="ListParagraph"/>
        <w:numPr>
          <w:ilvl w:val="0"/>
          <w:numId w:val="1"/>
        </w:numPr>
        <w:spacing w:after="60"/>
      </w:pPr>
      <w:r>
        <w:rPr>
          <w:sz w:val="21"/>
          <w:szCs w:val="21"/>
        </w:rPr>
        <w:t xml:space="preserve">Stage 5 — Context-map: each finding → NIS2 measure, ISO control, severity, service.</w:t>
      </w:r>
    </w:p>
    <w:p>
      <w:pPr>
        <w:pStyle w:val="ListParagraph"/>
        <w:numPr>
          <w:ilvl w:val="0"/>
          <w:numId w:val="1"/>
        </w:numPr>
        <w:spacing w:after="60"/>
      </w:pPr>
      <w:r>
        <w:rPr>
          <w:sz w:val="21"/>
          <w:szCs w:val="21"/>
        </w:rPr>
        <w:t xml:space="preserve">Stage 6 — Integrate: one JSON call feeds Clay + UpliftIQ.</w:t>
      </w:r>
    </w:p>
    <w:p>
      <w:pPr>
        <w:pStyle w:val="ListParagraph"/>
        <w:numPr>
          <w:ilvl w:val="0"/>
          <w:numId w:val="1"/>
        </w:numPr>
        <w:spacing w:after="60"/>
      </w:pPr>
      <w:r>
        <w:rPr>
          <w:sz w:val="21"/>
          <w:szCs w:val="21"/>
        </w:rPr>
        <w:t xml:space="preserve">Stage 7 — Close the loop: assessment outcomes retrain the fit model.</w:t>
      </w:r>
    </w:p>
    <w:p>
      <w:r>
        <w:br w:type="page"/>
      </w:r>
    </w:p>
    <w:p>
      <w:pPr>
        <w:pStyle w:val="Heading1"/>
        <w:spacing w:after="120" w:before="240"/>
      </w:pPr>
      <w:r>
        <w:t xml:space="preserve">3 · Sources &amp; Method</w:t>
      </w:r>
    </w:p>
    <w:p>
      <w:pPr>
        <w:spacing w:after="120"/>
      </w:pPr>
      <w:r>
        <w:rPr>
          <w:b/>
          <w:bCs/>
          <w:sz w:val="26"/>
          <w:szCs w:val="26"/>
        </w:rPr>
        <w:t xml:space="preserve">Every number has a receipt.</w:t>
      </w:r>
    </w:p>
    <w:p>
      <w:pPr>
        <w:spacing w:after="120"/>
      </w:pPr>
      <w:r>
        <w:rPr>
          <w:i/>
          <w:iCs/>
          <w:sz w:val="21"/>
          <w:szCs w:val="21"/>
        </w:rPr>
        <w:t xml:space="preserve">Passive &amp; public, always: no port scans, no vulnerability probes, no authenticated access, nothing the target sees as directed at them.</w:t>
      </w:r>
    </w:p>
    <w:p>
      <w:pPr>
        <w:pStyle w:val="Heading2"/>
        <w:spacing w:after="100" w:before="200"/>
      </w:pPr>
      <w:r>
        <w:t xml:space="preserve">The provenance ledger (8 signals)</w:t>
      </w:r>
    </w:p>
    <w:p>
      <w:pPr>
        <w:spacing w:after="40"/>
      </w:pPr>
      <w:r>
        <w:rPr>
          <w:b/>
          <w:bCs/>
          <w:sz w:val="22"/>
          <w:szCs w:val="22"/>
        </w:rPr>
        <w:t xml:space="preserve">NIS2 scope</w:t>
      </w:r>
    </w:p>
    <w:p>
      <w:pPr>
        <w:pStyle w:val="ListParagraph"/>
        <w:numPr>
          <w:ilvl w:val="0"/>
          <w:numId w:val="1"/>
        </w:numPr>
        <w:spacing w:after="60"/>
      </w:pPr>
      <w:r>
        <w:rPr>
          <w:sz w:val="21"/>
          <w:szCs w:val="21"/>
        </w:rPr>
        <w:t xml:space="preserve">Source: SNI code → sector map + public size figures</w:t>
      </w:r>
    </w:p>
    <w:p>
      <w:pPr>
        <w:pStyle w:val="ListParagraph"/>
        <w:numPr>
          <w:ilvl w:val="0"/>
          <w:numId w:val="1"/>
        </w:numPr>
        <w:spacing w:after="60"/>
      </w:pPr>
      <w:r>
        <w:rPr>
          <w:sz w:val="21"/>
          <w:szCs w:val="21"/>
        </w:rPr>
        <w:t xml:space="preserve">Automation: Logic automated; SNI/size hand-verified this run · Confidence: Medium</w:t>
      </w:r>
    </w:p>
    <w:p>
      <w:pPr>
        <w:pStyle w:val="ListParagraph"/>
        <w:numPr>
          <w:ilvl w:val="0"/>
          <w:numId w:val="1"/>
        </w:numPr>
        <w:spacing w:after="60"/>
      </w:pPr>
      <w:r>
        <w:rPr>
          <w:sz w:val="21"/>
          <w:szCs w:val="21"/>
        </w:rPr>
        <w:t xml:space="preserve">Limit: A screening heuristic, not a legal determination.</w:t>
      </w:r>
    </w:p>
    <w:p>
      <w:pPr>
        <w:spacing w:after="40"/>
      </w:pPr>
      <w:r>
        <w:rPr>
          <w:b/>
          <w:bCs/>
          <w:sz w:val="22"/>
          <w:szCs w:val="22"/>
        </w:rPr>
        <w:t xml:space="preserve">Email security</w:t>
      </w:r>
    </w:p>
    <w:p>
      <w:pPr>
        <w:pStyle w:val="ListParagraph"/>
        <w:numPr>
          <w:ilvl w:val="0"/>
          <w:numId w:val="1"/>
        </w:numPr>
        <w:spacing w:after="60"/>
      </w:pPr>
      <w:r>
        <w:rPr>
          <w:sz w:val="21"/>
          <w:szCs w:val="21"/>
        </w:rPr>
        <w:t xml:space="preserve">Source: Live public DNS over DNS-over-HTTPS (dns.google/resolve)</w:t>
      </w:r>
    </w:p>
    <w:p>
      <w:pPr>
        <w:pStyle w:val="ListParagraph"/>
        <w:numPr>
          <w:ilvl w:val="0"/>
          <w:numId w:val="1"/>
        </w:numPr>
        <w:spacing w:after="60"/>
      </w:pPr>
      <w:r>
        <w:rPr>
          <w:sz w:val="21"/>
          <w:szCs w:val="21"/>
        </w:rPr>
        <w:t xml:space="preserve">Automation: Fully live, free · Confidence: High</w:t>
      </w:r>
    </w:p>
    <w:p>
      <w:pPr>
        <w:pStyle w:val="ListParagraph"/>
        <w:numPr>
          <w:ilvl w:val="0"/>
          <w:numId w:val="1"/>
        </w:numPr>
        <w:spacing w:after="60"/>
      </w:pPr>
      <w:r>
        <w:rPr>
          <w:sz w:val="21"/>
          <w:szCs w:val="21"/>
        </w:rPr>
        <w:t xml:space="preserve">Limit: Measures domain spoofability, not inbound filtering.</w:t>
      </w:r>
    </w:p>
    <w:p>
      <w:pPr>
        <w:spacing w:after="40"/>
      </w:pPr>
      <w:r>
        <w:rPr>
          <w:b/>
          <w:bCs/>
          <w:sz w:val="22"/>
          <w:szCs w:val="22"/>
        </w:rPr>
        <w:t xml:space="preserve">CISO / hiring</w:t>
      </w:r>
    </w:p>
    <w:p>
      <w:pPr>
        <w:pStyle w:val="ListParagraph"/>
        <w:numPr>
          <w:ilvl w:val="0"/>
          <w:numId w:val="1"/>
        </w:numPr>
        <w:spacing w:after="60"/>
      </w:pPr>
      <w:r>
        <w:rPr>
          <w:sz w:val="21"/>
          <w:szCs w:val="21"/>
        </w:rPr>
        <w:t xml:space="preserve">Source: Public web + LinkedIn search (Bright Data SERP-ready)</w:t>
      </w:r>
    </w:p>
    <w:p>
      <w:pPr>
        <w:pStyle w:val="ListParagraph"/>
        <w:numPr>
          <w:ilvl w:val="0"/>
          <w:numId w:val="1"/>
        </w:numPr>
        <w:spacing w:after="60"/>
      </w:pPr>
      <w:r>
        <w:rPr>
          <w:sz w:val="21"/>
          <w:szCs w:val="21"/>
        </w:rPr>
        <w:t xml:space="preserve">Automation: Pluggable (needs key) · Confidence: Medium</w:t>
      </w:r>
    </w:p>
    <w:p>
      <w:pPr>
        <w:pStyle w:val="ListParagraph"/>
        <w:numPr>
          <w:ilvl w:val="0"/>
          <w:numId w:val="1"/>
        </w:numPr>
        <w:spacing w:after="60"/>
      </w:pPr>
      <w:r>
        <w:rPr>
          <w:sz w:val="21"/>
          <w:szCs w:val="21"/>
        </w:rPr>
        <w:t xml:space="preserve">Limit: Absence is a confidence signal, not proof. The hiring req is the high-confidence signal.</w:t>
      </w:r>
    </w:p>
    <w:p>
      <w:pPr>
        <w:spacing w:after="40"/>
      </w:pPr>
      <w:r>
        <w:rPr>
          <w:b/>
          <w:bCs/>
          <w:sz w:val="22"/>
          <w:szCs w:val="22"/>
        </w:rPr>
        <w:t xml:space="preserve">Attack surface</w:t>
      </w:r>
    </w:p>
    <w:p>
      <w:pPr>
        <w:pStyle w:val="ListParagraph"/>
        <w:numPr>
          <w:ilvl w:val="0"/>
          <w:numId w:val="1"/>
        </w:numPr>
        <w:spacing w:after="60"/>
      </w:pPr>
      <w:r>
        <w:rPr>
          <w:sz w:val="21"/>
          <w:szCs w:val="21"/>
        </w:rPr>
        <w:t xml:space="preserve">Source: HTTP headers · crt.sh CT logs · Shodan InternetDB</w:t>
      </w:r>
    </w:p>
    <w:p>
      <w:pPr>
        <w:pStyle w:val="ListParagraph"/>
        <w:numPr>
          <w:ilvl w:val="0"/>
          <w:numId w:val="1"/>
        </w:numPr>
        <w:spacing w:after="60"/>
      </w:pPr>
      <w:r>
        <w:rPr>
          <w:sz w:val="21"/>
          <w:szCs w:val="21"/>
        </w:rPr>
        <w:t xml:space="preserve">Automation: Automated, free · Confidence: High</w:t>
      </w:r>
    </w:p>
    <w:p>
      <w:pPr>
        <w:pStyle w:val="ListParagraph"/>
        <w:numPr>
          <w:ilvl w:val="0"/>
          <w:numId w:val="1"/>
        </w:numPr>
        <w:spacing w:after="60"/>
      </w:pPr>
      <w:r>
        <w:rPr>
          <w:sz w:val="21"/>
          <w:szCs w:val="21"/>
        </w:rPr>
        <w:t xml:space="preserve">Limit: Read-only; a takeover "candidate" is flagged, never asserted.</w:t>
      </w:r>
    </w:p>
    <w:p>
      <w:pPr>
        <w:spacing w:after="40"/>
      </w:pPr>
      <w:r>
        <w:rPr>
          <w:b/>
          <w:bCs/>
          <w:sz w:val="22"/>
          <w:szCs w:val="22"/>
        </w:rPr>
        <w:t xml:space="preserve">Suppliers — digital</w:t>
      </w:r>
    </w:p>
    <w:p>
      <w:pPr>
        <w:pStyle w:val="ListParagraph"/>
        <w:numPr>
          <w:ilvl w:val="0"/>
          <w:numId w:val="1"/>
        </w:numPr>
        <w:spacing w:after="60"/>
      </w:pPr>
      <w:r>
        <w:rPr>
          <w:sz w:val="21"/>
          <w:szCs w:val="21"/>
        </w:rPr>
        <w:t xml:space="preserve">Source: MX/NS records + the site's own content-security-policy</w:t>
      </w:r>
    </w:p>
    <w:p>
      <w:pPr>
        <w:pStyle w:val="ListParagraph"/>
        <w:numPr>
          <w:ilvl w:val="0"/>
          <w:numId w:val="1"/>
        </w:numPr>
        <w:spacing w:after="60"/>
      </w:pPr>
      <w:r>
        <w:rPr>
          <w:sz w:val="21"/>
          <w:szCs w:val="21"/>
        </w:rPr>
        <w:t xml:space="preserve">Automation: Automated · Confidence: High</w:t>
      </w:r>
    </w:p>
    <w:p>
      <w:pPr>
        <w:pStyle w:val="ListParagraph"/>
        <w:numPr>
          <w:ilvl w:val="0"/>
          <w:numId w:val="1"/>
        </w:numPr>
        <w:spacing w:after="60"/>
      </w:pPr>
      <w:r>
        <w:rPr>
          <w:sz w:val="21"/>
          <w:szCs w:val="21"/>
        </w:rPr>
        <w:t xml:space="preserve">Limit: Only externally observable suppliers. 147 mapped.</w:t>
      </w:r>
    </w:p>
    <w:p>
      <w:pPr>
        <w:spacing w:after="40"/>
      </w:pPr>
      <w:r>
        <w:rPr>
          <w:b/>
          <w:bCs/>
          <w:sz w:val="22"/>
          <w:szCs w:val="22"/>
        </w:rPr>
        <w:t xml:space="preserve">Suppliers — procurement</w:t>
      </w:r>
    </w:p>
    <w:p>
      <w:pPr>
        <w:pStyle w:val="ListParagraph"/>
        <w:numPr>
          <w:ilvl w:val="0"/>
          <w:numId w:val="1"/>
        </w:numPr>
        <w:spacing w:after="60"/>
      </w:pPr>
      <w:r>
        <w:rPr>
          <w:sz w:val="21"/>
          <w:szCs w:val="21"/>
        </w:rPr>
        <w:t xml:space="preserve">Source: TED (api.ted.europa.eu) + openprocurements.com</w:t>
      </w:r>
    </w:p>
    <w:p>
      <w:pPr>
        <w:pStyle w:val="ListParagraph"/>
        <w:numPr>
          <w:ilvl w:val="0"/>
          <w:numId w:val="1"/>
        </w:numPr>
        <w:spacing w:after="60"/>
      </w:pPr>
      <w:r>
        <w:rPr>
          <w:sz w:val="21"/>
          <w:szCs w:val="21"/>
        </w:rPr>
        <w:t xml:space="preserve">Automation: Automated · Confidence: High</w:t>
      </w:r>
    </w:p>
    <w:p>
      <w:pPr>
        <w:pStyle w:val="ListParagraph"/>
        <w:numPr>
          <w:ilvl w:val="0"/>
          <w:numId w:val="1"/>
        </w:numPr>
        <w:spacing w:after="60"/>
      </w:pPr>
      <w:r>
        <w:rPr>
          <w:sz w:val="21"/>
          <w:szCs w:val="21"/>
        </w:rPr>
        <w:t xml:space="preserve">Limit: Linkage is high-confidence; the title-keyword category guess is weak. 124 + 63 named.</w:t>
      </w:r>
    </w:p>
    <w:p>
      <w:pPr>
        <w:spacing w:after="40"/>
      </w:pPr>
      <w:r>
        <w:rPr>
          <w:b/>
          <w:bCs/>
          <w:sz w:val="22"/>
          <w:szCs w:val="22"/>
        </w:rPr>
        <w:t xml:space="preserve">Big suppliers as leads</w:t>
      </w:r>
    </w:p>
    <w:p>
      <w:pPr>
        <w:pStyle w:val="ListParagraph"/>
        <w:numPr>
          <w:ilvl w:val="0"/>
          <w:numId w:val="1"/>
        </w:numPr>
        <w:spacing w:after="60"/>
      </w:pPr>
      <w:r>
        <w:rPr>
          <w:sz w:val="21"/>
          <w:szCs w:val="21"/>
        </w:rPr>
        <w:t xml:space="preserve">Source: Award records → buyer count; ownership-verified domains</w:t>
      </w:r>
    </w:p>
    <w:p>
      <w:pPr>
        <w:pStyle w:val="ListParagraph"/>
        <w:numPr>
          <w:ilvl w:val="0"/>
          <w:numId w:val="1"/>
        </w:numPr>
        <w:spacing w:after="60"/>
      </w:pPr>
      <w:r>
        <w:rPr>
          <w:sz w:val="21"/>
          <w:szCs w:val="21"/>
        </w:rPr>
        <w:t xml:space="preserve">Automation: Automated, accuracy-gated · Confidence: High</w:t>
      </w:r>
    </w:p>
    <w:p>
      <w:pPr>
        <w:pStyle w:val="ListParagraph"/>
        <w:numPr>
          <w:ilvl w:val="0"/>
          <w:numId w:val="1"/>
        </w:numPr>
        <w:spacing w:after="60"/>
      </w:pPr>
      <w:r>
        <w:rPr>
          <w:sz w:val="21"/>
          <w:szCs w:val="21"/>
        </w:rPr>
        <w:t xml:space="preserve">Limit: Reach counted from records; a noisier list was withheld until accuracy was fixed.</w:t>
      </w:r>
    </w:p>
    <w:p>
      <w:pPr>
        <w:spacing w:after="40"/>
      </w:pPr>
      <w:r>
        <w:rPr>
          <w:b/>
          <w:bCs/>
          <w:sz w:val="22"/>
          <w:szCs w:val="22"/>
        </w:rPr>
        <w:t xml:space="preserve">Context mapping</w:t>
      </w:r>
    </w:p>
    <w:p>
      <w:pPr>
        <w:pStyle w:val="ListParagraph"/>
        <w:numPr>
          <w:ilvl w:val="0"/>
          <w:numId w:val="1"/>
        </w:numPr>
        <w:spacing w:after="60"/>
      </w:pPr>
      <w:r>
        <w:rPr>
          <w:sz w:val="21"/>
          <w:szCs w:val="21"/>
        </w:rPr>
        <w:t xml:space="preserve">Source: kb/crosswalk.yaml (curated) + grounded LLM prose</w:t>
      </w:r>
    </w:p>
    <w:p>
      <w:pPr>
        <w:pStyle w:val="ListParagraph"/>
        <w:numPr>
          <w:ilvl w:val="0"/>
          <w:numId w:val="1"/>
        </w:numPr>
        <w:spacing w:after="60"/>
      </w:pPr>
      <w:r>
        <w:rPr>
          <w:sz w:val="21"/>
          <w:szCs w:val="21"/>
        </w:rPr>
        <w:t xml:space="preserve">Automation: Automated · Confidence: High</w:t>
      </w:r>
    </w:p>
    <w:p>
      <w:pPr>
        <w:pStyle w:val="ListParagraph"/>
        <w:numPr>
          <w:ilvl w:val="0"/>
          <w:numId w:val="1"/>
        </w:numPr>
        <w:spacing w:after="60"/>
      </w:pPr>
      <w:r>
        <w:rPr>
          <w:sz w:val="21"/>
          <w:szCs w:val="21"/>
        </w:rPr>
        <w:t xml:space="preserve">Limit: Framework IDs come from the fixed table only; the LLM can't invent a control ID.</w:t>
      </w:r>
    </w:p>
    <w:p>
      <w:pPr>
        <w:pStyle w:val="Heading2"/>
        <w:spacing w:after="100" w:before="200"/>
      </w:pPr>
      <w:r>
        <w:t xml:space="preserve">The one dependency worth naming</w:t>
      </w:r>
    </w:p>
    <w:p>
      <w:pPr>
        <w:spacing w:after="120"/>
      </w:pPr>
      <w:r>
        <w:rPr>
          <w:sz w:val="21"/>
          <w:szCs w:val="21"/>
        </w:rPr>
        <w:t xml:space="preserve">Everything is automated and free except candidate generation. That seam is now built (collectors/registry/): a pluggable backend harvests the universe by SNI + size — live Roaring, a downloaded allabolag/Bolagsverket/Roaring export, or an offline sample. Plug in Cyber Defencely’s registry access and the 50–100 list generates itself.</w:t>
      </w:r>
    </w:p>
    <w:p>
      <w:pPr>
        <w:pStyle w:val="Heading2"/>
        <w:spacing w:after="100" w:before="200"/>
      </w:pPr>
      <w:r>
        <w:t xml:space="preserve">Data ethics &amp; legal basis</w:t>
      </w:r>
    </w:p>
    <w:p>
      <w:pPr>
        <w:spacing w:after="120"/>
      </w:pPr>
      <w:r>
        <w:rPr>
          <w:b/>
          <w:bCs/>
          <w:sz w:val="21"/>
          <w:szCs w:val="21"/>
        </w:rPr>
        <w:t xml:space="preserve">Built passive-and-public by design. It reads records published to the world; it never touches anyone’s systems.</w:t>
      </w:r>
    </w:p>
    <w:p>
      <w:pPr>
        <w:pStyle w:val="ListParagraph"/>
        <w:numPr>
          <w:ilvl w:val="0"/>
          <w:numId w:val="1"/>
        </w:numPr>
        <w:spacing w:after="60"/>
      </w:pPr>
      <w:r>
        <w:rPr>
          <w:sz w:val="21"/>
          <w:szCs w:val="21"/>
        </w:rPr>
        <w:t xml:space="preserve">Personal data (GDPR): the only signal about named people (CISO/hiring) is handled as minimal, retention-limited, legitimate-interest B2B processing — role + company, not a dossier; documented basis; opt-outs honoured. Reading search results rather than scraping LinkedIn stays clear of platform terms. Public ≠ unregulated — confirm with a data-protection advisor before scaling.</w:t>
      </w:r>
    </w:p>
    <w:p>
      <w:pPr>
        <w:pStyle w:val="ListParagraph"/>
        <w:numPr>
          <w:ilvl w:val="0"/>
          <w:numId w:val="1"/>
        </w:numPr>
        <w:spacing w:after="60"/>
      </w:pPr>
      <w:r>
        <w:rPr>
          <w:sz w:val="21"/>
          <w:szCs w:val="21"/>
        </w:rPr>
        <w:t xml:space="preserve">Benchmarking others: peer comparisons in a client deliverable keep peers anonymised (Peer A–J) and the score method-based and factual. Computed, not asserted.</w:t>
      </w:r>
    </w:p>
    <w:p>
      <w:pPr>
        <w:pStyle w:val="ListParagraph"/>
        <w:numPr>
          <w:ilvl w:val="0"/>
          <w:numId w:val="1"/>
        </w:numPr>
        <w:spacing w:after="60"/>
      </w:pPr>
      <w:r>
        <w:rPr>
          <w:sz w:val="21"/>
          <w:szCs w:val="21"/>
        </w:rPr>
        <w:t xml:space="preserve">Screening, not adjudication: the NIS2 verdict is a heuristic; "no visible CISO" is a signal to verify, never a published claim about a person.</w:t>
      </w:r>
    </w:p>
    <w:p>
      <w:pPr>
        <w:pBdr>
          <w:left w:val="single" w:color="0D6E8C" w:sz="12" w:space="12"/>
        </w:pBdr>
        <w:spacing w:after="120"/>
      </w:pPr>
      <w:r>
        <w:rPr>
          <w:i/>
          <w:iCs/>
          <w:color w:val="55616F"/>
          <w:sz w:val="20"/>
          <w:szCs w:val="20"/>
        </w:rPr>
        <w:t xml:space="preserve">Not legal advice — an accurate description of what the tool reads, so you and a data-protection advisor can confirm how it’s used. A short GDPR sanity-check on the personal-data handling is the one worthwhile step before scale.</w:t>
      </w:r>
    </w:p>
    <w:p>
      <w:r>
        <w:br w:type="page"/>
      </w:r>
    </w:p>
    <w:p>
      <w:pPr>
        <w:pStyle w:val="Heading1"/>
        <w:spacing w:after="120" w:before="240"/>
      </w:pPr>
      <w:r>
        <w:t xml:space="preserve">4 · Getting It Live</w:t>
      </w:r>
    </w:p>
    <w:p>
      <w:pPr>
        <w:spacing w:after="120"/>
      </w:pPr>
      <w:r>
        <w:rPr>
          <w:b/>
          <w:bCs/>
          <w:sz w:val="26"/>
          <w:szCs w:val="26"/>
        </w:rPr>
        <w:t xml:space="preserve">The prototype’s built. Three inputs turn it into a live engine.</w:t>
      </w:r>
    </w:p>
    <w:p>
      <w:pPr>
        <w:spacing w:after="120"/>
      </w:pPr>
      <w:r>
        <w:rPr>
          <w:sz w:val="21"/>
          <w:szCs w:val="21"/>
        </w:rPr>
        <w:t xml:space="preserve">All three are yours to provide; none are code. Roughly in priority order.</w:t>
      </w:r>
    </w:p>
    <w:p>
      <w:pPr>
        <w:pStyle w:val="Heading2"/>
        <w:spacing w:after="100" w:before="200"/>
      </w:pPr>
      <w:r>
        <w:t xml:space="preserve">Ask 1 — A company-registry feed (the scale unlock)</w:t>
      </w:r>
    </w:p>
    <w:p>
      <w:pPr>
        <w:pStyle w:val="ListParagraph"/>
        <w:numPr>
          <w:ilvl w:val="0"/>
          <w:numId w:val="1"/>
        </w:numPr>
        <w:spacing w:after="60"/>
      </w:pPr>
      <w:r>
        <w:rPr>
          <w:sz w:val="21"/>
          <w:szCs w:val="21"/>
        </w:rPr>
        <w:t xml:space="preserve">What: a way to pull every Swedish energy &amp; transport firm ≥50 staff — name, org number, SNI code, size, domain.</w:t>
      </w:r>
    </w:p>
    <w:p>
      <w:pPr>
        <w:pStyle w:val="ListParagraph"/>
        <w:numPr>
          <w:ilvl w:val="0"/>
          <w:numId w:val="1"/>
        </w:numPr>
        <w:spacing w:after="60"/>
      </w:pPr>
      <w:r>
        <w:rPr>
          <w:sz w:val="21"/>
          <w:szCs w:val="21"/>
        </w:rPr>
        <w:t xml:space="preserve">Why: the single unlock for the 50–100+ list; everything downstream already works.</w:t>
      </w:r>
    </w:p>
    <w:p>
      <w:pPr>
        <w:pStyle w:val="ListParagraph"/>
        <w:numPr>
          <w:ilvl w:val="0"/>
          <w:numId w:val="1"/>
        </w:numPr>
        <w:spacing w:after="60"/>
      </w:pPr>
      <w:r>
        <w:rPr>
          <w:sz w:val="21"/>
          <w:szCs w:val="21"/>
        </w:rPr>
        <w:t xml:space="preserve">Costs you: a paid registry account/API key, or one filtered export. Minutes, not weeks.</w:t>
      </w:r>
    </w:p>
    <w:p>
      <w:pPr>
        <w:pStyle w:val="ListParagraph"/>
        <w:numPr>
          <w:ilvl w:val="0"/>
          <w:numId w:val="1"/>
        </w:numPr>
        <w:spacing w:after="60"/>
      </w:pPr>
      <w:r>
        <w:rPr>
          <w:sz w:val="21"/>
          <w:szCs w:val="21"/>
        </w:rPr>
        <w:t xml:space="preserve">Option A — Roaring API (Company Prospecting): client credentials + these fields, filterable by SNI + employees: companyName, orgNumber, sniCode, numberOfEmployees, turnover, status=ACTIVE, website.</w:t>
      </w:r>
    </w:p>
    <w:p>
      <w:pPr>
        <w:pStyle w:val="ListParagraph"/>
        <w:numPr>
          <w:ilvl w:val="0"/>
          <w:numId w:val="1"/>
        </w:numPr>
        <w:spacing w:after="60"/>
      </w:pPr>
      <w:r>
        <w:rPr>
          <w:sz w:val="21"/>
          <w:szCs w:val="21"/>
        </w:rPr>
        <w:t xml:space="preserve">Option B — allabolag / Bolagsverket export: a CSV filtered to energy+transport SNI, ≥50 staff, with columns name, orgnr, SNI, anställda, omsättning, webbplats.</w:t>
      </w:r>
    </w:p>
    <w:p>
      <w:pPr>
        <w:pStyle w:val="Heading2"/>
        <w:spacing w:after="100" w:before="200"/>
      </w:pPr>
      <w:r>
        <w:t xml:space="preserve">Ask 2 — 30 minutes on the crosswalk</w:t>
      </w:r>
    </w:p>
    <w:p>
      <w:pPr>
        <w:pStyle w:val="ListParagraph"/>
        <w:numPr>
          <w:ilvl w:val="0"/>
          <w:numId w:val="1"/>
        </w:numPr>
        <w:spacing w:after="60"/>
      </w:pPr>
      <w:r>
        <w:rPr>
          <w:sz w:val="21"/>
          <w:szCs w:val="21"/>
        </w:rPr>
        <w:t xml:space="preserve">What: confirm the finding → NIS2 measure → ISO control → your service → price tier mapping reflects how you sell.</w:t>
      </w:r>
    </w:p>
    <w:p>
      <w:pPr>
        <w:pStyle w:val="ListParagraph"/>
        <w:numPr>
          <w:ilvl w:val="0"/>
          <w:numId w:val="1"/>
        </w:numPr>
        <w:spacing w:after="60"/>
      </w:pPr>
      <w:r>
        <w:rPr>
          <w:sz w:val="21"/>
          <w:szCs w:val="21"/>
        </w:rPr>
        <w:t xml:space="preserve">Why: this table is the part a competitor can’t copy from a repo — it’s your commercial model.</w:t>
      </w:r>
    </w:p>
    <w:p>
      <w:pPr>
        <w:pStyle w:val="ListParagraph"/>
        <w:numPr>
          <w:ilvl w:val="0"/>
          <w:numId w:val="1"/>
        </w:numPr>
        <w:spacing w:after="60"/>
      </w:pPr>
      <w:r>
        <w:rPr>
          <w:sz w:val="21"/>
          <w:szCs w:val="21"/>
        </w:rPr>
        <w:t xml:space="preserve">Costs you: one 30-minute call.</w:t>
      </w:r>
    </w:p>
    <w:p>
      <w:pPr>
        <w:pStyle w:val="Heading2"/>
        <w:spacing w:after="100" w:before="200"/>
      </w:pPr>
      <w:r>
        <w:t xml:space="preserve">Ask 3 — One known prospect + a past engagement or two</w:t>
      </w:r>
    </w:p>
    <w:p>
      <w:pPr>
        <w:pStyle w:val="ListParagraph"/>
        <w:numPr>
          <w:ilvl w:val="0"/>
          <w:numId w:val="1"/>
        </w:numPr>
        <w:spacing w:after="60"/>
      </w:pPr>
      <w:r>
        <w:rPr>
          <w:sz w:val="21"/>
          <w:szCs w:val="21"/>
        </w:rPr>
        <w:t xml:space="preserve">What: one firm you know well to sanity-check the fit score; the anonymised outcome of 1–2 past assessments.</w:t>
      </w:r>
    </w:p>
    <w:p>
      <w:pPr>
        <w:pStyle w:val="ListParagraph"/>
        <w:numPr>
          <w:ilvl w:val="0"/>
          <w:numId w:val="1"/>
        </w:numPr>
        <w:spacing w:after="60"/>
      </w:pPr>
      <w:r>
        <w:rPr>
          <w:sz w:val="21"/>
          <w:szCs w:val="21"/>
        </w:rPr>
        <w:t xml:space="preserve">Why: the first data points in the loop that becomes the real moat.</w:t>
      </w:r>
    </w:p>
    <w:p>
      <w:pPr>
        <w:pStyle w:val="ListParagraph"/>
        <w:numPr>
          <w:ilvl w:val="0"/>
          <w:numId w:val="1"/>
        </w:numPr>
        <w:spacing w:after="60"/>
      </w:pPr>
      <w:r>
        <w:rPr>
          <w:sz w:val="21"/>
          <w:szCs w:val="21"/>
        </w:rPr>
        <w:t xml:space="preserve">Costs you: a short conversation; outcomes can be anonymised.</w:t>
      </w:r>
    </w:p>
    <w:p>
      <w:pPr>
        <w:pStyle w:val="Heading3"/>
        <w:spacing w:after="80" w:before="160"/>
      </w:pPr>
      <w:r>
        <w:t xml:space="preserve">Nice-to-have, once live</w:t>
      </w:r>
    </w:p>
    <w:p>
      <w:pPr>
        <w:pStyle w:val="ListParagraph"/>
        <w:numPr>
          <w:ilvl w:val="0"/>
          <w:numId w:val="1"/>
        </w:numPr>
        <w:spacing w:after="60"/>
      </w:pPr>
      <w:r>
        <w:rPr>
          <w:sz w:val="21"/>
          <w:szCs w:val="21"/>
        </w:rPr>
        <w:t xml:space="preserve">Clay + UpliftIQ access — to wire the /enrich endpoint into the enrichment + scoring stack.</w:t>
      </w:r>
    </w:p>
    <w:p>
      <w:pPr>
        <w:pStyle w:val="ListParagraph"/>
        <w:numPr>
          <w:ilvl w:val="0"/>
          <w:numId w:val="1"/>
        </w:numPr>
        <w:spacing w:after="60"/>
      </w:pPr>
      <w:r>
        <w:rPr>
          <w:sz w:val="21"/>
          <w:szCs w:val="21"/>
        </w:rPr>
        <w:t xml:space="preserve">One CRM field for "assessment outcome" — the pipe that feeds Ask 3 back automatically.</w:t>
      </w:r>
    </w:p>
    <w:p>
      <w:pPr>
        <w:pBdr>
          <w:left w:val="single" w:color="0D6E8C" w:sz="12" w:space="12"/>
        </w:pBdr>
        <w:spacing w:after="120"/>
      </w:pPr>
      <w:r>
        <w:rPr>
          <w:i/>
          <w:iCs/>
          <w:color w:val="55616F"/>
          <w:sz w:val="20"/>
          <w:szCs w:val="20"/>
        </w:rPr>
        <w:t xml:space="preserve">The engine isn’t the moat — it’s leverage. The moat is operating it first, in the NIS2 window that’s open now, and letting your own delivery data compound. That’s the whole play: turn your proprietary data into an actionable competitive advantage.</w:t>
      </w:r>
    </w:p>
    <w:p>
      <w:r>
        <w:br w:type="page"/>
      </w:r>
    </w:p>
    <w:p>
      <w:pPr>
        <w:pStyle w:val="Heading1"/>
        <w:spacing w:after="120" w:before="240"/>
      </w:pPr>
      <w:r>
        <w:t xml:space="preserve">5 · The Score-to-Fix Pattern</w:t>
      </w:r>
    </w:p>
    <w:p>
      <w:pPr>
        <w:spacing w:after="120"/>
      </w:pPr>
      <w:r>
        <w:rPr>
          <w:b/>
          <w:bCs/>
          <w:sz w:val="26"/>
          <w:szCs w:val="26"/>
        </w:rPr>
        <w:t xml:space="preserve">Give away the score. Charge for the fix.</w:t>
      </w:r>
    </w:p>
    <w:p>
      <w:pPr>
        <w:pStyle w:val="ListParagraph"/>
        <w:numPr>
          <w:ilvl w:val="0"/>
          <w:numId w:val="1"/>
        </w:numPr>
        <w:spacing w:after="60"/>
      </w:pPr>
      <w:r>
        <w:rPr>
          <w:sz w:val="21"/>
          <w:szCs w:val="21"/>
        </w:rPr>
        <w:t xml:space="preserve">The score = the wedge (outside-in): computed from commodity signals, so you show up uninvited with a provocative number. Free.</w:t>
      </w:r>
    </w:p>
    <w:p>
      <w:pPr>
        <w:pStyle w:val="ListParagraph"/>
        <w:numPr>
          <w:ilvl w:val="0"/>
          <w:numId w:val="1"/>
        </w:numPr>
        <w:spacing w:after="60"/>
      </w:pPr>
      <w:r>
        <w:rPr>
          <w:sz w:val="21"/>
          <w:szCs w:val="21"/>
        </w:rPr>
        <w:t xml:space="preserve">The context map = the layer you build: the crosswalk from signal → meaning → action. Domain expertise, not compute.</w:t>
      </w:r>
    </w:p>
    <w:p>
      <w:pPr>
        <w:pStyle w:val="ListParagraph"/>
        <w:numPr>
          <w:ilvl w:val="0"/>
          <w:numId w:val="1"/>
        </w:numPr>
        <w:spacing w:after="60"/>
      </w:pPr>
      <w:r>
        <w:rPr>
          <w:sz w:val="21"/>
          <w:szCs w:val="21"/>
        </w:rPr>
        <w:t xml:space="preserve">The fix = the product (inside-out): UpliftIQ ranks on the client’s proprietary data. Paid, and compounding.</w:t>
      </w:r>
    </w:p>
    <w:p>
      <w:pPr>
        <w:pStyle w:val="Heading2"/>
        <w:spacing w:after="100" w:before="200"/>
      </w:pPr>
      <w:r>
        <w:t xml:space="preserve">Same shape, three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shd w:fill="E7EEF5" w:color="auto" w:val="clear"/>
            <w:tcMar>
              <w:top w:type="dxa" w:w="40"/>
              <w:left w:type="dxa" w:w="80"/>
              <w:bottom w:type="dxa" w:w="40"/>
              <w:right w:type="dxa" w:w="80"/>
            </w:tcMar>
          </w:tcPr>
          <w:p>
            <w:r>
              <w:rPr>
                <w:b/>
                <w:bCs/>
                <w:sz w:val="17"/>
                <w:szCs w:val="17"/>
              </w:rPr>
              <w:t xml:space="preserve">Vertical</w:t>
            </w:r>
          </w:p>
        </w:tc>
        <w:tc>
          <w:tcPr>
            <w:tcW w:type="dxa" w:w="2200"/>
            <w:shd w:fill="E7EEF5" w:color="auto" w:val="clear"/>
            <w:tcMar>
              <w:top w:type="dxa" w:w="40"/>
              <w:left w:type="dxa" w:w="80"/>
              <w:bottom w:type="dxa" w:w="40"/>
              <w:right w:type="dxa" w:w="80"/>
            </w:tcMar>
          </w:tcPr>
          <w:p>
            <w:r>
              <w:rPr>
                <w:b/>
                <w:bCs/>
                <w:sz w:val="17"/>
                <w:szCs w:val="17"/>
              </w:rPr>
              <w:t xml:space="preserve">The hook — a score</w:t>
            </w:r>
          </w:p>
        </w:tc>
        <w:tc>
          <w:tcPr>
            <w:tcW w:type="dxa" w:w="2560"/>
            <w:shd w:fill="E7EEF5" w:color="auto" w:val="clear"/>
            <w:tcMar>
              <w:top w:type="dxa" w:w="40"/>
              <w:left w:type="dxa" w:w="80"/>
              <w:bottom w:type="dxa" w:w="40"/>
              <w:right w:type="dxa" w:w="80"/>
            </w:tcMar>
          </w:tcPr>
          <w:p>
            <w:r>
              <w:rPr>
                <w:b/>
                <w:bCs/>
                <w:sz w:val="17"/>
                <w:szCs w:val="17"/>
              </w:rPr>
              <w:t xml:space="preserve">Built from (commodity)</w:t>
            </w:r>
          </w:p>
        </w:tc>
        <w:tc>
          <w:tcPr>
            <w:tcW w:type="dxa" w:w="2600"/>
            <w:shd w:fill="E7EEF5" w:color="auto" w:val="clear"/>
            <w:tcMar>
              <w:top w:type="dxa" w:w="40"/>
              <w:left w:type="dxa" w:w="80"/>
              <w:bottom w:type="dxa" w:w="40"/>
              <w:right w:type="dxa" w:w="80"/>
            </w:tcMar>
          </w:tcPr>
          <w:p>
            <w:r>
              <w:rPr>
                <w:b/>
                <w:bCs/>
                <w:sz w:val="17"/>
                <w:szCs w:val="17"/>
              </w:rPr>
              <w:t xml:space="preserve">The fix — on their data</w:t>
            </w:r>
          </w:p>
        </w:tc>
      </w:tr>
      <w:tr>
        <w:tc>
          <w:tcPr>
            <w:tcW w:type="dxa" w:w="2000"/>
            <w:tcMar>
              <w:top w:type="dxa" w:w="40"/>
              <w:left w:type="dxa" w:w="80"/>
              <w:bottom w:type="dxa" w:w="40"/>
              <w:right w:type="dxa" w:w="80"/>
            </w:tcMar>
          </w:tcPr>
          <w:p>
            <w:r>
              <w:rPr>
                <w:b w:val="false"/>
                <w:bCs w:val="false"/>
                <w:sz w:val="18"/>
                <w:szCs w:val="18"/>
              </w:rPr>
              <w:t xml:space="preserve">Cyber (Cyber Defencely)</w:t>
            </w:r>
          </w:p>
        </w:tc>
        <w:tc>
          <w:tcPr>
            <w:tcW w:type="dxa" w:w="2200"/>
            <w:tcMar>
              <w:top w:type="dxa" w:w="40"/>
              <w:left w:type="dxa" w:w="80"/>
              <w:bottom w:type="dxa" w:w="40"/>
              <w:right w:type="dxa" w:w="80"/>
            </w:tcMar>
          </w:tcPr>
          <w:p>
            <w:r>
              <w:rPr>
                <w:b w:val="false"/>
                <w:bCs w:val="false"/>
                <w:sz w:val="18"/>
                <w:szCs w:val="18"/>
              </w:rPr>
              <w:t xml:space="preserve">NIS2 / security readiness</w:t>
            </w:r>
          </w:p>
        </w:tc>
        <w:tc>
          <w:tcPr>
            <w:tcW w:type="dxa" w:w="2560"/>
            <w:tcMar>
              <w:top w:type="dxa" w:w="40"/>
              <w:left w:type="dxa" w:w="80"/>
              <w:bottom w:type="dxa" w:w="40"/>
              <w:right w:type="dxa" w:w="80"/>
            </w:tcMar>
          </w:tcPr>
          <w:p>
            <w:r>
              <w:rPr>
                <w:b w:val="false"/>
                <w:bCs w:val="false"/>
                <w:sz w:val="18"/>
                <w:szCs w:val="18"/>
              </w:rPr>
              <w:t xml:space="preserve">DNS, CT logs, procurement, job posts</w:t>
            </w:r>
          </w:p>
        </w:tc>
        <w:tc>
          <w:tcPr>
            <w:tcW w:type="dxa" w:w="2600"/>
            <w:tcMar>
              <w:top w:type="dxa" w:w="40"/>
              <w:left w:type="dxa" w:w="80"/>
              <w:bottom w:type="dxa" w:w="40"/>
              <w:right w:type="dxa" w:w="80"/>
            </w:tcMar>
          </w:tcPr>
          <w:p>
            <w:r>
              <w:rPr>
                <w:b w:val="false"/>
                <w:bCs w:val="false"/>
                <w:sz w:val="18"/>
                <w:szCs w:val="18"/>
              </w:rPr>
              <w:t xml:space="preserve">"Assess these 12 prospects, in this order"</w:t>
            </w:r>
          </w:p>
        </w:tc>
      </w:tr>
      <w:tr>
        <w:tc>
          <w:tcPr>
            <w:tcW w:type="dxa" w:w="2000"/>
            <w:tcMar>
              <w:top w:type="dxa" w:w="40"/>
              <w:left w:type="dxa" w:w="80"/>
              <w:bottom w:type="dxa" w:w="40"/>
              <w:right w:type="dxa" w:w="80"/>
            </w:tcMar>
          </w:tcPr>
          <w:p>
            <w:r>
              <w:rPr>
                <w:b w:val="false"/>
                <w:bCs w:val="false"/>
                <w:sz w:val="18"/>
                <w:szCs w:val="18"/>
              </w:rPr>
              <w:t xml:space="preserve">Retail — assortment (e.g. La-Z-Boy)</w:t>
            </w:r>
          </w:p>
        </w:tc>
        <w:tc>
          <w:tcPr>
            <w:tcW w:type="dxa" w:w="2200"/>
            <w:tcMar>
              <w:top w:type="dxa" w:w="40"/>
              <w:left w:type="dxa" w:w="80"/>
              <w:bottom w:type="dxa" w:w="40"/>
              <w:right w:type="dxa" w:w="80"/>
            </w:tcMar>
          </w:tcPr>
          <w:p>
            <w:r>
              <w:rPr>
                <w:b w:val="false"/>
                <w:bCs w:val="false"/>
                <w:sz w:val="18"/>
                <w:szCs w:val="18"/>
              </w:rPr>
              <w:t xml:space="preserve">Assortment-fit score per store</w:t>
            </w:r>
          </w:p>
        </w:tc>
        <w:tc>
          <w:tcPr>
            <w:tcW w:type="dxa" w:w="2560"/>
            <w:tcMar>
              <w:top w:type="dxa" w:w="40"/>
              <w:left w:type="dxa" w:w="80"/>
              <w:bottom w:type="dxa" w:w="40"/>
              <w:right w:type="dxa" w:w="80"/>
            </w:tcMar>
          </w:tcPr>
          <w:p>
            <w:r>
              <w:rPr>
                <w:b w:val="false"/>
                <w:bCs w:val="false"/>
                <w:sz w:val="18"/>
                <w:szCs w:val="18"/>
              </w:rPr>
              <w:t xml:space="preserve">demographics, competitor SKUs, demand, reviews</w:t>
            </w:r>
          </w:p>
        </w:tc>
        <w:tc>
          <w:tcPr>
            <w:tcW w:type="dxa" w:w="2600"/>
            <w:tcMar>
              <w:top w:type="dxa" w:w="40"/>
              <w:left w:type="dxa" w:w="80"/>
              <w:bottom w:type="dxa" w:w="40"/>
              <w:right w:type="dxa" w:w="80"/>
            </w:tcMar>
          </w:tcPr>
          <w:p>
            <w:r>
              <w:rPr>
                <w:b w:val="false"/>
                <w:bCs w:val="false"/>
                <w:sz w:val="18"/>
                <w:szCs w:val="18"/>
              </w:rPr>
              <w:t xml:space="preserve">"Reallocate this inventory to these showrooms"</w:t>
            </w:r>
          </w:p>
        </w:tc>
      </w:tr>
      <w:tr>
        <w:tc>
          <w:tcPr>
            <w:tcW w:type="dxa" w:w="2000"/>
            <w:tcMar>
              <w:top w:type="dxa" w:w="40"/>
              <w:left w:type="dxa" w:w="80"/>
              <w:bottom w:type="dxa" w:w="40"/>
              <w:right w:type="dxa" w:w="80"/>
            </w:tcMar>
          </w:tcPr>
          <w:p>
            <w:r>
              <w:rPr>
                <w:b w:val="false"/>
                <w:bCs w:val="false"/>
                <w:sz w:val="18"/>
                <w:szCs w:val="18"/>
              </w:rPr>
              <w:t xml:space="preserve">Retail — pricing</w:t>
            </w:r>
          </w:p>
        </w:tc>
        <w:tc>
          <w:tcPr>
            <w:tcW w:type="dxa" w:w="2200"/>
            <w:tcMar>
              <w:top w:type="dxa" w:w="40"/>
              <w:left w:type="dxa" w:w="80"/>
              <w:bottom w:type="dxa" w:w="40"/>
              <w:right w:type="dxa" w:w="80"/>
            </w:tcMar>
          </w:tcPr>
          <w:p>
            <w:r>
              <w:rPr>
                <w:b w:val="false"/>
                <w:bCs w:val="false"/>
                <w:sz w:val="18"/>
                <w:szCs w:val="18"/>
              </w:rPr>
              <w:t xml:space="preserve">Margin-left-on-table score</w:t>
            </w:r>
          </w:p>
        </w:tc>
        <w:tc>
          <w:tcPr>
            <w:tcW w:type="dxa" w:w="2560"/>
            <w:tcMar>
              <w:top w:type="dxa" w:w="40"/>
              <w:left w:type="dxa" w:w="80"/>
              <w:bottom w:type="dxa" w:w="40"/>
              <w:right w:type="dxa" w:w="80"/>
            </w:tcMar>
          </w:tcPr>
          <w:p>
            <w:r>
              <w:rPr>
                <w:b w:val="false"/>
                <w:bCs w:val="false"/>
                <w:sz w:val="18"/>
                <w:szCs w:val="18"/>
              </w:rPr>
              <w:t xml:space="preserve">competitor prices, local income, promo cadence</w:t>
            </w:r>
          </w:p>
        </w:tc>
        <w:tc>
          <w:tcPr>
            <w:tcW w:type="dxa" w:w="2600"/>
            <w:tcMar>
              <w:top w:type="dxa" w:w="40"/>
              <w:left w:type="dxa" w:w="80"/>
              <w:bottom w:type="dxa" w:w="40"/>
              <w:right w:type="dxa" w:w="80"/>
            </w:tcMar>
          </w:tcPr>
          <w:p>
            <w:r>
              <w:rPr>
                <w:b w:val="false"/>
                <w:bCs w:val="false"/>
                <w:sz w:val="18"/>
                <w:szCs w:val="18"/>
              </w:rPr>
              <w:t xml:space="preserve">"Reprice these 40 SKUs to this curve"</w:t>
            </w:r>
          </w:p>
        </w:tc>
      </w:tr>
    </w:tbl>
    <w:p>
      <w:pPr>
        <w:pStyle w:val="Heading2"/>
        <w:spacing w:after="100" w:before="200"/>
      </w:pPr>
      <w:r>
        <w:t xml:space="preserve">Two rules that keep a score a wedge</w:t>
      </w:r>
    </w:p>
    <w:p>
      <w:pPr>
        <w:pStyle w:val="ListParagraph"/>
        <w:numPr>
          <w:ilvl w:val="0"/>
          <w:numId w:val="1"/>
        </w:numPr>
        <w:spacing w:after="60"/>
      </w:pPr>
      <w:r>
        <w:rPr>
          <w:sz w:val="21"/>
          <w:szCs w:val="21"/>
        </w:rPr>
        <w:t xml:space="preserve">It’s computable before they’re a customer. If it needs their internal data, it’s a project, not a wedge.</w:t>
      </w:r>
    </w:p>
    <w:p>
      <w:pPr>
        <w:pStyle w:val="ListParagraph"/>
        <w:numPr>
          <w:ilvl w:val="0"/>
          <w:numId w:val="1"/>
        </w:numPr>
        <w:spacing w:after="60"/>
      </w:pPr>
      <w:r>
        <w:rPr>
          <w:sz w:val="21"/>
          <w:szCs w:val="21"/>
        </w:rPr>
        <w:t xml:space="preserve">It’s a confidence signal, not a verdict. Overclaim and a sharp buyer catches you. Certainty comes from the fix.</w:t>
      </w:r>
    </w:p>
    <w:p>
      <w:pPr>
        <w:pBdr>
          <w:left w:val="single" w:color="0D6E8C" w:sz="12" w:space="12"/>
        </w:pBdr>
        <w:spacing w:after="120"/>
      </w:pPr>
      <w:r>
        <w:rPr>
          <w:i/>
          <w:iCs/>
          <w:color w:val="55616F"/>
          <w:sz w:val="20"/>
          <w:szCs w:val="20"/>
        </w:rPr>
        <w:t xml:space="preserve">We give you the score that shows the gap. We’re the engine that turns your data into the fix — an actionable competitive advantage.</w:t>
      </w:r>
    </w:p>
    <w:p>
      <w:r>
        <w:br w:type="page"/>
      </w:r>
    </w:p>
    <w:p>
      <w:pPr>
        <w:pStyle w:val="Heading1"/>
        <w:spacing w:after="120" w:before="240"/>
      </w:pPr>
      <w:r>
        <w:t xml:space="preserve">6 · The Playbook — seven use cases</w:t>
      </w:r>
    </w:p>
    <w:p>
      <w:pPr>
        <w:spacing w:after="120"/>
      </w:pPr>
      <w:r>
        <w:rPr>
          <w:sz w:val="21"/>
          <w:szCs w:val="21"/>
        </w:rPr>
        <w:t xml:space="preserve">The same engine (outside-in score + context map + proprietary data) resnaps onto the whole customer lifecycle. What changes is whose data feeds it and which decision it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740"/>
        <w:gridCol w:w="2100"/>
        <w:gridCol w:w="4000"/>
      </w:tblGrid>
      <w:tr>
        <w:trPr>
          <w:tblHeader/>
        </w:trPr>
        <w:tc>
          <w:tcPr>
            <w:tcW w:type="dxa" w:w="520"/>
            <w:shd w:fill="E7EEF5" w:color="auto" w:val="clear"/>
            <w:tcMar>
              <w:top w:type="dxa" w:w="40"/>
              <w:left w:type="dxa" w:w="80"/>
              <w:bottom w:type="dxa" w:w="40"/>
              <w:right w:type="dxa" w:w="80"/>
            </w:tcMar>
          </w:tcPr>
          <w:p>
            <w:r>
              <w:rPr>
                <w:b/>
                <w:bCs/>
                <w:sz w:val="17"/>
                <w:szCs w:val="17"/>
              </w:rPr>
              <w:t xml:space="preserve">#</w:t>
            </w:r>
          </w:p>
        </w:tc>
        <w:tc>
          <w:tcPr>
            <w:tcW w:type="dxa" w:w="2740"/>
            <w:shd w:fill="E7EEF5" w:color="auto" w:val="clear"/>
            <w:tcMar>
              <w:top w:type="dxa" w:w="40"/>
              <w:left w:type="dxa" w:w="80"/>
              <w:bottom w:type="dxa" w:w="40"/>
              <w:right w:type="dxa" w:w="80"/>
            </w:tcMar>
          </w:tcPr>
          <w:p>
            <w:r>
              <w:rPr>
                <w:b/>
                <w:bCs/>
                <w:sz w:val="17"/>
                <w:szCs w:val="17"/>
              </w:rPr>
              <w:t xml:space="preserve">Play</w:t>
            </w:r>
          </w:p>
        </w:tc>
        <w:tc>
          <w:tcPr>
            <w:tcW w:type="dxa" w:w="2100"/>
            <w:shd w:fill="E7EEF5" w:color="auto" w:val="clear"/>
            <w:tcMar>
              <w:top w:type="dxa" w:w="40"/>
              <w:left w:type="dxa" w:w="80"/>
              <w:bottom w:type="dxa" w:w="40"/>
              <w:right w:type="dxa" w:w="80"/>
            </w:tcMar>
          </w:tcPr>
          <w:p>
            <w:r>
              <w:rPr>
                <w:b/>
                <w:bCs/>
                <w:sz w:val="17"/>
                <w:szCs w:val="17"/>
              </w:rPr>
              <w:t xml:space="preserve">Runs on</w:t>
            </w:r>
          </w:p>
        </w:tc>
        <w:tc>
          <w:tcPr>
            <w:tcW w:type="dxa" w:w="4000"/>
            <w:shd w:fill="E7EEF5" w:color="auto" w:val="clear"/>
            <w:tcMar>
              <w:top w:type="dxa" w:w="40"/>
              <w:left w:type="dxa" w:w="80"/>
              <w:bottom w:type="dxa" w:w="40"/>
              <w:right w:type="dxa" w:w="80"/>
            </w:tcMar>
          </w:tcPr>
          <w:p>
            <w:r>
              <w:rPr>
                <w:b/>
                <w:bCs/>
                <w:sz w:val="17"/>
                <w:szCs w:val="17"/>
              </w:rPr>
              <w:t xml:space="preserve">What it is</w:t>
            </w:r>
          </w:p>
        </w:tc>
      </w:tr>
      <w:tr>
        <w:tc>
          <w:tcPr>
            <w:tcW w:type="dxa" w:w="520"/>
            <w:tcMar>
              <w:top w:type="dxa" w:w="40"/>
              <w:left w:type="dxa" w:w="80"/>
              <w:bottom w:type="dxa" w:w="40"/>
              <w:right w:type="dxa" w:w="80"/>
            </w:tcMar>
          </w:tcPr>
          <w:p>
            <w:r>
              <w:rPr>
                <w:b w:val="false"/>
                <w:bCs w:val="false"/>
                <w:sz w:val="18"/>
                <w:szCs w:val="18"/>
              </w:rPr>
              <w:t xml:space="preserve">1</w:t>
            </w:r>
          </w:p>
        </w:tc>
        <w:tc>
          <w:tcPr>
            <w:tcW w:type="dxa" w:w="2740"/>
            <w:tcMar>
              <w:top w:type="dxa" w:w="40"/>
              <w:left w:type="dxa" w:w="80"/>
              <w:bottom w:type="dxa" w:w="40"/>
              <w:right w:type="dxa" w:w="80"/>
            </w:tcMar>
          </w:tcPr>
          <w:p>
            <w:r>
              <w:rPr>
                <w:b w:val="false"/>
                <w:bCs w:val="false"/>
                <w:sz w:val="18"/>
                <w:szCs w:val="18"/>
              </w:rPr>
              <w:t xml:space="preserve">Pre-sales &amp; outreach</w:t>
            </w:r>
          </w:p>
        </w:tc>
        <w:tc>
          <w:tcPr>
            <w:tcW w:type="dxa" w:w="2100"/>
            <w:tcMar>
              <w:top w:type="dxa" w:w="40"/>
              <w:left w:type="dxa" w:w="80"/>
              <w:bottom w:type="dxa" w:w="40"/>
              <w:right w:type="dxa" w:w="80"/>
            </w:tcMar>
          </w:tcPr>
          <w:p>
            <w:r>
              <w:rPr>
                <w:b w:val="false"/>
                <w:bCs w:val="false"/>
                <w:sz w:val="18"/>
                <w:szCs w:val="18"/>
              </w:rPr>
              <w:t xml:space="preserve">signals (wedge)</w:t>
            </w:r>
          </w:p>
        </w:tc>
        <w:tc>
          <w:tcPr>
            <w:tcW w:type="dxa" w:w="4000"/>
            <w:tcMar>
              <w:top w:type="dxa" w:w="40"/>
              <w:left w:type="dxa" w:w="80"/>
              <w:bottom w:type="dxa" w:w="40"/>
              <w:right w:type="dxa" w:w="80"/>
            </w:tcMar>
          </w:tcPr>
          <w:p>
            <w:r>
              <w:rPr>
                <w:b w:val="false"/>
                <w:bCs w:val="false"/>
                <w:sz w:val="18"/>
                <w:szCs w:val="18"/>
              </w:rPr>
              <w:t xml:space="preserve">Rank prospects</w:t>
            </w:r>
          </w:p>
        </w:tc>
      </w:tr>
      <w:tr>
        <w:tc>
          <w:tcPr>
            <w:tcW w:type="dxa" w:w="520"/>
            <w:tcMar>
              <w:top w:type="dxa" w:w="40"/>
              <w:left w:type="dxa" w:w="80"/>
              <w:bottom w:type="dxa" w:w="40"/>
              <w:right w:type="dxa" w:w="80"/>
            </w:tcMar>
          </w:tcPr>
          <w:p>
            <w:r>
              <w:rPr>
                <w:b w:val="false"/>
                <w:bCs w:val="false"/>
                <w:sz w:val="18"/>
                <w:szCs w:val="18"/>
              </w:rPr>
              <w:t xml:space="preserve">2</w:t>
            </w:r>
          </w:p>
        </w:tc>
        <w:tc>
          <w:tcPr>
            <w:tcW w:type="dxa" w:w="2740"/>
            <w:tcMar>
              <w:top w:type="dxa" w:w="40"/>
              <w:left w:type="dxa" w:w="80"/>
              <w:bottom w:type="dxa" w:w="40"/>
              <w:right w:type="dxa" w:w="80"/>
            </w:tcMar>
          </w:tcPr>
          <w:p>
            <w:r>
              <w:rPr>
                <w:b w:val="false"/>
                <w:bCs w:val="false"/>
                <w:sz w:val="18"/>
                <w:szCs w:val="18"/>
              </w:rPr>
              <w:t xml:space="preserve">Actionable ranked recos</w:t>
            </w:r>
          </w:p>
        </w:tc>
        <w:tc>
          <w:tcPr>
            <w:tcW w:type="dxa" w:w="2100"/>
            <w:tcMar>
              <w:top w:type="dxa" w:w="40"/>
              <w:left w:type="dxa" w:w="80"/>
              <w:bottom w:type="dxa" w:w="40"/>
              <w:right w:type="dxa" w:w="80"/>
            </w:tcMar>
          </w:tcPr>
          <w:p>
            <w:r>
              <w:rPr>
                <w:b w:val="false"/>
                <w:bCs w:val="false"/>
                <w:sz w:val="18"/>
                <w:szCs w:val="18"/>
              </w:rPr>
              <w:t xml:space="preserve">client data</w:t>
            </w:r>
          </w:p>
        </w:tc>
        <w:tc>
          <w:tcPr>
            <w:tcW w:type="dxa" w:w="4000"/>
            <w:tcMar>
              <w:top w:type="dxa" w:w="40"/>
              <w:left w:type="dxa" w:w="80"/>
              <w:bottom w:type="dxa" w:w="40"/>
              <w:right w:type="dxa" w:w="80"/>
            </w:tcMar>
          </w:tcPr>
          <w:p>
            <w:r>
              <w:rPr>
                <w:b w:val="false"/>
                <w:bCs w:val="false"/>
                <w:sz w:val="18"/>
                <w:szCs w:val="18"/>
              </w:rPr>
              <w:t xml:space="preserve">Assessment → prioritised roadmap</w:t>
            </w:r>
          </w:p>
        </w:tc>
      </w:tr>
      <w:tr>
        <w:tc>
          <w:tcPr>
            <w:tcW w:type="dxa" w:w="520"/>
            <w:tcMar>
              <w:top w:type="dxa" w:w="40"/>
              <w:left w:type="dxa" w:w="80"/>
              <w:bottom w:type="dxa" w:w="40"/>
              <w:right w:type="dxa" w:w="80"/>
            </w:tcMar>
          </w:tcPr>
          <w:p>
            <w:r>
              <w:rPr>
                <w:b w:val="false"/>
                <w:bCs w:val="false"/>
                <w:sz w:val="18"/>
                <w:szCs w:val="18"/>
              </w:rPr>
              <w:t xml:space="preserve">3</w:t>
            </w:r>
          </w:p>
        </w:tc>
        <w:tc>
          <w:tcPr>
            <w:tcW w:type="dxa" w:w="2740"/>
            <w:tcMar>
              <w:top w:type="dxa" w:w="40"/>
              <w:left w:type="dxa" w:w="80"/>
              <w:bottom w:type="dxa" w:w="40"/>
              <w:right w:type="dxa" w:w="80"/>
            </w:tcMar>
          </w:tcPr>
          <w:p>
            <w:r>
              <w:rPr>
                <w:b w:val="false"/>
                <w:bCs w:val="false"/>
                <w:sz w:val="18"/>
                <w:szCs w:val="18"/>
              </w:rPr>
              <w:t xml:space="preserve">Continuous monitoring</w:t>
            </w:r>
          </w:p>
        </w:tc>
        <w:tc>
          <w:tcPr>
            <w:tcW w:type="dxa" w:w="2100"/>
            <w:tcMar>
              <w:top w:type="dxa" w:w="40"/>
              <w:left w:type="dxa" w:w="80"/>
              <w:bottom w:type="dxa" w:w="40"/>
              <w:right w:type="dxa" w:w="80"/>
            </w:tcMar>
          </w:tcPr>
          <w:p>
            <w:r>
              <w:rPr>
                <w:b w:val="false"/>
                <w:bCs w:val="false"/>
                <w:sz w:val="18"/>
                <w:szCs w:val="18"/>
              </w:rPr>
              <w:t xml:space="preserve">signals</w:t>
            </w:r>
          </w:p>
        </w:tc>
        <w:tc>
          <w:tcPr>
            <w:tcW w:type="dxa" w:w="4000"/>
            <w:tcMar>
              <w:top w:type="dxa" w:w="40"/>
              <w:left w:type="dxa" w:w="80"/>
              <w:bottom w:type="dxa" w:w="40"/>
              <w:right w:type="dxa" w:w="80"/>
            </w:tcMar>
          </w:tcPr>
          <w:p>
            <w:r>
              <w:rPr>
                <w:b w:val="false"/>
                <w:bCs w:val="false"/>
                <w:sz w:val="18"/>
                <w:szCs w:val="18"/>
              </w:rPr>
              <w:t xml:space="preserve">Drift alerts → recurring revenue</w:t>
            </w:r>
          </w:p>
        </w:tc>
      </w:tr>
      <w:tr>
        <w:tc>
          <w:tcPr>
            <w:tcW w:type="dxa" w:w="520"/>
            <w:tcMar>
              <w:top w:type="dxa" w:w="40"/>
              <w:left w:type="dxa" w:w="80"/>
              <w:bottom w:type="dxa" w:w="40"/>
              <w:right w:type="dxa" w:w="80"/>
            </w:tcMar>
          </w:tcPr>
          <w:p>
            <w:r>
              <w:rPr>
                <w:b w:val="false"/>
                <w:bCs w:val="false"/>
                <w:sz w:val="18"/>
                <w:szCs w:val="18"/>
              </w:rPr>
              <w:t xml:space="preserve">4</w:t>
            </w:r>
          </w:p>
        </w:tc>
        <w:tc>
          <w:tcPr>
            <w:tcW w:type="dxa" w:w="2740"/>
            <w:tcMar>
              <w:top w:type="dxa" w:w="40"/>
              <w:left w:type="dxa" w:w="80"/>
              <w:bottom w:type="dxa" w:w="40"/>
              <w:right w:type="dxa" w:w="80"/>
            </w:tcMar>
          </w:tcPr>
          <w:p>
            <w:r>
              <w:rPr>
                <w:b w:val="false"/>
                <w:bCs w:val="false"/>
                <w:sz w:val="18"/>
                <w:szCs w:val="18"/>
              </w:rPr>
              <w:t xml:space="preserve">Supplier risk as a service</w:t>
            </w:r>
          </w:p>
        </w:tc>
        <w:tc>
          <w:tcPr>
            <w:tcW w:type="dxa" w:w="2100"/>
            <w:tcMar>
              <w:top w:type="dxa" w:w="40"/>
              <w:left w:type="dxa" w:w="80"/>
              <w:bottom w:type="dxa" w:w="40"/>
              <w:right w:type="dxa" w:w="80"/>
            </w:tcMar>
          </w:tcPr>
          <w:p>
            <w:r>
              <w:rPr>
                <w:b w:val="false"/>
                <w:bCs w:val="false"/>
                <w:sz w:val="18"/>
                <w:szCs w:val="18"/>
              </w:rPr>
              <w:t xml:space="preserve">client data</w:t>
            </w:r>
          </w:p>
        </w:tc>
        <w:tc>
          <w:tcPr>
            <w:tcW w:type="dxa" w:w="4000"/>
            <w:tcMar>
              <w:top w:type="dxa" w:w="40"/>
              <w:left w:type="dxa" w:w="80"/>
              <w:bottom w:type="dxa" w:w="40"/>
              <w:right w:type="dxa" w:w="80"/>
            </w:tcMar>
          </w:tcPr>
          <w:p>
            <w:r>
              <w:rPr>
                <w:b w:val="false"/>
                <w:bCs w:val="false"/>
                <w:sz w:val="18"/>
                <w:szCs w:val="18"/>
              </w:rPr>
              <w:t xml:space="preserve">Score their supply chain + lead-gen</w:t>
            </w:r>
          </w:p>
        </w:tc>
      </w:tr>
      <w:tr>
        <w:tc>
          <w:tcPr>
            <w:tcW w:type="dxa" w:w="520"/>
            <w:tcMar>
              <w:top w:type="dxa" w:w="40"/>
              <w:left w:type="dxa" w:w="80"/>
              <w:bottom w:type="dxa" w:w="40"/>
              <w:right w:type="dxa" w:w="80"/>
            </w:tcMar>
          </w:tcPr>
          <w:p>
            <w:r>
              <w:rPr>
                <w:b w:val="false"/>
                <w:bCs w:val="false"/>
                <w:sz w:val="18"/>
                <w:szCs w:val="18"/>
              </w:rPr>
              <w:t xml:space="preserve">5</w:t>
            </w:r>
          </w:p>
        </w:tc>
        <w:tc>
          <w:tcPr>
            <w:tcW w:type="dxa" w:w="2740"/>
            <w:tcMar>
              <w:top w:type="dxa" w:w="40"/>
              <w:left w:type="dxa" w:w="80"/>
              <w:bottom w:type="dxa" w:w="40"/>
              <w:right w:type="dxa" w:w="80"/>
            </w:tcMar>
          </w:tcPr>
          <w:p>
            <w:r>
              <w:rPr>
                <w:b w:val="false"/>
                <w:bCs w:val="false"/>
                <w:sz w:val="18"/>
                <w:szCs w:val="18"/>
              </w:rPr>
              <w:t xml:space="preserve">Competitive benchmarking</w:t>
            </w:r>
          </w:p>
        </w:tc>
        <w:tc>
          <w:tcPr>
            <w:tcW w:type="dxa" w:w="2100"/>
            <w:tcMar>
              <w:top w:type="dxa" w:w="40"/>
              <w:left w:type="dxa" w:w="80"/>
              <w:bottom w:type="dxa" w:w="40"/>
              <w:right w:type="dxa" w:w="80"/>
            </w:tcMar>
          </w:tcPr>
          <w:p>
            <w:r>
              <w:rPr>
                <w:b w:val="false"/>
                <w:bCs w:val="false"/>
                <w:sz w:val="18"/>
                <w:szCs w:val="18"/>
              </w:rPr>
              <w:t xml:space="preserve">your data (moat)</w:t>
            </w:r>
          </w:p>
        </w:tc>
        <w:tc>
          <w:tcPr>
            <w:tcW w:type="dxa" w:w="4000"/>
            <w:tcMar>
              <w:top w:type="dxa" w:w="40"/>
              <w:left w:type="dxa" w:w="80"/>
              <w:bottom w:type="dxa" w:w="40"/>
              <w:right w:type="dxa" w:w="80"/>
            </w:tcMar>
          </w:tcPr>
          <w:p>
            <w:r>
              <w:rPr>
                <w:b w:val="false"/>
                <w:bCs w:val="false"/>
                <w:sz w:val="18"/>
                <w:szCs w:val="18"/>
              </w:rPr>
              <w:t xml:space="preserve">Peer percentile</w:t>
            </w:r>
          </w:p>
        </w:tc>
      </w:tr>
      <w:tr>
        <w:tc>
          <w:tcPr>
            <w:tcW w:type="dxa" w:w="520"/>
            <w:tcMar>
              <w:top w:type="dxa" w:w="40"/>
              <w:left w:type="dxa" w:w="80"/>
              <w:bottom w:type="dxa" w:w="40"/>
              <w:right w:type="dxa" w:w="80"/>
            </w:tcMar>
          </w:tcPr>
          <w:p>
            <w:r>
              <w:rPr>
                <w:b w:val="false"/>
                <w:bCs w:val="false"/>
                <w:sz w:val="18"/>
                <w:szCs w:val="18"/>
              </w:rPr>
              <w:t xml:space="preserve">6</w:t>
            </w:r>
          </w:p>
        </w:tc>
        <w:tc>
          <w:tcPr>
            <w:tcW w:type="dxa" w:w="2740"/>
            <w:tcMar>
              <w:top w:type="dxa" w:w="40"/>
              <w:left w:type="dxa" w:w="80"/>
              <w:bottom w:type="dxa" w:w="40"/>
              <w:right w:type="dxa" w:w="80"/>
            </w:tcMar>
          </w:tcPr>
          <w:p>
            <w:r>
              <w:rPr>
                <w:b w:val="false"/>
                <w:bCs w:val="false"/>
                <w:sz w:val="18"/>
                <w:szCs w:val="18"/>
              </w:rPr>
              <w:t xml:space="preserve">Board &amp; compliance pack</w:t>
            </w:r>
          </w:p>
        </w:tc>
        <w:tc>
          <w:tcPr>
            <w:tcW w:type="dxa" w:w="2100"/>
            <w:tcMar>
              <w:top w:type="dxa" w:w="40"/>
              <w:left w:type="dxa" w:w="80"/>
              <w:bottom w:type="dxa" w:w="40"/>
              <w:right w:type="dxa" w:w="80"/>
            </w:tcMar>
          </w:tcPr>
          <w:p>
            <w:r>
              <w:rPr>
                <w:b w:val="false"/>
                <w:bCs w:val="false"/>
                <w:sz w:val="18"/>
                <w:szCs w:val="18"/>
              </w:rPr>
              <w:t xml:space="preserve">client data</w:t>
            </w:r>
          </w:p>
        </w:tc>
        <w:tc>
          <w:tcPr>
            <w:tcW w:type="dxa" w:w="4000"/>
            <w:tcMar>
              <w:top w:type="dxa" w:w="40"/>
              <w:left w:type="dxa" w:w="80"/>
              <w:bottom w:type="dxa" w:w="40"/>
              <w:right w:type="dxa" w:w="80"/>
            </w:tcMar>
          </w:tcPr>
          <w:p>
            <w:r>
              <w:rPr>
                <w:b w:val="false"/>
                <w:bCs w:val="false"/>
                <w:sz w:val="18"/>
                <w:szCs w:val="18"/>
              </w:rPr>
              <w:t xml:space="preserve">Framework-mapped scorecard</w:t>
            </w:r>
          </w:p>
        </w:tc>
      </w:tr>
      <w:tr>
        <w:tc>
          <w:tcPr>
            <w:tcW w:type="dxa" w:w="520"/>
            <w:tcMar>
              <w:top w:type="dxa" w:w="40"/>
              <w:left w:type="dxa" w:w="80"/>
              <w:bottom w:type="dxa" w:w="40"/>
              <w:right w:type="dxa" w:w="80"/>
            </w:tcMar>
          </w:tcPr>
          <w:p>
            <w:r>
              <w:rPr>
                <w:b w:val="false"/>
                <w:bCs w:val="false"/>
                <w:sz w:val="18"/>
                <w:szCs w:val="18"/>
              </w:rPr>
              <w:t xml:space="preserve">7</w:t>
            </w:r>
          </w:p>
        </w:tc>
        <w:tc>
          <w:tcPr>
            <w:tcW w:type="dxa" w:w="2740"/>
            <w:tcMar>
              <w:top w:type="dxa" w:w="40"/>
              <w:left w:type="dxa" w:w="80"/>
              <w:bottom w:type="dxa" w:w="40"/>
              <w:right w:type="dxa" w:w="80"/>
            </w:tcMar>
          </w:tcPr>
          <w:p>
            <w:r>
              <w:rPr>
                <w:b w:val="false"/>
                <w:bCs w:val="false"/>
                <w:sz w:val="18"/>
                <w:szCs w:val="18"/>
              </w:rPr>
              <w:t xml:space="preserve">Scoping &amp; pricing</w:t>
            </w:r>
          </w:p>
        </w:tc>
        <w:tc>
          <w:tcPr>
            <w:tcW w:type="dxa" w:w="2100"/>
            <w:tcMar>
              <w:top w:type="dxa" w:w="40"/>
              <w:left w:type="dxa" w:w="80"/>
              <w:bottom w:type="dxa" w:w="40"/>
              <w:right w:type="dxa" w:w="80"/>
            </w:tcMar>
          </w:tcPr>
          <w:p>
            <w:r>
              <w:rPr>
                <w:b w:val="false"/>
                <w:bCs w:val="false"/>
                <w:sz w:val="18"/>
                <w:szCs w:val="18"/>
              </w:rPr>
              <w:t xml:space="preserve">signals</w:t>
            </w:r>
          </w:p>
        </w:tc>
        <w:tc>
          <w:tcPr>
            <w:tcW w:type="dxa" w:w="4000"/>
            <w:tcMar>
              <w:top w:type="dxa" w:w="40"/>
              <w:left w:type="dxa" w:w="80"/>
              <w:bottom w:type="dxa" w:w="40"/>
              <w:right w:type="dxa" w:w="80"/>
            </w:tcMar>
          </w:tcPr>
          <w:p>
            <w:r>
              <w:rPr>
                <w:b w:val="false"/>
                <w:bCs w:val="false"/>
                <w:sz w:val="18"/>
                <w:szCs w:val="18"/>
              </w:rPr>
              <w:t xml:space="preserve">Quote &amp; staff faster</w:t>
            </w:r>
          </w:p>
        </w:tc>
      </w:tr>
    </w:tbl>
    <w:p>
      <w:pPr>
        <w:pStyle w:val="Heading2"/>
        <w:spacing w:after="100" w:before="200"/>
      </w:pPr>
      <w:r>
        <w:t xml:space="preserve">Play 5 — Competitive benchmarking (anchor, real data)</w:t>
      </w:r>
    </w:p>
    <w:p>
      <w:pPr>
        <w:spacing w:after="120"/>
      </w:pPr>
      <w:r>
        <w:rPr>
          <w:sz w:val="21"/>
          <w:szCs w:val="21"/>
        </w:rPr>
        <w:t xml:space="preserve">10 Swedish energy &amp; transport operators ranked on external security hygiene. Score = 100 minus a severity-weighted penalty per observable weakness — mechanically computed (presales_scout.benchmark), no tuning knobs. The view you’d hand a prospect: "you’re bottom of your peer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1200"/>
        <w:gridCol w:w="3600"/>
      </w:tblGrid>
      <w:tr>
        <w:trPr>
          <w:tblHeader/>
        </w:trPr>
        <w:tc>
          <w:tcPr>
            <w:tcW w:type="dxa" w:w="900"/>
            <w:shd w:fill="E7EEF5" w:color="auto" w:val="clear"/>
            <w:tcMar>
              <w:top w:type="dxa" w:w="40"/>
              <w:left w:type="dxa" w:w="80"/>
              <w:bottom w:type="dxa" w:w="40"/>
              <w:right w:type="dxa" w:w="80"/>
            </w:tcMar>
          </w:tcPr>
          <w:p>
            <w:r>
              <w:rPr>
                <w:b/>
                <w:bCs/>
                <w:sz w:val="17"/>
                <w:szCs w:val="17"/>
              </w:rPr>
              <w:t xml:space="preserve">Rank</w:t>
            </w:r>
          </w:p>
        </w:tc>
        <w:tc>
          <w:tcPr>
            <w:tcW w:type="dxa" w:w="3660"/>
            <w:shd w:fill="E7EEF5" w:color="auto" w:val="clear"/>
            <w:tcMar>
              <w:top w:type="dxa" w:w="40"/>
              <w:left w:type="dxa" w:w="80"/>
              <w:bottom w:type="dxa" w:w="40"/>
              <w:right w:type="dxa" w:w="80"/>
            </w:tcMar>
          </w:tcPr>
          <w:p>
            <w:r>
              <w:rPr>
                <w:b/>
                <w:bCs/>
                <w:sz w:val="17"/>
                <w:szCs w:val="17"/>
              </w:rPr>
              <w:t xml:space="preserve">Company</w:t>
            </w:r>
          </w:p>
        </w:tc>
        <w:tc>
          <w:tcPr>
            <w:tcW w:type="dxa" w:w="1200"/>
            <w:shd w:fill="E7EEF5" w:color="auto" w:val="clear"/>
            <w:tcMar>
              <w:top w:type="dxa" w:w="40"/>
              <w:left w:type="dxa" w:w="80"/>
              <w:bottom w:type="dxa" w:w="40"/>
              <w:right w:type="dxa" w:w="80"/>
            </w:tcMar>
          </w:tcPr>
          <w:p>
            <w:r>
              <w:rPr>
                <w:b/>
                <w:bCs/>
                <w:sz w:val="17"/>
                <w:szCs w:val="17"/>
              </w:rPr>
              <w:t xml:space="preserve">Score</w:t>
            </w:r>
          </w:p>
        </w:tc>
        <w:tc>
          <w:tcPr>
            <w:tcW w:type="dxa" w:w="3600"/>
            <w:shd w:fill="E7EEF5" w:color="auto" w:val="clear"/>
            <w:tcMar>
              <w:top w:type="dxa" w:w="40"/>
              <w:left w:type="dxa" w:w="80"/>
              <w:bottom w:type="dxa" w:w="40"/>
              <w:right w:type="dxa" w:w="80"/>
            </w:tcMar>
          </w:tcPr>
          <w:p>
            <w:r>
              <w:rPr>
                <w:b/>
                <w:bCs/>
                <w:sz w:val="17"/>
                <w:szCs w:val="17"/>
              </w:rPr>
              <w:t xml:space="preserve">Band</w:t>
            </w:r>
          </w:p>
        </w:tc>
      </w:tr>
      <w:tr>
        <w:tc>
          <w:tcPr>
            <w:tcW w:type="dxa" w:w="900"/>
            <w:tcMar>
              <w:top w:type="dxa" w:w="40"/>
              <w:left w:type="dxa" w:w="80"/>
              <w:bottom w:type="dxa" w:w="40"/>
              <w:right w:type="dxa" w:w="80"/>
            </w:tcMar>
          </w:tcPr>
          <w:p>
            <w:r>
              <w:rPr>
                <w:b w:val="false"/>
                <w:bCs w:val="false"/>
                <w:sz w:val="18"/>
                <w:szCs w:val="18"/>
              </w:rPr>
              <w:t xml:space="preserve">1</w:t>
            </w:r>
          </w:p>
        </w:tc>
        <w:tc>
          <w:tcPr>
            <w:tcW w:type="dxa" w:w="3660"/>
            <w:tcMar>
              <w:top w:type="dxa" w:w="40"/>
              <w:left w:type="dxa" w:w="80"/>
              <w:bottom w:type="dxa" w:w="40"/>
              <w:right w:type="dxa" w:w="80"/>
            </w:tcMar>
          </w:tcPr>
          <w:p>
            <w:r>
              <w:rPr>
                <w:b w:val="false"/>
                <w:bCs w:val="false"/>
                <w:sz w:val="18"/>
                <w:szCs w:val="18"/>
              </w:rPr>
              <w:t xml:space="preserve">Green Cargo AB</w:t>
            </w:r>
          </w:p>
        </w:tc>
        <w:tc>
          <w:tcPr>
            <w:tcW w:type="dxa" w:w="1200"/>
            <w:tcMar>
              <w:top w:type="dxa" w:w="40"/>
              <w:left w:type="dxa" w:w="80"/>
              <w:bottom w:type="dxa" w:w="40"/>
              <w:right w:type="dxa" w:w="80"/>
            </w:tcMar>
          </w:tcPr>
          <w:p>
            <w:r>
              <w:rPr>
                <w:b w:val="false"/>
                <w:bCs w:val="false"/>
                <w:sz w:val="18"/>
                <w:szCs w:val="18"/>
              </w:rPr>
              <w:t xml:space="preserve">78</w:t>
            </w:r>
          </w:p>
        </w:tc>
        <w:tc>
          <w:tcPr>
            <w:tcW w:type="dxa" w:w="3600"/>
            <w:tcMar>
              <w:top w:type="dxa" w:w="40"/>
              <w:left w:type="dxa" w:w="80"/>
              <w:bottom w:type="dxa" w:w="40"/>
              <w:right w:type="dxa" w:w="80"/>
            </w:tcMar>
          </w:tcPr>
          <w:p>
            <w:r>
              <w:rPr>
                <w:b w:val="false"/>
                <w:bCs w:val="false"/>
                <w:sz w:val="18"/>
                <w:szCs w:val="18"/>
              </w:rPr>
              <w:t xml:space="preserve">strong</w:t>
            </w:r>
          </w:p>
        </w:tc>
      </w:tr>
      <w:tr>
        <w:tc>
          <w:tcPr>
            <w:tcW w:type="dxa" w:w="900"/>
            <w:tcMar>
              <w:top w:type="dxa" w:w="40"/>
              <w:left w:type="dxa" w:w="80"/>
              <w:bottom w:type="dxa" w:w="40"/>
              <w:right w:type="dxa" w:w="80"/>
            </w:tcMar>
          </w:tcPr>
          <w:p>
            <w:r>
              <w:rPr>
                <w:b w:val="false"/>
                <w:bCs w:val="false"/>
                <w:sz w:val="18"/>
                <w:szCs w:val="18"/>
              </w:rPr>
              <w:t xml:space="preserve">2</w:t>
            </w:r>
          </w:p>
        </w:tc>
        <w:tc>
          <w:tcPr>
            <w:tcW w:type="dxa" w:w="3660"/>
            <w:tcMar>
              <w:top w:type="dxa" w:w="40"/>
              <w:left w:type="dxa" w:w="80"/>
              <w:bottom w:type="dxa" w:w="40"/>
              <w:right w:type="dxa" w:w="80"/>
            </w:tcMar>
          </w:tcPr>
          <w:p>
            <w:r>
              <w:rPr>
                <w:b w:val="false"/>
                <w:bCs w:val="false"/>
                <w:sz w:val="18"/>
                <w:szCs w:val="18"/>
              </w:rPr>
              <w:t xml:space="preserve">Mälarenergi AB</w:t>
            </w:r>
          </w:p>
        </w:tc>
        <w:tc>
          <w:tcPr>
            <w:tcW w:type="dxa" w:w="1200"/>
            <w:tcMar>
              <w:top w:type="dxa" w:w="40"/>
              <w:left w:type="dxa" w:w="80"/>
              <w:bottom w:type="dxa" w:w="40"/>
              <w:right w:type="dxa" w:w="80"/>
            </w:tcMar>
          </w:tcPr>
          <w:p>
            <w:r>
              <w:rPr>
                <w:b w:val="false"/>
                <w:bCs w:val="false"/>
                <w:sz w:val="18"/>
                <w:szCs w:val="18"/>
              </w:rPr>
              <w:t xml:space="preserve">58</w:t>
            </w:r>
          </w:p>
        </w:tc>
        <w:tc>
          <w:tcPr>
            <w:tcW w:type="dxa" w:w="3600"/>
            <w:tcMar>
              <w:top w:type="dxa" w:w="40"/>
              <w:left w:type="dxa" w:w="80"/>
              <w:bottom w:type="dxa" w:w="40"/>
              <w:right w:type="dxa" w:w="80"/>
            </w:tcMar>
          </w:tcPr>
          <w:p>
            <w:r>
              <w:rPr>
                <w:b w:val="false"/>
                <w:bCs w:val="false"/>
                <w:sz w:val="18"/>
                <w:szCs w:val="18"/>
              </w:rPr>
              <w:t xml:space="preserve">strong</w:t>
            </w:r>
          </w:p>
        </w:tc>
      </w:tr>
      <w:tr>
        <w:tc>
          <w:tcPr>
            <w:tcW w:type="dxa" w:w="900"/>
            <w:tcMar>
              <w:top w:type="dxa" w:w="40"/>
              <w:left w:type="dxa" w:w="80"/>
              <w:bottom w:type="dxa" w:w="40"/>
              <w:right w:type="dxa" w:w="80"/>
            </w:tcMar>
          </w:tcPr>
          <w:p>
            <w:r>
              <w:rPr>
                <w:b w:val="false"/>
                <w:bCs w:val="false"/>
                <w:sz w:val="18"/>
                <w:szCs w:val="18"/>
              </w:rPr>
              <w:t xml:space="preserve">3</w:t>
            </w:r>
          </w:p>
        </w:tc>
        <w:tc>
          <w:tcPr>
            <w:tcW w:type="dxa" w:w="3660"/>
            <w:tcMar>
              <w:top w:type="dxa" w:w="40"/>
              <w:left w:type="dxa" w:w="80"/>
              <w:bottom w:type="dxa" w:w="40"/>
              <w:right w:type="dxa" w:w="80"/>
            </w:tcMar>
          </w:tcPr>
          <w:p>
            <w:r>
              <w:rPr>
                <w:b w:val="false"/>
                <w:bCs w:val="false"/>
                <w:sz w:val="18"/>
                <w:szCs w:val="18"/>
              </w:rPr>
              <w:t xml:space="preserve">Stena Line Scandinavia AB</w:t>
            </w:r>
          </w:p>
        </w:tc>
        <w:tc>
          <w:tcPr>
            <w:tcW w:type="dxa" w:w="1200"/>
            <w:tcMar>
              <w:top w:type="dxa" w:w="40"/>
              <w:left w:type="dxa" w:w="80"/>
              <w:bottom w:type="dxa" w:w="40"/>
              <w:right w:type="dxa" w:w="80"/>
            </w:tcMar>
          </w:tcPr>
          <w:p>
            <w:r>
              <w:rPr>
                <w:b w:val="false"/>
                <w:bCs w:val="false"/>
                <w:sz w:val="18"/>
                <w:szCs w:val="18"/>
              </w:rPr>
              <w:t xml:space="preserve">46</w:t>
            </w:r>
          </w:p>
        </w:tc>
        <w:tc>
          <w:tcPr>
            <w:tcW w:type="dxa" w:w="3600"/>
            <w:tcMar>
              <w:top w:type="dxa" w:w="40"/>
              <w:left w:type="dxa" w:w="80"/>
              <w:bottom w:type="dxa" w:w="40"/>
              <w:right w:type="dxa" w:w="80"/>
            </w:tcMar>
          </w:tcPr>
          <w:p>
            <w:r>
              <w:rPr>
                <w:b w:val="false"/>
                <w:bCs w:val="false"/>
                <w:sz w:val="18"/>
                <w:szCs w:val="18"/>
              </w:rPr>
              <w:t xml:space="preserve">strong</w:t>
            </w:r>
          </w:p>
        </w:tc>
      </w:tr>
      <w:tr>
        <w:tc>
          <w:tcPr>
            <w:tcW w:type="dxa" w:w="900"/>
            <w:tcMar>
              <w:top w:type="dxa" w:w="40"/>
              <w:left w:type="dxa" w:w="80"/>
              <w:bottom w:type="dxa" w:w="40"/>
              <w:right w:type="dxa" w:w="80"/>
            </w:tcMar>
          </w:tcPr>
          <w:p>
            <w:r>
              <w:rPr>
                <w:b w:val="false"/>
                <w:bCs w:val="false"/>
                <w:sz w:val="18"/>
                <w:szCs w:val="18"/>
              </w:rPr>
              <w:t xml:space="preserve">4</w:t>
            </w:r>
          </w:p>
        </w:tc>
        <w:tc>
          <w:tcPr>
            <w:tcW w:type="dxa" w:w="3660"/>
            <w:tcMar>
              <w:top w:type="dxa" w:w="40"/>
              <w:left w:type="dxa" w:w="80"/>
              <w:bottom w:type="dxa" w:w="40"/>
              <w:right w:type="dxa" w:w="80"/>
            </w:tcMar>
          </w:tcPr>
          <w:p>
            <w:r>
              <w:rPr>
                <w:b w:val="false"/>
                <w:bCs w:val="false"/>
                <w:sz w:val="18"/>
                <w:szCs w:val="18"/>
              </w:rPr>
              <w:t xml:space="preserve">Göteborg Energi AB</w:t>
            </w:r>
          </w:p>
        </w:tc>
        <w:tc>
          <w:tcPr>
            <w:tcW w:type="dxa" w:w="1200"/>
            <w:tcMar>
              <w:top w:type="dxa" w:w="40"/>
              <w:left w:type="dxa" w:w="80"/>
              <w:bottom w:type="dxa" w:w="40"/>
              <w:right w:type="dxa" w:w="80"/>
            </w:tcMar>
          </w:tcPr>
          <w:p>
            <w:r>
              <w:rPr>
                <w:b w:val="false"/>
                <w:bCs w:val="false"/>
                <w:sz w:val="18"/>
                <w:szCs w:val="18"/>
              </w:rPr>
              <w:t xml:space="preserve">42</w:t>
            </w:r>
          </w:p>
        </w:tc>
        <w:tc>
          <w:tcPr>
            <w:tcW w:type="dxa" w:w="3600"/>
            <w:tcMar>
              <w:top w:type="dxa" w:w="40"/>
              <w:left w:type="dxa" w:w="80"/>
              <w:bottom w:type="dxa" w:w="40"/>
              <w:right w:type="dxa" w:w="80"/>
            </w:tcMar>
          </w:tcPr>
          <w:p>
            <w:r>
              <w:rPr>
                <w:b w:val="false"/>
                <w:bCs w:val="false"/>
                <w:sz w:val="18"/>
                <w:szCs w:val="18"/>
              </w:rPr>
              <w:t xml:space="preserve">mid</w:t>
            </w:r>
          </w:p>
        </w:tc>
      </w:tr>
      <w:tr>
        <w:tc>
          <w:tcPr>
            <w:tcW w:type="dxa" w:w="900"/>
            <w:tcMar>
              <w:top w:type="dxa" w:w="40"/>
              <w:left w:type="dxa" w:w="80"/>
              <w:bottom w:type="dxa" w:w="40"/>
              <w:right w:type="dxa" w:w="80"/>
            </w:tcMar>
          </w:tcPr>
          <w:p>
            <w:r>
              <w:rPr>
                <w:b w:val="false"/>
                <w:bCs w:val="false"/>
                <w:sz w:val="18"/>
                <w:szCs w:val="18"/>
              </w:rPr>
              <w:t xml:space="preserve">5</w:t>
            </w:r>
          </w:p>
        </w:tc>
        <w:tc>
          <w:tcPr>
            <w:tcW w:type="dxa" w:w="3660"/>
            <w:tcMar>
              <w:top w:type="dxa" w:w="40"/>
              <w:left w:type="dxa" w:w="80"/>
              <w:bottom w:type="dxa" w:w="40"/>
              <w:right w:type="dxa" w:w="80"/>
            </w:tcMar>
          </w:tcPr>
          <w:p>
            <w:r>
              <w:rPr>
                <w:b w:val="false"/>
                <w:bCs w:val="false"/>
                <w:sz w:val="18"/>
                <w:szCs w:val="18"/>
              </w:rPr>
              <w:t xml:space="preserve">Öresundskraft AB</w:t>
            </w:r>
          </w:p>
        </w:tc>
        <w:tc>
          <w:tcPr>
            <w:tcW w:type="dxa" w:w="1200"/>
            <w:tcMar>
              <w:top w:type="dxa" w:w="40"/>
              <w:left w:type="dxa" w:w="80"/>
              <w:bottom w:type="dxa" w:w="40"/>
              <w:right w:type="dxa" w:w="80"/>
            </w:tcMar>
          </w:tcPr>
          <w:p>
            <w:r>
              <w:rPr>
                <w:b w:val="false"/>
                <w:bCs w:val="false"/>
                <w:sz w:val="18"/>
                <w:szCs w:val="18"/>
              </w:rPr>
              <w:t xml:space="preserve">42</w:t>
            </w:r>
          </w:p>
        </w:tc>
        <w:tc>
          <w:tcPr>
            <w:tcW w:type="dxa" w:w="3600"/>
            <w:tcMar>
              <w:top w:type="dxa" w:w="40"/>
              <w:left w:type="dxa" w:w="80"/>
              <w:bottom w:type="dxa" w:w="40"/>
              <w:right w:type="dxa" w:w="80"/>
            </w:tcMar>
          </w:tcPr>
          <w:p>
            <w:r>
              <w:rPr>
                <w:b w:val="false"/>
                <w:bCs w:val="false"/>
                <w:sz w:val="18"/>
                <w:szCs w:val="18"/>
              </w:rPr>
              <w:t xml:space="preserve">mid</w:t>
            </w:r>
          </w:p>
        </w:tc>
      </w:tr>
      <w:tr>
        <w:tc>
          <w:tcPr>
            <w:tcW w:type="dxa" w:w="900"/>
            <w:tcMar>
              <w:top w:type="dxa" w:w="40"/>
              <w:left w:type="dxa" w:w="80"/>
              <w:bottom w:type="dxa" w:w="40"/>
              <w:right w:type="dxa" w:w="80"/>
            </w:tcMar>
          </w:tcPr>
          <w:p>
            <w:r>
              <w:rPr>
                <w:b w:val="false"/>
                <w:bCs w:val="false"/>
                <w:sz w:val="18"/>
                <w:szCs w:val="18"/>
              </w:rPr>
              <w:t xml:space="preserve">6</w:t>
            </w:r>
          </w:p>
        </w:tc>
        <w:tc>
          <w:tcPr>
            <w:tcW w:type="dxa" w:w="3660"/>
            <w:tcMar>
              <w:top w:type="dxa" w:w="40"/>
              <w:left w:type="dxa" w:w="80"/>
              <w:bottom w:type="dxa" w:w="40"/>
              <w:right w:type="dxa" w:w="80"/>
            </w:tcMar>
          </w:tcPr>
          <w:p>
            <w:r>
              <w:rPr>
                <w:b w:val="false"/>
                <w:bCs w:val="false"/>
                <w:sz w:val="18"/>
                <w:szCs w:val="18"/>
              </w:rPr>
              <w:t xml:space="preserve">Nobina Sverige AB</w:t>
            </w:r>
          </w:p>
        </w:tc>
        <w:tc>
          <w:tcPr>
            <w:tcW w:type="dxa" w:w="1200"/>
            <w:tcMar>
              <w:top w:type="dxa" w:w="40"/>
              <w:left w:type="dxa" w:w="80"/>
              <w:bottom w:type="dxa" w:w="40"/>
              <w:right w:type="dxa" w:w="80"/>
            </w:tcMar>
          </w:tcPr>
          <w:p>
            <w:r>
              <w:rPr>
                <w:b w:val="false"/>
                <w:bCs w:val="false"/>
                <w:sz w:val="18"/>
                <w:szCs w:val="18"/>
              </w:rPr>
              <w:t xml:space="preserve">36</w:t>
            </w:r>
          </w:p>
        </w:tc>
        <w:tc>
          <w:tcPr>
            <w:tcW w:type="dxa" w:w="3600"/>
            <w:tcMar>
              <w:top w:type="dxa" w:w="40"/>
              <w:left w:type="dxa" w:w="80"/>
              <w:bottom w:type="dxa" w:w="40"/>
              <w:right w:type="dxa" w:w="80"/>
            </w:tcMar>
          </w:tcPr>
          <w:p>
            <w:r>
              <w:rPr>
                <w:b w:val="false"/>
                <w:bCs w:val="false"/>
                <w:sz w:val="18"/>
                <w:szCs w:val="18"/>
              </w:rPr>
              <w:t xml:space="preserve">mid</w:t>
            </w:r>
          </w:p>
        </w:tc>
      </w:tr>
      <w:tr>
        <w:tc>
          <w:tcPr>
            <w:tcW w:type="dxa" w:w="900"/>
            <w:tcMar>
              <w:top w:type="dxa" w:w="40"/>
              <w:left w:type="dxa" w:w="80"/>
              <w:bottom w:type="dxa" w:w="40"/>
              <w:right w:type="dxa" w:w="80"/>
            </w:tcMar>
          </w:tcPr>
          <w:p>
            <w:r>
              <w:rPr>
                <w:b w:val="false"/>
                <w:bCs w:val="false"/>
                <w:sz w:val="18"/>
                <w:szCs w:val="18"/>
              </w:rPr>
              <w:t xml:space="preserve">7</w:t>
            </w:r>
          </w:p>
        </w:tc>
        <w:tc>
          <w:tcPr>
            <w:tcW w:type="dxa" w:w="3660"/>
            <w:tcMar>
              <w:top w:type="dxa" w:w="40"/>
              <w:left w:type="dxa" w:w="80"/>
              <w:bottom w:type="dxa" w:w="40"/>
              <w:right w:type="dxa" w:w="80"/>
            </w:tcMar>
          </w:tcPr>
          <w:p>
            <w:r>
              <w:rPr>
                <w:b w:val="false"/>
                <w:bCs w:val="false"/>
                <w:sz w:val="18"/>
                <w:szCs w:val="18"/>
              </w:rPr>
              <w:t xml:space="preserve">Transdev Sverige AB</w:t>
            </w:r>
          </w:p>
        </w:tc>
        <w:tc>
          <w:tcPr>
            <w:tcW w:type="dxa" w:w="1200"/>
            <w:tcMar>
              <w:top w:type="dxa" w:w="40"/>
              <w:left w:type="dxa" w:w="80"/>
              <w:bottom w:type="dxa" w:w="40"/>
              <w:right w:type="dxa" w:w="80"/>
            </w:tcMar>
          </w:tcPr>
          <w:p>
            <w:r>
              <w:rPr>
                <w:b w:val="false"/>
                <w:bCs w:val="false"/>
                <w:sz w:val="18"/>
                <w:szCs w:val="18"/>
              </w:rPr>
              <w:t xml:space="preserve">36</w:t>
            </w:r>
          </w:p>
        </w:tc>
        <w:tc>
          <w:tcPr>
            <w:tcW w:type="dxa" w:w="3600"/>
            <w:tcMar>
              <w:top w:type="dxa" w:w="40"/>
              <w:left w:type="dxa" w:w="80"/>
              <w:bottom w:type="dxa" w:w="40"/>
              <w:right w:type="dxa" w:w="80"/>
            </w:tcMar>
          </w:tcPr>
          <w:p>
            <w:r>
              <w:rPr>
                <w:b w:val="false"/>
                <w:bCs w:val="false"/>
                <w:sz w:val="18"/>
                <w:szCs w:val="18"/>
              </w:rPr>
              <w:t xml:space="preserve">mid</w:t>
            </w:r>
          </w:p>
        </w:tc>
      </w:tr>
      <w:tr>
        <w:tc>
          <w:tcPr>
            <w:tcW w:type="dxa" w:w="900"/>
            <w:tcMar>
              <w:top w:type="dxa" w:w="40"/>
              <w:left w:type="dxa" w:w="80"/>
              <w:bottom w:type="dxa" w:w="40"/>
              <w:right w:type="dxa" w:w="80"/>
            </w:tcMar>
          </w:tcPr>
          <w:p>
            <w:r>
              <w:rPr>
                <w:b w:val="false"/>
                <w:bCs w:val="false"/>
                <w:sz w:val="18"/>
                <w:szCs w:val="18"/>
              </w:rPr>
              <w:t xml:space="preserve">8</w:t>
            </w:r>
          </w:p>
        </w:tc>
        <w:tc>
          <w:tcPr>
            <w:tcW w:type="dxa" w:w="3660"/>
            <w:tcMar>
              <w:top w:type="dxa" w:w="40"/>
              <w:left w:type="dxa" w:w="80"/>
              <w:bottom w:type="dxa" w:w="40"/>
              <w:right w:type="dxa" w:w="80"/>
            </w:tcMar>
          </w:tcPr>
          <w:p>
            <w:r>
              <w:rPr>
                <w:b w:val="false"/>
                <w:bCs w:val="false"/>
                <w:sz w:val="18"/>
                <w:szCs w:val="18"/>
              </w:rPr>
              <w:t xml:space="preserve">Tekniska verken i Linköping AB</w:t>
            </w:r>
          </w:p>
        </w:tc>
        <w:tc>
          <w:tcPr>
            <w:tcW w:type="dxa" w:w="1200"/>
            <w:tcMar>
              <w:top w:type="dxa" w:w="40"/>
              <w:left w:type="dxa" w:w="80"/>
              <w:bottom w:type="dxa" w:w="40"/>
              <w:right w:type="dxa" w:w="80"/>
            </w:tcMar>
          </w:tcPr>
          <w:p>
            <w:r>
              <w:rPr>
                <w:b w:val="false"/>
                <w:bCs w:val="false"/>
                <w:sz w:val="18"/>
                <w:szCs w:val="18"/>
              </w:rPr>
              <w:t xml:space="preserve">26</w:t>
            </w:r>
          </w:p>
        </w:tc>
        <w:tc>
          <w:tcPr>
            <w:tcW w:type="dxa" w:w="3600"/>
            <w:tcMar>
              <w:top w:type="dxa" w:w="40"/>
              <w:left w:type="dxa" w:w="80"/>
              <w:bottom w:type="dxa" w:w="40"/>
              <w:right w:type="dxa" w:w="80"/>
            </w:tcMar>
          </w:tcPr>
          <w:p>
            <w:r>
              <w:rPr>
                <w:b w:val="false"/>
                <w:bCs w:val="false"/>
                <w:sz w:val="18"/>
                <w:szCs w:val="18"/>
              </w:rPr>
              <w:t xml:space="preserve">exposed</w:t>
            </w:r>
          </w:p>
        </w:tc>
      </w:tr>
      <w:tr>
        <w:tc>
          <w:tcPr>
            <w:tcW w:type="dxa" w:w="900"/>
            <w:tcMar>
              <w:top w:type="dxa" w:w="40"/>
              <w:left w:type="dxa" w:w="80"/>
              <w:bottom w:type="dxa" w:w="40"/>
              <w:right w:type="dxa" w:w="80"/>
            </w:tcMar>
          </w:tcPr>
          <w:p>
            <w:r>
              <w:rPr>
                <w:b w:val="false"/>
                <w:bCs w:val="false"/>
                <w:sz w:val="18"/>
                <w:szCs w:val="18"/>
              </w:rPr>
              <w:t xml:space="preserve">9</w:t>
            </w:r>
          </w:p>
        </w:tc>
        <w:tc>
          <w:tcPr>
            <w:tcW w:type="dxa" w:w="3660"/>
            <w:tcMar>
              <w:top w:type="dxa" w:w="40"/>
              <w:left w:type="dxa" w:w="80"/>
              <w:bottom w:type="dxa" w:w="40"/>
              <w:right w:type="dxa" w:w="80"/>
            </w:tcMar>
          </w:tcPr>
          <w:p>
            <w:r>
              <w:rPr>
                <w:b w:val="false"/>
                <w:bCs w:val="false"/>
                <w:sz w:val="18"/>
                <w:szCs w:val="18"/>
              </w:rPr>
              <w:t xml:space="preserve">Jämtkraft AB</w:t>
            </w:r>
          </w:p>
        </w:tc>
        <w:tc>
          <w:tcPr>
            <w:tcW w:type="dxa" w:w="1200"/>
            <w:tcMar>
              <w:top w:type="dxa" w:w="40"/>
              <w:left w:type="dxa" w:w="80"/>
              <w:bottom w:type="dxa" w:w="40"/>
              <w:right w:type="dxa" w:w="80"/>
            </w:tcMar>
          </w:tcPr>
          <w:p>
            <w:r>
              <w:rPr>
                <w:b w:val="false"/>
                <w:bCs w:val="false"/>
                <w:sz w:val="18"/>
                <w:szCs w:val="18"/>
              </w:rPr>
              <w:t xml:space="preserve">24</w:t>
            </w:r>
          </w:p>
        </w:tc>
        <w:tc>
          <w:tcPr>
            <w:tcW w:type="dxa" w:w="3600"/>
            <w:tcMar>
              <w:top w:type="dxa" w:w="40"/>
              <w:left w:type="dxa" w:w="80"/>
              <w:bottom w:type="dxa" w:w="40"/>
              <w:right w:type="dxa" w:w="80"/>
            </w:tcMar>
          </w:tcPr>
          <w:p>
            <w:r>
              <w:rPr>
                <w:b w:val="false"/>
                <w:bCs w:val="false"/>
                <w:sz w:val="18"/>
                <w:szCs w:val="18"/>
              </w:rPr>
              <w:t xml:space="preserve">exposed</w:t>
            </w:r>
          </w:p>
        </w:tc>
      </w:tr>
      <w:tr>
        <w:tc>
          <w:tcPr>
            <w:tcW w:type="dxa" w:w="900"/>
            <w:tcMar>
              <w:top w:type="dxa" w:w="40"/>
              <w:left w:type="dxa" w:w="80"/>
              <w:bottom w:type="dxa" w:w="40"/>
              <w:right w:type="dxa" w:w="80"/>
            </w:tcMar>
          </w:tcPr>
          <w:p>
            <w:r>
              <w:rPr>
                <w:b w:val="false"/>
                <w:bCs w:val="false"/>
                <w:sz w:val="18"/>
                <w:szCs w:val="18"/>
              </w:rPr>
              <w:t xml:space="preserve">10</w:t>
            </w:r>
          </w:p>
        </w:tc>
        <w:tc>
          <w:tcPr>
            <w:tcW w:type="dxa" w:w="3660"/>
            <w:tcMar>
              <w:top w:type="dxa" w:w="40"/>
              <w:left w:type="dxa" w:w="80"/>
              <w:bottom w:type="dxa" w:w="40"/>
              <w:right w:type="dxa" w:w="80"/>
            </w:tcMar>
          </w:tcPr>
          <w:p>
            <w:r>
              <w:rPr>
                <w:b w:val="false"/>
                <w:bCs w:val="false"/>
                <w:sz w:val="18"/>
                <w:szCs w:val="18"/>
              </w:rPr>
              <w:t xml:space="preserve">Skellefteå Kraft AB</w:t>
            </w:r>
          </w:p>
        </w:tc>
        <w:tc>
          <w:tcPr>
            <w:tcW w:type="dxa" w:w="1200"/>
            <w:tcMar>
              <w:top w:type="dxa" w:w="40"/>
              <w:left w:type="dxa" w:w="80"/>
              <w:bottom w:type="dxa" w:w="40"/>
              <w:right w:type="dxa" w:w="80"/>
            </w:tcMar>
          </w:tcPr>
          <w:p>
            <w:r>
              <w:rPr>
                <w:b w:val="false"/>
                <w:bCs w:val="false"/>
                <w:sz w:val="18"/>
                <w:szCs w:val="18"/>
              </w:rPr>
              <w:t xml:space="preserve">2</w:t>
            </w:r>
          </w:p>
        </w:tc>
        <w:tc>
          <w:tcPr>
            <w:tcW w:type="dxa" w:w="3600"/>
            <w:tcMar>
              <w:top w:type="dxa" w:w="40"/>
              <w:left w:type="dxa" w:w="80"/>
              <w:bottom w:type="dxa" w:w="40"/>
              <w:right w:type="dxa" w:w="80"/>
            </w:tcMar>
          </w:tcPr>
          <w:p>
            <w:r>
              <w:rPr>
                <w:b w:val="false"/>
                <w:bCs w:val="false"/>
                <w:sz w:val="18"/>
                <w:szCs w:val="18"/>
              </w:rPr>
              <w:t xml:space="preserve">exposed  ← the prospect</w:t>
            </w:r>
          </w:p>
        </w:tc>
      </w:tr>
    </w:tbl>
    <w:p>
      <w:pPr>
        <w:spacing w:after="120"/>
      </w:pPr>
      <w:r>
        <w:rPr>
          <w:sz w:val="21"/>
          <w:szCs w:val="21"/>
        </w:rPr>
        <w:t xml:space="preserve">Only Cyber Defencely can draw this line — it needs the cross-client dataset no competitor holds. The firm at the bottom, Skellefteå Kraft (verified live at DMARC p=none), is also the #1-ranked prospect from Play 1.</w:t>
      </w:r>
    </w:p>
    <w:p>
      <w:pPr>
        <w:pStyle w:val="Heading2"/>
        <w:spacing w:after="100" w:before="200"/>
      </w:pPr>
      <w:r>
        <w:t xml:space="preserve">The other plays, in one line each</w:t>
      </w:r>
    </w:p>
    <w:p>
      <w:pPr>
        <w:pStyle w:val="ListParagraph"/>
        <w:numPr>
          <w:ilvl w:val="0"/>
          <w:numId w:val="1"/>
        </w:numPr>
        <w:spacing w:after="60"/>
      </w:pPr>
      <w:r>
        <w:rPr>
          <w:sz w:val="21"/>
          <w:szCs w:val="21"/>
        </w:rPr>
        <w:t xml:space="preserve">Play 2 — Ranked recos: after an assessment, order every finding by severity × effort, mapped to the obligation and the service. The client sees a plan, not a 40-page PDF.</w:t>
      </w:r>
    </w:p>
    <w:p>
      <w:pPr>
        <w:pStyle w:val="ListParagraph"/>
        <w:numPr>
          <w:ilvl w:val="0"/>
          <w:numId w:val="1"/>
        </w:numPr>
        <w:spacing w:after="60"/>
      </w:pPr>
      <w:r>
        <w:rPr>
          <w:sz w:val="21"/>
          <w:szCs w:val="21"/>
        </w:rPr>
        <w:t xml:space="preserve">Play 3 — Continuous monitoring: keep the passive engine running on clients; alert on drift (DMARC regressed, new exposed subdomain, new supplier). Turns a one-off into a subscription — and NIS2 requires continuous risk management.</w:t>
      </w:r>
    </w:p>
    <w:p>
      <w:pPr>
        <w:pStyle w:val="ListParagraph"/>
        <w:numPr>
          <w:ilvl w:val="0"/>
          <w:numId w:val="1"/>
        </w:numPr>
        <w:spacing w:after="60"/>
      </w:pPr>
      <w:r>
        <w:rPr>
          <w:sz w:val="21"/>
          <w:szCs w:val="21"/>
        </w:rPr>
        <w:t xml:space="preserve">Play 4 — Supplier risk as a service: score the client’s own suppliers (they’re liable under 21(2)(d)); each flagged vendor is a lead back into Play 1.</w:t>
      </w:r>
    </w:p>
    <w:p>
      <w:pPr>
        <w:pStyle w:val="ListParagraph"/>
        <w:numPr>
          <w:ilvl w:val="0"/>
          <w:numId w:val="1"/>
        </w:numPr>
        <w:spacing w:after="60"/>
      </w:pPr>
      <w:r>
        <w:rPr>
          <w:sz w:val="21"/>
          <w:szCs w:val="21"/>
        </w:rPr>
        <w:t xml:space="preserve">Play 6 — Board &amp; compliance pack: management is personally accountable under NIS2; the framework-mapped scorecard is a recurring reporting deliverable.</w:t>
      </w:r>
    </w:p>
    <w:p>
      <w:pPr>
        <w:pStyle w:val="ListParagraph"/>
        <w:numPr>
          <w:ilvl w:val="0"/>
          <w:numId w:val="1"/>
        </w:numPr>
        <w:spacing w:after="60"/>
      </w:pPr>
      <w:r>
        <w:rPr>
          <w:sz w:val="21"/>
          <w:szCs w:val="21"/>
        </w:rPr>
        <w:t xml:space="preserve">Play 7 — Scoping &amp; pricing: the pre-engagement score predicts findings, effort, and package, so you quote and staff faster.</w:t>
      </w:r>
    </w:p>
    <w:p>
      <w:pPr>
        <w:pBdr>
          <w:left w:val="single" w:color="0D6E8C" w:sz="12" w:space="12"/>
        </w:pBdr>
        <w:spacing w:after="120"/>
      </w:pPr>
      <w:r>
        <w:rPr>
          <w:i/>
          <w:iCs/>
          <w:color w:val="55616F"/>
          <w:sz w:val="20"/>
          <w:szCs w:val="20"/>
        </w:rPr>
        <w:t xml:space="preserve">Seven plays. One data asset that compounds. Turn your proprietary data into an actionable competitive advantage. Instance one is running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2026-08-15T09:35:10.540Z</dcterms:created>
  <dcterms:modified xsi:type="dcterms:W3CDTF">2026-08-15T09:35:10.540Z</dcterms:modified>
</cp:coreProperties>
</file>

<file path=docProps/custom.xml><?xml version="1.0" encoding="utf-8"?>
<Properties xmlns="http://schemas.openxmlformats.org/officeDocument/2006/custom-properties" xmlns:vt="http://schemas.openxmlformats.org/officeDocument/2006/docPropsVTypes"/>
</file>