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QUIET</w:t>
      </w:r>
    </w:p>
    <w:p>
      <w:pPr>
        <w:pStyle w:val="Subtitle"/>
      </w:pPr>
      <w:r>
        <w:t xml:space="preserve">July 1914 — Berlin and London</w:t>
      </w:r>
    </w:p>
    <w:p>
      <w:r>
        <w:rPr>
          <w:i/>
        </w:rPr>
        <w:t xml:space="preserve">Chapter V · Philip Carls</w:t>
      </w:r>
    </w:p>
    <w:p>
      <w:r>
        <w:rPr>
          <w:i/>
        </w:rPr>
        <w:t xml:space="preserve">Chapter V, and the hinge of the book. It supplements the archival note (`july1914_mechanism_and_archival_test.md`) with the contemporary record of the London crisis. Primary and secondary sources are named in the notes; contemporary quotations cited through the modern scholarship are flagged for verification against the original.</w:t>
      </w:r>
    </w:p>
    <w:p>
      <w:pPr>
        <w:pBdr>
          <w:bottom w:val="single" w:sz="6" w:space="1" w:color="CCCCCC"/>
        </w:pBdr>
      </w:pPr>
    </w:p>
    <w:p>
      <w:r>
        <w:t xml:space="preserve">Every dispute in Europe since 1905 had ended in a conference, and conferences took months, and months were when money got a hearing. Algeciras ran through a winter. Agadir was haggled across a summer. The Balkan settlements went to a table in London and stayed there. In each of them the crisis stayed open long enough for a finance minister to be handed a figure and to say, if he had to, that the thing could not yet be paid for — and in each of them somebody did say some version of it, and the war did not come that year.</w:t>
      </w:r>
    </w:p>
    <w:p>
      <w:r>
        <w:t xml:space="preserve">July 1914 was arranged so that no one would have the chance. Not, so far as any document shows, because anyone set out to outrun the money market — the tempo was chosen for diplomatic reasons, to localise the war and confront Russia and France with an accomplished fact before they could combine. But the tempo had a financial consequence whether or not anyone intended it, and the consequence was the whole difference between this crisis and the nine years of crises before it. The dispute was decided and executed faster than a price could form. The brake was never slow. It was simply never given anything to grip.</w:t>
      </w:r>
    </w:p>
    <w:p>
      <w:pPr>
        <w:pBdr>
          <w:bottom w:val="single" w:sz="6" w:space="1" w:color="CCCCCC"/>
        </w:pBdr>
      </w:pPr>
    </w:p>
    <w:p>
      <w:pPr>
        <w:pStyle w:val="Heading2"/>
        <w:pageBreakBefore/>
      </w:pPr>
      <w:r>
        <w:t xml:space="preserve">I.</w:t>
      </w:r>
    </w:p>
    <w:p>
      <w:r>
        <w:t xml:space="preserve">The decision circle in Berlin that July had a shape worth staring at, because of who was not in it.</w:t>
      </w:r>
    </w:p>
    <w:p>
      <w:r>
        <w:t xml:space="preserve">In every earlier crisis a finance principal had been in the room, or one telephone call away. Rouvier in 1905 was his own finance minister. Kokovtsov argued the Russian budget to the Tsar's face in 1908. Havenstein at the Reichsbank moved the German rate in the autumn of 1911 and half of Europe followed. The money question was asked because a man whose job was to answer it was present to ask it of.</w:t>
      </w:r>
    </w:p>
    <w:p>
      <w:r>
        <w:t xml:space="preserve">In July 1914 the circle was Bethmann Hollweg, the Kaiser, Jagow and Zimmermann at the Foreign Office, Moltke at the General Staff. No Reichsbank president. No Treasury secretary. Havenstein, who two summers earlier had proposed that the German banks hold more cash against exactly the kind of shock a war would bring, was not consulted about the war. The question that had been asked in 1905 and 1908 and 1911 and 1912 — </w:t>
      </w:r>
      <w:r>
        <w:rPr>
          <w:i/>
        </w:rPr>
        <w:t xml:space="preserve">can we pay for it, in time?</w:t>
      </w:r>
      <w:r>
        <w:t xml:space="preserve"> — was not asked in 1914, because the men who would have asked it had not been told there was anything to ask about.</w:t>
      </w:r>
    </w:p>
    <w:p>
      <w:pPr>
        <w:pBdr>
          <w:bottom w:val="single" w:sz="6" w:space="1" w:color="CCCCCC"/>
        </w:pBdr>
      </w:pPr>
    </w:p>
    <w:p>
      <w:pPr>
        <w:pStyle w:val="Heading2"/>
        <w:pageBreakBefore/>
      </w:pPr>
      <w:r>
        <w:t xml:space="preserve">II.</w:t>
      </w:r>
    </w:p>
    <w:p>
      <w:r>
        <w:t xml:space="preserve">What the state knew, in those weeks, the market did not — and the gap is the sharpest form of the mechanism, so it is worth being exact about what it was and was not.</w:t>
      </w:r>
    </w:p>
    <w:p>
      <w:r>
        <w:t xml:space="preserve">The assurance to Vienna, the so-called blank cheque, was given privately on the fifth and sixth of July. The ultimatum to Serbia was drafted through the middle of the month in deliberate quiet, its delivery timed for after the French president had sailed from St Petersburg so that the two allies could not concert a reply, and handed over on the evening of the twenty-third with a forty-eight-hour limit. The limit was the instrument. It existed to stop the dispute passing into a conference, as every dispute since 1905 had passed into a conference, because a conference was slow and slowness was the one thing that had always favoured the men who counted the cost.</w:t>
      </w:r>
    </w:p>
    <w:p>
      <w:r>
        <w:t xml:space="preserve">So for eighteen days the German state held a decision the market could not see. And here the honest question is whether the state used that interval — whether the Reichsbank or the Treasury took a concrete financial step in the quiet weeks, ahead of a market that was still calm. The archival answer, on the evidence so far, is that it did not. The financial-mobilisation framework Germany activated in August was not a July initiative; it was a contingency plan first drafted in 1891 and refined for twenty-three years — the Reichsbank as fiscal agent, the loan-banks ready to be created, the war-finance laws written to be enacted "in case of war." The operational steps are all dated to the crisis and not the quiet: specie payments suspended on the thirty-first of July, the imperial war-treasure of two hundred and forty million marks moved to the Reichsbank on the second of August, the bank laws passed on the fourth. Between the fifth and the twenty-third of July, nothing. The public central bank was calm because it </w:t>
      </w:r>
      <w:r>
        <w:rPr>
          <w:i/>
        </w:rPr>
        <w:t xml:space="preserve">was</w:t>
      </w:r>
      <w:r>
        <w:t xml:space="preserve"> calm.</w:t>
      </w:r>
    </w:p>
    <w:p>
      <w:r>
        <w:t xml:space="preserve">That matters, because it settles what kind of story this is. It is not a story of a state front-running the bourse. It is a story of a state that held a long-standing plan and reached for it only when the crisis broke — at which point, in the last days, it was reacting to a gold run, not staging one. The mechanism reduces to its honest core: the market could not react in time to a tempo set for other reasons. No one had to defeat the financial brake. They only had to move before it engaged.</w:t>
      </w:r>
    </w:p>
    <w:p>
      <w:pPr>
        <w:pBdr>
          <w:bottom w:val="single" w:sz="6" w:space="1" w:color="CCCCCC"/>
        </w:pBdr>
      </w:pPr>
    </w:p>
    <w:p>
      <w:pPr>
        <w:pStyle w:val="Heading2"/>
        <w:pageBreakBefore/>
      </w:pPr>
      <w:r>
        <w:t xml:space="preserve">III.</w:t>
      </w:r>
    </w:p>
    <w:p>
      <w:r>
        <w:t xml:space="preserve">Then, in the last week of July, the market got its first real look, and it did in days what it had failed to do in weeks.</w:t>
      </w:r>
    </w:p>
    <w:p>
      <w:r>
        <w:t xml:space="preserve">Its first look was the ultimatum, because the ultimatum was the first moment the decision became visible, and the ultimatum was not a step toward the war — it </w:t>
      </w:r>
      <w:r>
        <w:rPr>
          <w:i/>
        </w:rPr>
        <w:t xml:space="preserve">was</w:t>
      </w:r>
      <w:r>
        <w:t xml:space="preserve"> the war, made public. From the twenty-third the foreign-exchange and money markets began to break down; by the week of the twenty-seventh the bill market — the mechanism on which the whole of London's trade finance ran — had seized. Consols, the British government's own perpetual bond, fell nearly six per cent; German bonds about five, Austrian about six; the Bank of England raised its rate from three per cent to four on the thirtieth, to eight on the thirty-first, to ten on the first of August. On Friday the thirty-first of July the London Stock Exchange closed its doors for the first time in a hundred and seventeen years, and did not reopen until the fourth of January 1915.</w:t>
      </w:r>
    </w:p>
    <w:p>
      <w:r>
        <w:t xml:space="preserve">The scenes were the ones a run produces in any century. Banks rationed gold sovereigns and paid out five-pound notes instead; a </w:t>
      </w:r>
      <w:r>
        <w:rPr>
          <w:i/>
        </w:rPr>
        <w:t xml:space="preserve">Financial Times</w:t>
      </w:r>
      <w:r>
        <w:t xml:space="preserve"> reporter watched, outside one bank, "a queue of people, some 200 to 250 strong, resignedly awaiting their turn to obtain access to the magical counter where cash was being poured forth," and a </w:t>
      </w:r>
      <w:r>
        <w:rPr>
          <w:i/>
        </w:rPr>
        <w:t xml:space="preserve">Financial News</w:t>
      </w:r>
      <w:r>
        <w:t xml:space="preserve"> man saw a newspaper vendor arrested for shouting "Run on the Bank" beneath the Bank of England's own windows. The government answered with the instruments improvised in that first fortnight of August — a general moratorium on contracts, small-denomination currency notes signed by the Treasury's Sir John Bradbury and known ever after as Bradburys, and, from the twelfth of August, a scheme under which the Bank of England bought in nearly any pre-war bill, some hundred and thirty-three million pounds of them by early September. The City was not left to clear the wreckage on its own; it was rescued, at a scale — the later recapitalisation ran to some two hundred million pounds, nine per cent of national income — that tells you how close the failure had come.</w:t>
      </w:r>
    </w:p>
    <w:p>
      <w:r>
        <w:t xml:space="preserve">The brake, in other words, worked perfectly. It was crushingly strong. It came down about three weeks after the decision it might have restrained had already been taken and could no longer be recalled.</w:t>
      </w:r>
    </w:p>
    <w:p>
      <w:pPr>
        <w:pBdr>
          <w:bottom w:val="single" w:sz="6" w:space="1" w:color="CCCCCC"/>
        </w:pBdr>
      </w:pPr>
    </w:p>
    <w:p>
      <w:pPr>
        <w:pStyle w:val="Heading2"/>
        <w:pageBreakBefore/>
      </w:pPr>
      <w:r>
        <w:t xml:space="preserve">IV.</w:t>
      </w:r>
    </w:p>
    <w:p>
      <w:r>
        <w:t xml:space="preserve">There is one more thing the last week shows, and it is the instrument problem stated for the final time in the pre-war record.</w:t>
      </w:r>
    </w:p>
    <w:p>
      <w:r>
        <w:t xml:space="preserve">Read the cross-section of that week — consols down six, German bonds five, Austrian six — and the temptation is to rank the fall as a league table of war risk, as though the market were saying Britain had most to fear. It was saying nothing of the kind. Consols fell hardest because consols were the most saleable asset on earth: the thing everyone reached for first precisely because they could always sell it, so it was the thing sold first and hardest when everyone reached at once. The </w:t>
      </w:r>
      <w:r>
        <w:rPr>
          <w:i/>
        </w:rPr>
        <w:t xml:space="preserve">aggregate</w:t>
      </w:r>
      <w:r>
        <w:t xml:space="preserve"> fall across all the bonds is the war signal — the system repricing danger. The </w:t>
      </w:r>
      <w:r>
        <w:rPr>
          <w:i/>
        </w:rPr>
        <w:t xml:space="preserve">ordering</w:t>
      </w:r>
      <w:r>
        <w:t xml:space="preserve"> is not war risk at all; it is liquidity, the sequence in which frightened holders can find a buyer. When the bonds finally moved, their ranking was governed by which asset had a buyer, not by which country would fight. The signal and the noise sat in the same numbers, and telling them apart is the whole discipline the book has been arguing for, delivered one last time by the crisis that ended the sequence.</w:t>
      </w:r>
    </w:p>
    <w:p>
      <w:pPr>
        <w:pBdr>
          <w:bottom w:val="single" w:sz="6" w:space="1" w:color="CCCCCC"/>
        </w:pBdr>
      </w:pPr>
    </w:p>
    <w:p>
      <w:pPr>
        <w:pStyle w:val="Heading2"/>
        <w:pageBreakBefore/>
      </w:pPr>
      <w:r>
        <w:t xml:space="preserve">V.</w:t>
      </w:r>
    </w:p>
    <w:p>
      <w:r>
        <w:t xml:space="preserve">The deepest irony of July 1914 is that the state and the market made the same mistake, and it was not the mistake either is usually accused of.</w:t>
      </w:r>
    </w:p>
    <w:p>
      <w:r>
        <w:t xml:space="preserve">The market is blamed for not seeing the war coming. But the state that had spent twenty-three years </w:t>
      </w:r>
      <w:r>
        <w:rPr>
          <w:i/>
        </w:rPr>
        <w:t xml:space="preserve">preparing</w:t>
      </w:r>
      <w:r>
        <w:t xml:space="preserve"> for the war did not see it clearly either — because it had prepared for the wrong one. The whole German financial plan was built for a short, victorious campaign; the departure from gold was to be "only temporary"; the war-treasure and the note issue and the loan-banks were sized for a sprint. The state was ready, and its readiness was calibrated to a war that lasted weeks, not the one that lasted four years and broke every treasury in Europe. Readiness was not foresight. The men who had built the machine had mispriced the war exactly as the market had mispriced it — the market by pricing it at nothing until the last week, the state by pricing it as short — and the two errors, the market's and the state's, were the same error about the same thing.</w:t>
      </w:r>
    </w:p>
    <w:p>
      <w:r>
        <w:t xml:space="preserve">That is why the money question went unasked in July 1914. Not only because no finance principal was in the room, though none was. But because the answer everyone would have given — the market's silent one and the Treasury's short-war one — was wrong in the same direction, and the crisis was over before either could be corrected by the only teacher that ever corrects them, which is the event itself.</w:t>
      </w:r>
    </w:p>
    <w:p>
      <w:r>
        <w:t xml:space="preserve">In every crisis from 1905 to 1913 the money question was asked, and a finance principal answered it, and the answer bought Europe another year. In July 1914 the question was not asked until the market forced it, in the last week of the month, when the decision it might have altered was already three weeks old and moving under its own weight toward the guns.</w:t>
      </w:r>
    </w:p>
    <w:p>
      <w:pPr>
        <w:pBdr>
          <w:bottom w:val="single" w:sz="6" w:space="1" w:color="CCCCCC"/>
        </w:pBdr>
      </w:pPr>
    </w:p>
    <w:p>
      <w:pPr>
        <w:pBdr>
          <w:bottom w:val="single" w:sz="6" w:space="1" w:color="CCCCCC"/>
        </w:pBdr>
      </w:pPr>
    </w:p>
    <w:p>
      <w:pPr>
        <w:pStyle w:val="Heading2"/>
        <w:pageBreakBefore/>
      </w:pPr>
      <w:r>
        <w:t xml:space="preserve">NOTES</w:t>
      </w:r>
    </w:p>
    <w:p>
      <w:r>
        <w:rPr>
          <w:i/>
        </w:rPr>
        <w:t xml:space="preserve">What the prose sets aside — the discipline, the flags, and the sources.</w:t>
      </w:r>
    </w:p>
    <w:p>
      <w:r>
        <w:rPr>
          <w:b/>
        </w:rPr>
        <w:t xml:space="preserve">On intent versus mechanism.</w:t>
      </w:r>
      <w:r>
        <w:t xml:space="preserve"> No documented source gives a </w:t>
      </w:r>
      <w:r>
        <w:rPr>
          <w:i/>
        </w:rPr>
        <w:t xml:space="preserve">financial</w:t>
      </w:r>
      <w:r>
        <w:t xml:space="preserve"> motive for the July tempo; every minuted reason is diplomatic (localise the war, present a fait accompli, exploit the post-Sarajevo window). This chapter therefore claims a financial </w:t>
      </w:r>
      <w:r>
        <w:rPr>
          <w:i/>
        </w:rPr>
        <w:t xml:space="preserve">effect</w:t>
      </w:r>
      <w:r>
        <w:t xml:space="preserve">, never a financial </w:t>
      </w:r>
      <w:r>
        <w:rPr>
          <w:i/>
        </w:rPr>
        <w:t xml:space="preserve">intent</w:t>
      </w:r>
      <w:r>
        <w:t xml:space="preserve">: the speed and secrecy, chosen for other ends, denied a restraining financial reaction the time to form. Where the project's code uses the word "brake," it means the market's capacity to react in time, not a claim that anyone timed the crisis to defeat it.</w:t>
      </w:r>
    </w:p>
    <w:p>
      <w:r>
        <w:rPr>
          <w:b/>
        </w:rPr>
        <w:t xml:space="preserve">On the quiet-weeks archival test.</w:t>
      </w:r>
      <w:r>
        <w:t xml:space="preserve"> The claim that the Reichsbank and Treasury took no concrete step between 5 and 23 July rests on the modern synthesis of the German records (notably </w:t>
      </w:r>
      <w:r>
        <w:rPr>
          <w:i/>
        </w:rPr>
        <w:t xml:space="preserve">1914-1918-Online</w:t>
      </w:r>
      <w:r>
        <w:t xml:space="preserve">, which cites Zilch and gives Bundesarchiv R 2 signatures for the August steps), not on a line-by-line reading of Zilch's German monograph or the Reichsbank's 1914 </w:t>
      </w:r>
      <w:r>
        <w:rPr>
          <w:i/>
        </w:rPr>
        <w:t xml:space="preserve">Verwaltungsbericht</w:t>
      </w:r>
      <w:r>
        <w:t xml:space="preserve">. The verdict is therefore provisional and leans </w:t>
      </w:r>
      <w:r>
        <w:rPr>
          <w:i/>
        </w:rPr>
        <w:t xml:space="preserve">against</w:t>
      </w:r>
      <w:r>
        <w:t xml:space="preserve"> a smoking gun; a positive find in those two sources could refine it, and they are named so the next reader can settle it.</w:t>
      </w:r>
    </w:p>
    <w:p>
      <w:r>
        <w:rPr>
          <w:b/>
        </w:rPr>
        <w:t xml:space="preserve">On the London figures and quotations.</w:t>
      </w:r>
      <w:r>
        <w:t xml:space="preserve"> The Bank of England rate steps (3→4→8→10 per cent, 30 July–1 August), the Stock Exchange closure (31 July 1914, reopening 4 January 1915), the moratorium, the Bradbury notes, and the bill-purchase schemes are from the standard scholarship of the crisis (Richard Roberts, </w:t>
      </w:r>
      <w:r>
        <w:rPr>
          <w:i/>
        </w:rPr>
        <w:t xml:space="preserve">Saving the City: The Great Financial Crisis of 1914</w:t>
      </w:r>
      <w:r>
        <w:t xml:space="preserve">, OUP 2013) and the contemporary record. The two eyewitness quotations — the </w:t>
      </w:r>
      <w:r>
        <w:rPr>
          <w:i/>
        </w:rPr>
        <w:t xml:space="preserve">Financial Times</w:t>
      </w:r>
      <w:r>
        <w:t xml:space="preserve"> gold-queue and the </w:t>
      </w:r>
      <w:r>
        <w:rPr>
          <w:i/>
        </w:rPr>
        <w:t xml:space="preserve">Financial News</w:t>
      </w:r>
      <w:r>
        <w:t xml:space="preserve"> "Run on the Bank" vendor — are quoted here through that secondary account and should be verified against the original 1914 newspaper pages before publication. Sources differ on whether the Exchange shut on 31 July or 1 August; the 31 July date follows Roberts.</w:t>
      </w:r>
    </w:p>
    <w:p>
      <w:r>
        <w:rPr>
          <w:b/>
        </w:rPr>
        <w:t xml:space="preserve">On the bond percentages.</w:t>
      </w:r>
      <w:r>
        <w:t xml:space="preserve"> The last-week falls (consols ~6%, German ~5%, Austrian ~6%) are from the project's own series; the point of the chapter is the </w:t>
      </w:r>
      <w:r>
        <w:rPr>
          <w:i/>
        </w:rPr>
        <w:t xml:space="preserve">ordering</w:t>
      </w:r>
      <w:r>
        <w:t xml:space="preserve"> (marketability, not war risk), which does not depend on the exact figures.</w:t>
      </w:r>
    </w:p>
    <w:p>
      <w:r>
        <w:rPr>
          <w:b/>
        </w:rPr>
        <w:t xml:space="preserve">On the "underwriting" reading.</w:t>
      </w:r>
      <w:r>
        <w:t xml:space="preserve"> That the 5 July assurance to Vienna functioned as a financial as well as a strategic guarantee is the single most load-bearing interpretation in the book, and it is an interpretation, not a documented financial commitment. It is offered as a reading of Austria-Hungary's demonstrated inability to fund a general war alone, and is not asserted here as an established transaction.</w:t>
      </w:r>
    </w:p>
    <w:p>
      <w:r>
        <w:rPr>
          <w:b/>
        </w:rPr>
        <w:t xml:space="preserve">Sources.</w:t>
      </w:r>
      <w:r>
        <w:t xml:space="preserve"> J. M. Keynes, "War and the Financial System, August 1914," </w:t>
      </w:r>
      <w:r>
        <w:rPr>
          <w:i/>
        </w:rPr>
        <w:t xml:space="preserve">The Economic Journal</w:t>
      </w:r>
      <w:r>
        <w:t xml:space="preserve"> 24:95 (Sept 1914), 460–486; Richard Roberts, </w:t>
      </w:r>
      <w:r>
        <w:rPr>
          <w:i/>
        </w:rPr>
        <w:t xml:space="preserve">Saving the City: The Great Financial Crisis of 1914</w:t>
      </w:r>
      <w:r>
        <w:t xml:space="preserve"> (2013); J. Popper, "Germany's Financial Mobilization," </w:t>
      </w:r>
      <w:r>
        <w:rPr>
          <w:i/>
        </w:rPr>
        <w:t xml:space="preserve">Quarterly Journal of Economics</w:t>
      </w:r>
      <w:r>
        <w:t xml:space="preserve"> 29:4 (1915); </w:t>
      </w:r>
      <w:r>
        <w:rPr>
          <w:i/>
        </w:rPr>
        <w:t xml:space="preserve">1914-1918-Online</w:t>
      </w:r>
      <w:r>
        <w:t xml:space="preserve">, "War Finance (Germany)"; R. Zilch, </w:t>
      </w:r>
      <w:r>
        <w:rPr>
          <w:i/>
        </w:rPr>
        <w:t xml:space="preserve">Die Reichsbank und die finanzielle Kriegsvorbereitung von 1907 bis 1914</w:t>
      </w:r>
      <w:r>
        <w:t xml:space="preserve"> (1987); Reichsbank </w:t>
      </w:r>
      <w:r>
        <w:rPr>
          <w:i/>
        </w:rPr>
        <w:t xml:space="preserve">Verwaltungsbericht</w:t>
      </w:r>
      <w:r>
        <w:t xml:space="preserve"> for 1914 (Berlin, 1915).</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pPr>
      <w:spacing w:after="140" w:line="288" w:lineRule="auto"/>
    </w:pPr>
    <w:rPr>
      <w:rFonts w:ascii="Georgia" w:hAnsi="Georgia"/>
      <w:sz w:val="22"/>
    </w:rPr>
  </w:style>
  <w:style w:type="paragraph" w:styleId="Title">
    <w:name w:val="Title"/>
    <w:basedOn w:val="Normal"/>
    <w:next w:val="Normal"/>
    <w:qFormat/>
    <w:pPr>
      <w:keepNext/>
      <w:spacing w:before="0" w:after="120"/>
      <w:outlineLvl w:val="0"/>
    </w:pPr>
    <w:rPr>
      <w:rFonts w:ascii="Arial" w:hAnsi="Arial"/>
      <w:b/>
      <w:color w:val="1A2A44"/>
      <w:sz w:val="64"/>
    </w:rPr>
  </w:style>
  <w:style w:type="paragraph" w:styleId="Subtitle">
    <w:name w:val="Subtitle"/>
    <w:basedOn w:val="Normal"/>
    <w:next w:val="Normal"/>
    <w:qFormat/>
    <w:pPr>
      <w:keepNext/>
      <w:spacing w:before="240" w:after="120"/>
      <w:outlineLvl w:val="0"/>
    </w:pPr>
    <w:rPr>
      <w:rFonts w:ascii="Arial" w:hAnsi="Arial"/>
      <w:b/>
      <w:color w:val="555555"/>
      <w:sz w:val="30"/>
    </w:rPr>
  </w:style>
  <w:style w:type="paragraph" w:styleId="Heading1">
    <w:name w:val="heading 1"/>
    <w:basedOn w:val="Normal"/>
    <w:next w:val="Normal"/>
    <w:qFormat/>
    <w:pPr>
      <w:keepNext/>
      <w:spacing w:before="240" w:after="120"/>
      <w:outlineLvl w:val="0"/>
    </w:pPr>
    <w:rPr>
      <w:rFonts w:ascii="Arial" w:hAnsi="Arial"/>
      <w:b/>
      <w:color w:val="1A2A44"/>
      <w:sz w:val="40"/>
    </w:rPr>
  </w:style>
  <w:style w:type="paragraph" w:styleId="Heading2">
    <w:name w:val="heading 2"/>
    <w:basedOn w:val="Normal"/>
    <w:next w:val="Normal"/>
    <w:qFormat/>
    <w:pPr>
      <w:keepNext/>
      <w:spacing w:before="240" w:after="120"/>
      <w:outlineLvl w:val="1"/>
    </w:pPr>
    <w:rPr>
      <w:rFonts w:ascii="Arial" w:hAnsi="Arial"/>
      <w:b/>
      <w:color w:val="24405F"/>
      <w:sz w:val="30"/>
    </w:rPr>
  </w:style>
  <w:style w:type="paragraph" w:styleId="Heading3">
    <w:name w:val="heading 3"/>
    <w:basedOn w:val="Normal"/>
    <w:next w:val="Normal"/>
    <w:qFormat/>
    <w:pPr>
      <w:keepNext/>
      <w:spacing w:before="240" w:after="120"/>
      <w:outlineLvl w:val="2"/>
    </w:pPr>
    <w:rPr>
      <w:rFonts w:ascii="Arial" w:hAnsi="Arial"/>
      <w:b/>
      <w:color w:val="333333"/>
      <w:sz w:val="25"/>
    </w:rPr>
  </w:style>
  <w:style w:type="paragraph" w:styleId="Heading4">
    <w:name w:val="heading 4"/>
    <w:basedOn w:val="Normal"/>
    <w:next w:val="Normal"/>
    <w:qFormat/>
    <w:pPr>
      <w:keepNext/>
      <w:spacing w:before="240" w:after="120"/>
      <w:outlineLvl w:val="3"/>
    </w:pPr>
    <w:rPr>
      <w:rFonts w:ascii="Arial" w:hAnsi="Arial"/>
      <w:b/>
      <w:color w:val="444444"/>
      <w:sz w:val="23"/>
    </w:rPr>
  </w:style>
  <w:style w:type="paragraph" w:styleId="Quote">
    <w:name w:val="Quote"/>
    <w:basedOn w:val="Normal"/>
    <w:pPr>
      <w:pBdr>
        <w:left w:val="single" w:sz="18" w:space="8" w:color="8A3B2E"/>
      </w:pBdr>
      <w:ind w:left="360"/>
    </w:pPr>
    <w:rPr>
      <w:i/>
      <w:color w:val="444444"/>
    </w:rPr>
  </w:style>
  <w:style w:type="paragraph" w:styleId="ListParagraph">
    <w:name w:val="List Paragraph"/>
    <w:basedOn w:val="Normal"/>
    <w:pPr>
      <w:spacing w:after="60"/>
    </w:pPr>
  </w:style>
  <w:style w:type="paragraph" w:styleId="Code">
    <w:name w:val="Code"/>
    <w:basedOn w:val="Normal"/>
    <w:pPr>
      <w:shd w:val="clear" w:fill="F3F1EA"/>
      <w:spacing w:after="0" w:line="240" w:lineRule="auto"/>
    </w:pPr>
    <w:rPr>
      <w:rFonts w:ascii="Consolas" w:hAnsi="Consolas"/>
      <w:sz w:val="18"/>
    </w:rPr>
  </w:style>
  <w:style w:type="paragraph" w:styleId="TableCell">
    <w:name w:val="Table Cell"/>
    <w:basedOn w:val="Normal"/>
    <w:pPr>
      <w:spacing w:after="40"/>
    </w:pPr>
    <w:rPr>
      <w:rFonts w:ascii="Arial" w:hAnsi="Arial"/>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