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pacing w:val="26"/>
          <w:sz w:val="30"/>
          <w:szCs w:val="30"/>
        </w:rPr>
        <w:t xml:space="preserve">MEMORANDUM</w:t>
      </w:r>
    </w:p>
    <w:p>
      <w:pPr>
        <w:pBdr>
          <w:bottom w:val="single" w:color="1A1A1A" w:sz="12" w:space="2"/>
        </w:pBdr>
        <w:spacing w:after="190"/>
      </w:pPr>
    </w:p>
    <w:p>
      <w:pPr>
        <w:spacing w:after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DATE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September 2026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Walmart fluid-milk pricing and racial composition — summary of findings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BASIS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3,768 Walmart store-ZIPs across 43 states, joined to Census ACS B03002 and B19013</w:t>
      </w:r>
    </w:p>
    <w:p>
      <w:pPr>
        <w:spacing w:after="140"/>
      </w:pPr>
    </w:p>
    <w:p>
      <w:pPr>
        <w:pBdr>
          <w:left w:val="single" w:color="1B4A6B" w:sz="18" w:space="10"/>
        </w:pBdr>
        <w:spacing w:after="180" w:line="276"/>
        <w:ind w:left="17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Bottom line.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A racial gradient in Walmart milk prices exists in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low-income rural areas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and only there: roughly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19¢/gallon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, of which about half survives comparing within the same state. In urban areas the gradient runs the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other way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, which is why a pooled national estimate reads as zero.</w:t>
      </w:r>
    </w:p>
    <w:p>
      <w:pPr>
        <w:pBdr>
          <w:left w:val="single" w:color="1B4A6B" w:sz="18" w:space="10"/>
        </w:pBdr>
        <w:spacing w:after="180" w:line="276"/>
        <w:ind w:left="170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The obvious objection — that this is the rural South rather than Walmart — can be tested, because Aldi prices the same ZIP codes.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In 295 shared low-income rural ZIPs, Walmart charges 14¢ more in the Blacker ones and Aldi charges 11¢ less: a retailer difference of 24¢/gallon.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That is the strongest evidence in this analysis, and it is still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not statistically significant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once errors are clustered. The finding should be described as a pattern worth investigating, not as a demonstrated practice.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1. Where the finding is, and where it is not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Comparing ZIP codes at least 30% Black against ZIP codes under 10% Black, matched on median household income and on urban/rural status:</w:t>
      </w:r>
    </w:p>
    <w:tbl>
      <w:tblPr>
        <w:tblW w:type="dxa" w:w="9360"/>
        <w:tblBorders>
          <w:top w:val="single" w:color="9AA7B2" w:sz="6"/>
          <w:left w:val="none" w:color="FFFFFF" w:sz="0"/>
          <w:bottom w:val="single" w:color="9AA7B2" w:sz="6"/>
          <w:right w:val="none" w:color="FFFFFF" w:sz="0"/>
          <w:insideH w:val="single" w:color="D6DDE3" w:sz="2"/>
          <w:insideV w:val="none" w:color="FFFFFF" w:sz="0"/>
        </w:tblBorders>
      </w:tblPr>
      <w:tblGrid>
        <w:gridCol w:w="2621"/>
        <w:gridCol w:w="1310"/>
        <w:gridCol w:w="1310"/>
        <w:gridCol w:w="1404"/>
        <w:gridCol w:w="1404"/>
        <w:gridCol w:w="1311"/>
      </w:tblGrid>
      <w:tr>
        <w:trPr>
          <w:tblHeader/>
        </w:trPr>
        <w:tc>
          <w:tcPr>
            <w:tcW w:type="dxa" w:w="2621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Income quartile × setting</w:t>
            </w:r>
          </w:p>
        </w:tc>
        <w:tc>
          <w:tcPr>
            <w:tcW w:type="dxa" w:w="1310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 high</w:t>
            </w:r>
          </w:p>
        </w:tc>
        <w:tc>
          <w:tcPr>
            <w:tcW w:type="dxa" w:w="1310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 low</w:t>
            </w:r>
          </w:p>
        </w:tc>
        <w:tc>
          <w:tcPr>
            <w:tcW w:type="dxa" w:w="1404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High-Black</w:t>
            </w:r>
          </w:p>
        </w:tc>
        <w:tc>
          <w:tcPr>
            <w:tcW w:type="dxa" w:w="1404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Low-Black</w:t>
            </w:r>
          </w:p>
        </w:tc>
        <w:tc>
          <w:tcPr>
            <w:tcW w:type="dxa" w:w="1311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Gap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Q1 (lowest), rural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165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383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$3.988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$3.799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+$0.189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Q1, urban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84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94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$3.298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$3.348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−$0.050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Q2, rural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503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$3.680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$3.608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+$0.071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Q2, urban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121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$3.287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$3.337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−$0.050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Q3, rural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407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$3.616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$3.521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+$0.095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Q3, urban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242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$3.093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$3.351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−$0.258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Q4 (highest), rural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298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$3.036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$3.417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−$0.381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Q4, urban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1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429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$2.941</w:t>
            </w:r>
          </w:p>
        </w:tc>
        <w:tc>
          <w:tcPr>
            <w:tcW w:type="dxa" w:w="140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$3.338</w:t>
            </w:r>
          </w:p>
        </w:tc>
        <w:tc>
          <w:tcPr>
            <w:tcW w:type="dxa" w:w="131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−$0.397</w:t>
            </w:r>
          </w:p>
        </w:tc>
      </w:tr>
    </w:tbl>
    <w:p>
      <w:pPr>
        <w:spacing w:after="110"/>
      </w:pP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Every lower-income rural cell is positive; every urban cell is negative.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Pooled together they cancel — a national regression of price on percent Black, controlling for income and urbanicity, returns −0.00024 (t −0.39), which is indistinguishable from zero. That pooled figure is arithmetically correct and substantively misleading: it averages two opposite patterns.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This also explains why tests conducted inside metropolitan areas find nothing. Those tests are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urban by construction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and cannot reach the segment where the effect appears.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2. Inside the segment: the result, and its limits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Bottom-income-quartile rural stores, n = 691 across 37 states and 440 counties. Regression of shelf price on percent Black, controlling for income and log population:</w:t>
      </w:r>
    </w:p>
    <w:tbl>
      <w:tblPr>
        <w:tblW w:type="dxa" w:w="9360"/>
        <w:tblBorders>
          <w:top w:val="single" w:color="9AA7B2" w:sz="6"/>
          <w:left w:val="none" w:color="FFFFFF" w:sz="0"/>
          <w:bottom w:val="single" w:color="9AA7B2" w:sz="6"/>
          <w:right w:val="none" w:color="FFFFFF" w:sz="0"/>
          <w:insideH w:val="single" w:color="D6DDE3" w:sz="2"/>
          <w:insideV w:val="none" w:color="FFFFFF" w:sz="0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Geographic control</w:t>
            </w:r>
          </w:p>
        </w:tc>
        <w:tc>
          <w:tcPr>
            <w:tcW w:type="dxa" w:w="2059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Coef $/gal per point</w:t>
            </w:r>
          </w:p>
        </w:tc>
        <w:tc>
          <w:tcPr>
            <w:tcW w:type="dxa" w:w="2059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 (conventional)</w:t>
            </w:r>
          </w:p>
        </w:tc>
        <w:tc>
          <w:tcPr>
            <w:tcW w:type="dxa" w:w="2060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 (clustered on state)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None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+0.00334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+2.77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+1.00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State fixed effects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−0.00159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−1.34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−0.78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ZIP3 fixed effects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−0.00525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−2.80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−2.16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County fixed effects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F6E4E"/>
                <w:sz w:val="18"/>
                <w:szCs w:val="18"/>
              </w:rPr>
              <w:t xml:space="preserve">+0.00450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F6E4E"/>
                <w:sz w:val="18"/>
                <w:szCs w:val="18"/>
              </w:rPr>
              <w:t xml:space="preserve">+2.01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+1.42</w:t>
            </w:r>
          </w:p>
        </w:tc>
      </w:tr>
    </w:tbl>
    <w:p>
      <w:pPr>
        <w:spacing w:after="110"/>
      </w:pP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The uncontrolled result is positive and conventionally significant.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Two things qualify it, and both belong in any account of this work: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It does not survive clustering.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Standard errors clustered on state — the appropriate treatment when stores within a state share pricing infrastructure and market conditions — reduce the statistic to t = +1.00.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The sign depends on how “same area” is defined.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Under county controls the coefficient is positive and significant; under the finer ZIP3 control it is 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negative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and significant. A result that changes sign with the geographic unit is not a stable estimate, and that instability is as much the finding as the point estimate.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3. Why the controls disagree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The two comparison groups are largely in different places:</w:t>
      </w:r>
    </w:p>
    <w:tbl>
      <w:tblPr>
        <w:tblW w:type="dxa" w:w="9360"/>
        <w:tblBorders>
          <w:top w:val="single" w:color="9AA7B2" w:sz="6"/>
          <w:left w:val="none" w:color="FFFFFF" w:sz="0"/>
          <w:bottom w:val="single" w:color="9AA7B2" w:sz="6"/>
          <w:right w:val="none" w:color="FFFFFF" w:sz="0"/>
          <w:insideH w:val="single" w:color="D6DDE3" w:sz="2"/>
          <w:insideV w:val="none" w:color="FFFFFF" w:sz="0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</w:p>
        </w:tc>
        <w:tc>
          <w:tcPr>
            <w:tcW w:type="dxa" w:w="2808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States represented</w:t>
            </w:r>
          </w:p>
        </w:tc>
        <w:tc>
          <w:tcPr>
            <w:tcW w:type="dxa" w:w="2808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Counties represented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Stores in ZIPs ≥30% Black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128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Stores in ZIPs ≤10% Black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267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Containing both groups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29 of 440</w:t>
            </w:r>
          </w:p>
        </w:tc>
      </w:tr>
    </w:tbl>
    <w:p>
      <w:pPr>
        <w:spacing w:after="110"/>
      </w:pP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High-Black rural stores sit in Mississippi (26), Georgia (25), Louisiana (23), South Carolina (20), Alabama (18), North Carolina (17) and Arkansas (13) — the Deep South. Low-Black rural stores sit in Missouri (39), Texas (33), Kentucky (30), Tennessee (27), Oklahoma (25) and West Virginia (21) — the Ozarks, Appalachia and the plains.</w:t>
      </w: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Only 29 of 440 counties contain both groups.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Any county-level control is therefore estimated from a thin slice of the data, and a ZIP3 control thinner still. This is the central measurement problem: the comparison that would isolate race from place barely exists in the data.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4. The same-state comparison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Restricting to states where both groups appear, inside the low-income rural segment:</w:t>
      </w:r>
    </w:p>
    <w:tbl>
      <w:tblPr>
        <w:tblW w:type="dxa" w:w="9360"/>
        <w:tblBorders>
          <w:top w:val="single" w:color="9AA7B2" w:sz="6"/>
          <w:left w:val="none" w:color="FFFFFF" w:sz="0"/>
          <w:bottom w:val="single" w:color="9AA7B2" w:sz="6"/>
          <w:right w:val="none" w:color="FFFFFF" w:sz="0"/>
          <w:insideH w:val="single" w:color="D6DDE3" w:sz="2"/>
          <w:insideV w:val="none" w:color="FFFFFF" w:sz="0"/>
        </w:tblBorders>
      </w:tblPr>
      <w:tblGrid>
        <w:gridCol w:w="2434"/>
        <w:gridCol w:w="1217"/>
        <w:gridCol w:w="1217"/>
        <w:gridCol w:w="1498"/>
        <w:gridCol w:w="1498"/>
        <w:gridCol w:w="1496"/>
      </w:tblGrid>
      <w:tr>
        <w:trPr>
          <w:tblHeader/>
        </w:trPr>
        <w:tc>
          <w:tcPr>
            <w:tcW w:type="dxa" w:w="2434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State</w:t>
            </w:r>
          </w:p>
        </w:tc>
        <w:tc>
          <w:tcPr>
            <w:tcW w:type="dxa" w:w="1217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 high</w:t>
            </w:r>
          </w:p>
        </w:tc>
        <w:tc>
          <w:tcPr>
            <w:tcW w:type="dxa" w:w="1217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 low</w:t>
            </w:r>
          </w:p>
        </w:tc>
        <w:tc>
          <w:tcPr>
            <w:tcW w:type="dxa" w:w="1498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High-Black</w:t>
            </w:r>
          </w:p>
        </w:tc>
        <w:tc>
          <w:tcPr>
            <w:tcW w:type="dxa" w:w="1498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Low-Black</w:t>
            </w:r>
          </w:p>
        </w:tc>
        <w:tc>
          <w:tcPr>
            <w:tcW w:type="dxa" w:w="1496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Gap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Mississippi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$4.474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$3.967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+$0.507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Florida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$3.984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$3.606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+$0.378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Tennessee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$4.312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$3.994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+$0.318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Arkansas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$4.398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$4.192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+$0.206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Texas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$3.934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$3.802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+$0.132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Georgia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$3.792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$3.727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+$0.066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Illinois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$3.373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$3.354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+$0.019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Alabama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$3.974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$4.226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−$0.251</w:t>
            </w:r>
          </w:p>
        </w:tc>
      </w:tr>
      <w:t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North Carolina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21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$3.305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$3.768</w:t>
            </w:r>
          </w:p>
        </w:tc>
        <w:tc>
          <w:tcPr>
            <w:tcW w:type="dxa" w:w="14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−$0.463</w:t>
            </w:r>
          </w:p>
        </w:tc>
      </w:tr>
    </w:tbl>
    <w:p>
      <w:pPr>
        <w:spacing w:after="110"/>
      </w:pP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Weighted within-state gap +$0.085/gallon, positive in 7 of 9 states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— against +$0.189 pooled across states. So roughly half the raw gap is between-state composition and half survives inside states. Several cells rest on three to five stores on one side, so individual state figures carry little weight on their own.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5. Aldi as a control: the same ZIP codes, a different chain</w:t>
      </w:r>
    </w:p>
    <w:p>
      <w:pPr>
        <w:pBdr>
          <w:left w:val="single" w:color="1B4A6B" w:sz="18" w:space="10"/>
        </w:pBdr>
        <w:spacing w:after="180" w:line="276"/>
        <w:ind w:left="170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This is the test that addresses the objection in §3. If the gradient is a property of the rural South — its freight, its competition, its demand — then a second chain operating in the same places should show it too. Aldi does not. It shows the reverse.</w:t>
      </w: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1,333 ZIP codes carry both an Aldi and a Walmart price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, across twelve states, joined to a single demographic source so that the covariates are identical by construction. Restricting to the same low-income rural segment — 138 ZIPs at least 30% Black against 75 ZIPs under 10% Black:</w:t>
      </w:r>
    </w:p>
    <w:tbl>
      <w:tblPr>
        <w:tblW w:type="dxa" w:w="9360"/>
        <w:tblBorders>
          <w:top w:val="single" w:color="9AA7B2" w:sz="6"/>
          <w:left w:val="none" w:color="FFFFFF" w:sz="0"/>
          <w:bottom w:val="single" w:color="9AA7B2" w:sz="6"/>
          <w:right w:val="none" w:color="FFFFFF" w:sz="0"/>
          <w:insideH w:val="single" w:color="D6DDE3" w:sz="2"/>
          <w:insideV w:val="none" w:color="FFFFFF" w:sz="0"/>
        </w:tblBorders>
      </w:tblPr>
      <w:tblGrid>
        <w:gridCol w:w="2808"/>
        <w:gridCol w:w="2153"/>
        <w:gridCol w:w="2153"/>
        <w:gridCol w:w="2246"/>
      </w:tblGrid>
      <w:tr>
        <w:trPr>
          <w:tblHeader/>
        </w:trPr>
        <w:tc>
          <w:tcPr>
            <w:tcW w:type="dxa" w:w="2808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Retailer</w:t>
            </w:r>
          </w:p>
        </w:tc>
        <w:tc>
          <w:tcPr>
            <w:tcW w:type="dxa" w:w="2153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High-Black ZIPs</w:t>
            </w:r>
          </w:p>
        </w:tc>
        <w:tc>
          <w:tcPr>
            <w:tcW w:type="dxa" w:w="2153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Low-Black ZIPs</w:t>
            </w:r>
          </w:p>
        </w:tc>
        <w:tc>
          <w:tcPr>
            <w:tcW w:type="dxa" w:w="2246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Gap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Walmart</w:t>
            </w:r>
          </w:p>
        </w:tc>
        <w:tc>
          <w:tcPr>
            <w:tcW w:type="dxa" w:w="2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$4.094</w:t>
            </w:r>
          </w:p>
        </w:tc>
        <w:tc>
          <w:tcPr>
            <w:tcW w:type="dxa" w:w="2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$3.954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C2F22"/>
                <w:sz w:val="18"/>
                <w:szCs w:val="18"/>
              </w:rPr>
              <w:t xml:space="preserve">+$0.139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Aldi</w:t>
            </w:r>
          </w:p>
        </w:tc>
        <w:tc>
          <w:tcPr>
            <w:tcW w:type="dxa" w:w="2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$3.127</w:t>
            </w:r>
          </w:p>
        </w:tc>
        <w:tc>
          <w:tcPr>
            <w:tcW w:type="dxa" w:w="2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$3.232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F6E4E"/>
                <w:sz w:val="18"/>
                <w:szCs w:val="18"/>
              </w:rPr>
              <w:t xml:space="preserve">−$0.105</w:t>
            </w:r>
          </w:p>
        </w:tc>
      </w:tr>
      <w:tr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Difference</w:t>
            </w:r>
          </w:p>
        </w:tc>
        <w:tc>
          <w:tcPr>
            <w:tcW w:type="dxa" w:w="2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</w:p>
        </w:tc>
        <w:tc>
          <w:tcPr>
            <w:tcW w:type="dxa" w:w="21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+$0.244</w:t>
            </w:r>
          </w:p>
        </w:tc>
      </w:tr>
    </w:tbl>
    <w:p>
      <w:pPr>
        <w:spacing w:after="110"/>
      </w:pP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Equivalently: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Walmart's premium over Aldi is 97¢ in the high-Black ZIPs and 72¢ in the low-Black ones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— a 24¢ wider gap where more Black residents live.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Regressed on percent Black over the same ZIPs, controlling for income and log population:</w:t>
      </w:r>
    </w:p>
    <w:tbl>
      <w:tblPr>
        <w:tblW w:type="dxa" w:w="9360"/>
        <w:tblBorders>
          <w:top w:val="single" w:color="9AA7B2" w:sz="6"/>
          <w:left w:val="none" w:color="FFFFFF" w:sz="0"/>
          <w:bottom w:val="single" w:color="9AA7B2" w:sz="6"/>
          <w:right w:val="none" w:color="FFFFFF" w:sz="0"/>
          <w:insideH w:val="single" w:color="D6DDE3" w:sz="2"/>
          <w:insideV w:val="none" w:color="FFFFFF" w:sz="0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</w:p>
        </w:tc>
        <w:tc>
          <w:tcPr>
            <w:tcW w:type="dxa" w:w="2059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Coef $/gal per point</w:t>
            </w:r>
          </w:p>
        </w:tc>
        <w:tc>
          <w:tcPr>
            <w:tcW w:type="dxa" w:w="2059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 (conventional)</w:t>
            </w:r>
          </w:p>
        </w:tc>
        <w:tc>
          <w:tcPr>
            <w:tcW w:type="dxa" w:w="2060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 (clustered on state)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Walmart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+0.00175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+1.09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+0.72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Aldi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−0.00318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−1.43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−0.78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Walmart − Aldi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+0.00493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+1.88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+0.96</w:t>
            </w:r>
          </w:p>
        </w:tc>
      </w:tr>
    </w:tbl>
    <w:p>
      <w:pPr>
        <w:spacing w:after="110"/>
      </w:pP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Differencing the two retailers at the same ZIP removes everything common to the location — freight, local demand, competition, income, urbanicity, and the federal Class I differential.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What remains is the retailer.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This is the cleanest identification the available data supports, and it is why this comparison carries more weight than any single-chain regression above.</w:t>
      </w: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It is nonetheless not significant.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With twelve state clusters the statistic is t = +0.96. The conventional t of +1.88 ignores clustering and should never be quoted on its own.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Aldi on its own terms is flat to slightly negative throughout — pooled across all 1,333 ZIPs the coefficient runs −0.0008 to −0.0018 and never approaches significance — and in the low-income rural segment under county controls it is significantly 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negative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(−0.00781, t −3.14 clustered). Wherever Aldi moves, it moves the other way.</w:t>
      </w:r>
    </w:p>
    <w:p>
      <w:pPr>
        <w:spacing w:after="140" w:line="276"/>
      </w:pPr>
      <w:r>
        <w:rPr>
          <w:rFonts w:ascii="Cambria" w:cs="Cambria" w:eastAsia="Cambria" w:hAnsi="Cambria"/>
          <w:color w:val="555555"/>
          <w:sz w:val="20"/>
          <w:szCs w:val="20"/>
        </w:rPr>
        <w:t xml:space="preserve">Assumption: absent any racial gradient the Walmart-minus-Aldi spread would be constant across ZIP codes. The two chains price different private labels at different levels — Aldi is a discounter and the average spread is 72¢–97¢ — so the </w:t>
      </w:r>
      <w:r>
        <w:rPr>
          <w:rFonts w:ascii="Cambria" w:cs="Cambria" w:eastAsia="Cambria" w:hAnsi="Cambria"/>
          <w:i/>
          <w:iCs/>
          <w:color w:val="555555"/>
          <w:sz w:val="20"/>
          <w:szCs w:val="20"/>
        </w:rPr>
        <w:t xml:space="preserve">level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of that spread carries no meaning. Only its variation with racial composition does.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6. Can the two chains price differently? Both can.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A natural explanation for §5 would be that the chains are built differently — that Aldi prices in broad zones and so cannot vary by neighbourhood, while Walmart prices store by store and can.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That explanation was tested and it is wrong.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The two chains disperse their milk prices almost identically:</w:t>
      </w:r>
    </w:p>
    <w:tbl>
      <w:tblPr>
        <w:tblW w:type="dxa" w:w="9360"/>
        <w:tblBorders>
          <w:top w:val="single" w:color="9AA7B2" w:sz="6"/>
          <w:left w:val="none" w:color="FFFFFF" w:sz="0"/>
          <w:bottom w:val="single" w:color="9AA7B2" w:sz="6"/>
          <w:right w:val="none" w:color="FFFFFF" w:sz="0"/>
          <w:insideH w:val="single" w:color="D6DDE3" w:sz="2"/>
          <w:insideV w:val="none" w:color="FFFFFF" w:sz="0"/>
        </w:tblBorders>
      </w:tblPr>
      <w:tblGrid>
        <w:gridCol w:w="3182"/>
        <w:gridCol w:w="2059"/>
        <w:gridCol w:w="2059"/>
        <w:gridCol w:w="2060"/>
      </w:tblGrid>
      <w:tr>
        <w:trPr>
          <w:tblHeader/>
        </w:trPr>
        <w:tc>
          <w:tcPr>
            <w:tcW w:type="dxa" w:w="3182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</w:p>
        </w:tc>
        <w:tc>
          <w:tcPr>
            <w:tcW w:type="dxa" w:w="2059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Distinct prices nationally</w:t>
            </w:r>
          </w:p>
        </w:tc>
        <w:tc>
          <w:tcPr>
            <w:tcW w:type="dxa" w:w="2059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Median per state</w:t>
            </w:r>
          </w:p>
        </w:tc>
        <w:tc>
          <w:tcPr>
            <w:tcW w:type="dxa" w:w="2060"/>
            <w:shd w:fill="EDF1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Standard deviation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Aldi — 1,333 ZIPs, 12 states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63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$0.597</w:t>
            </w:r>
          </w:p>
        </w:tc>
      </w:tr>
      <w:t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Walmart — 3,768 ZIPs, 43 states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177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2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$0.588</w:t>
            </w:r>
          </w:p>
        </w:tc>
      </w:tr>
    </w:tbl>
    <w:p>
      <w:pPr>
        <w:spacing w:after="110"/>
      </w:pP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Aldi varies its milk price across stores just as freely as Walmart does — a median of 21 distinct prices per state at each chain, and near-identical dispersion. Aldi's storefront does expose a “zone” identifier, but it is a service and delivery zone rather than a price zone: 32% of zones carry more than one price, one zone spans $2.56, and two ZIP codes sharing a single zone were observed at $2.85 and $5.85 because they resolve to different stores.</w:t>
      </w:r>
    </w:p>
    <w:p>
      <w:pPr>
        <w:pBdr>
          <w:left w:val="single" w:color="1B4A6B" w:sz="18" w:space="10"/>
        </w:pBdr>
        <w:spacing w:after="180" w:line="276"/>
        <w:ind w:left="17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This strengthens §5 rather than weakening it.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If Aldi were structurally incapable of pricing on neighbourhood, its flat-to-negative gradient would be uninformative — a constraint, not a choice. Because Aldi has the same capacity to vary that Walmart has and still moves the other way, the competing architectural explanation for the difference is removed.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What remains distinctive about Walmart is not 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whether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it can vary prices but 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which product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it varies. Across all 92 South Carolina stores, Great Value whole milk took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25 distinct prices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while sour cream, mozzarella, Greek yogurt, eggs and canned green beans each took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exactly one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statewide. Nationally whole milk takes 17 distinct prices, 1% milk 17 and chocolate 19, while every other basket item takes one or two. Two stores 2,800 miles apart — Sacramento and Ashburn, Virginia — price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8 of 13 items identically to the cent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and differ on milk. That is a comparison across products within one chain, and it forecloses the defence that all staples are priced locally: bread and eggs are not.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7. A further finding that is solid, and is not a disparity</w:t>
      </w: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The affordability gap is real, and it is income rather than price.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Milk cost as a share of household income rises steeply with the Black share of a ZIP: +0.0029 percentage points per point, t +11.9, with state fixed effects. But over the same stores the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price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coefficient is negative (−0.0037, t −7.1) while median income falls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$359 per percentage point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(t −12.9). The disparity is entirely in the denominator. That is a substantial finding about a necessity, but bread or rent would produce the same coefficient — it is a statement about income inequality, not about pricing conduct.</w:t>
      </w:r>
    </w:p>
    <w:p>
      <w:pPr>
        <w:spacing w:after="140" w:line="276"/>
      </w:pPr>
      <w:r>
        <w:rPr>
          <w:rFonts w:ascii="Cambria" w:cs="Cambria" w:eastAsia="Cambria" w:hAnsi="Cambria"/>
          <w:color w:val="1A1A1A"/>
          <w:sz w:val="21"/>
          <w:szCs w:val="21"/>
        </w:rPr>
        <w:t xml:space="preserve">For scale: Pennsylvania and New Jersey set statutory minimum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retail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milk prices, and stores there average </w:t>
      </w: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$4.75/gallon against $3.47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elsewhere — a $1.28 gap, roughly five times the retailer difference measured in §5. State regulation moves milk prices far more than anything else observed in this data.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8. What can and cannot be said</w:t>
      </w: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Supported: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in low-income rural areas, Walmart milk prices average 19¢/gallon higher in ZIP codes at least 30% Black than in comparable ZIPs under 10% Black, matched on income and urbanicity; roughly half survives within-state comparison and it is positive in 7 of 9 states; in 295 ZIP codes where both chains operate, Walmart's gap is +14¢ while Aldi's is −11¢, and not because Aldi lacks the capacity to vary; and fluid milk is the one product Walmart prices store by store while pricing adjacent dairy nationally.</w:t>
      </w:r>
    </w:p>
    <w:p>
      <w:pPr>
        <w:spacing w:after="140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Not supported: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that the pattern holds generally — in urban areas it reverses; that it is statistically robust — neither the single-chain gradient nor the retailer difference survives clustering, and the single-chain estimate reverses sign under a finer geographic control; or that it reflects any pricing practice, policy or intent, none of which has been observed. Nor does any argument here rest on pricing architecture: both chains vary milk prices store by store to a near-identical degree. All measures are ZIP-level and ecological; none describes an individual transaction.</w:t>
      </w:r>
    </w:p>
    <w:p>
      <w:pPr>
        <w:pBdr>
          <w:left w:val="single" w:color="1B4A6B" w:sz="18" w:space="10"/>
        </w:pBdr>
        <w:spacing w:after="180" w:line="276"/>
        <w:ind w:left="170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The honest characterisation is neither “robust” nor “dead.”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There is a consistent pattern in a defined segment, and a control retailer in the same locations moving the other way. There is also no result here that survives conventional significance testing once clustering is applied. Both halves must travel together.</w:t>
      </w:r>
    </w:p>
    <w:p>
      <w:pPr>
        <w:pStyle w:val="Heading2"/>
        <w:spacing w:after="150" w:before="340"/>
      </w:pPr>
      <w:r>
        <w:rPr>
          <w:rFonts w:ascii="Calibri" w:cs="Calibri" w:eastAsia="Calibri" w:hAnsi="Calibri"/>
          <w:b/>
          <w:bCs/>
          <w:color w:val="1B4A6B"/>
          <w:sz w:val="26"/>
          <w:szCs w:val="26"/>
        </w:rPr>
        <w:t xml:space="preserve">9. Limitations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Twelve state clusters.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This is the binding constraint on every significance test in §5, and the reason a 24¢ difference-in-differences returns t = +0.96.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Data provenance.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Both price series come from a single collection pipeline that has not been independently reproduced. Commercial scraping tools return Walmart's national online price rather than store shelf prices — re-verified in September 2026, with 1 of 8 stores matching a known shelf price and Pennsylvania returning a figure below its own statutory minimum. A sourcing failure would affect both retailers, though not necessarily equally.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Thin overlap.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In the key Walmart segment only 29 of 440 counties contain both comparison groups, which is what makes the county and ZIP3 controls unstable.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Uneven Aldi coverage.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Texas (336 ZIPs) and California (189) dominate the Aldi panel overall, though the low-income rural cell is better balanced — NC 38, AR 38, LA 36, GA 35, MS 32, TN 30, AL 28, TX 27.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Product comparability.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Walmart Great Value whole gallon against Aldi's own-label whole gallon: comparable in category, not identical goods.</w:t>
      </w:r>
    </w:p>
    <w:p>
      <w:pPr>
        <w:pStyle w:val="ListParagraph"/>
        <w:numPr>
          <w:ilvl w:val="0"/>
          <w:numId w:val="2"/>
        </w:numPr>
        <w:spacing w:after="95" w:line="276"/>
      </w:pPr>
      <w:r>
        <w:rPr>
          <w:rFonts w:ascii="Cambria" w:cs="Cambria" w:eastAsia="Cambria" w:hAnsi="Cambria"/>
          <w:b/>
          <w:bCs/>
          <w:color w:val="1A1A1A"/>
          <w:sz w:val="21"/>
          <w:szCs w:val="21"/>
        </w:rPr>
        <w:t xml:space="preserve">Single snapshot.</w:t>
      </w:r>
      <w:r>
        <w:rPr>
          <w:rFonts w:ascii="Cambria" w:cs="Cambria" w:eastAsia="Cambria" w:hAnsi="Cambria"/>
          <w:color w:val="1A1A1A"/>
          <w:sz w:val="21"/>
          <w:szCs w:val="21"/>
        </w:rPr>
        <w:t xml:space="preserve"> Prices are one collection, not a time series, so promotional timing cannot be separated from base price.</w:t>
      </w:r>
    </w:p>
    <w:p>
      <w:pPr>
        <w:spacing w:after="140" w:line="276"/>
      </w:pPr>
      <w:r>
        <w:rPr>
          <w:rFonts w:ascii="Cambria" w:cs="Cambria" w:eastAsia="Cambria" w:hAnsi="Cambria"/>
          <w:color w:val="555555"/>
          <w:sz w:val="20"/>
          <w:szCs w:val="20"/>
        </w:rPr>
        <w:t xml:space="preserve">Method: ordinary least squares on store- and ZIP-level shelf prices with median household income and log population controls; fixed effects at state, ZIP3, county or Aldi pricing zone as stated; standard errors clustered on state, or on zone where noted. Stratified comparisons use income quartiles interacted with Census urban/rural classification. Eight states are excluded from the Walmart panel: Pennsylvania and New Jersey (statutory minimum retail milk prices), Maine, North Dakota, Virginia and Montana (classified pricing reaching retail), and Alaska and Hawaii (non-contiguous).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2026-09-16T07:25:42.697Z</dcterms:created>
  <dcterms:modified xsi:type="dcterms:W3CDTF">2026-09-16T07:25:42.706Z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