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CHAPTER SUPPLEMENTS — AGADIR &amp; THE BALKANS</w:t>
      </w:r>
    </w:p>
    <w:p>
      <w:pPr>
        <w:pStyle w:val="Subtitle"/>
      </w:pPr>
      <w:r>
        <w:t xml:space="preserve">New quotes and research, paste-ready, with citations and verify status</w:t>
      </w:r>
    </w:p>
    <w:p>
      <w:r>
        <w:rPr>
          <w:i/>
        </w:rPr>
        <w:t xml:space="preserve">Additions for "The Squeeze" (Ch III) and "Spent" (Ch IV). Each block is sourced and marked for where it goes. Discipline unchanged: attribute everything, flag unverified figures `[VERIFY]`, keep documented effect separate from inferred intent.</w:t>
      </w:r>
    </w:p>
    <w:p>
      <w:pPr>
        <w:pBdr>
          <w:bottom w:val="single" w:sz="6" w:space="1" w:color="CCCCCC"/>
        </w:pBdr>
      </w:pPr>
    </w:p>
    <w:p>
      <w:pPr>
        <w:pStyle w:val="Heading2"/>
        <w:pageBreakBefore/>
      </w:pPr>
      <w:r>
        <w:t xml:space="preserve">A. AGADIR — "The Squeeze" (Chapter III)</w:t>
      </w:r>
    </w:p>
    <w:p>
      <w:pPr>
        <w:pStyle w:val="Heading3"/>
      </w:pPr>
      <w:r>
        <w:t xml:space="preserve">A1. The man who carried the alarm — Arthur von Gwinner (research; honest inference)</w:t>
      </w:r>
    </w:p>
    <w:p>
      <w:r>
        <w:t xml:space="preserve">The essay says the Deutsche Bank pressed the Foreign Office for a calming statement. The sourced record names the </w:t>
      </w:r>
      <w:r>
        <w:rPr>
          <w:b/>
        </w:rPr>
        <w:t xml:space="preserve">institution, not a person</w:t>
      </w:r>
      <w:r>
        <w:t xml:space="preserve">: Lansburgh writes only "the Deutsche Bank," and </w:t>
      </w:r>
      <w:r>
        <w:rPr>
          <w:i/>
        </w:rPr>
        <w:t xml:space="preserve">Le Temps</w:t>
      </w:r>
      <w:r>
        <w:t xml:space="preserve"> (30 Sep 1911) refers to </w:t>
      </w:r>
      <w:r>
        <w:rPr>
          <w:i/>
        </w:rPr>
        <w:t xml:space="preserve">"les directeurs des grandes banques de Berlin"</w:t>
      </w:r>
      <w:r>
        <w:t xml:space="preserve"> receiving the government's assurances. The likely individual is </w:t>
      </w:r>
      <w:r>
        <w:rPr>
          <w:b/>
        </w:rPr>
        <w:t xml:space="preserve">Arthur von Gwinner</w:t>
      </w:r>
      <w:r>
        <w:t xml:space="preserve">, Spokesman of Deutsche Bank's Management Board 1910–1919, responsible for its international operations and known inside the bank as "the bank's diplomat" (Deutsche Bank Historical Association).</w:t>
      </w:r>
    </w:p>
    <w:p>
      <w:pPr>
        <w:pStyle w:val="ListParagraph"/>
        <w:ind w:left="360" w:hanging="360"/>
      </w:pPr>
      <w:r>
        <w:t xml:space="preserve">•  </w:t>
      </w:r>
      <w:r>
        <w:rPr>
          <w:b/>
        </w:rPr>
        <w:t xml:space="preserve">Paste-safe form:</w:t>
      </w:r>
      <w:r>
        <w:t xml:space="preserve"> </w:t>
      </w:r>
      <w:r>
        <w:rPr>
          <w:i/>
        </w:rPr>
        <w:t xml:space="preserve">"the Deutsche Bank — whose board spokesman and 'diplomat' was Arthur von Gwinner — pressed Kiderlen's Foreign Office for reassurance."</w:t>
      </w:r>
    </w:p>
    <w:p>
      <w:pPr>
        <w:pStyle w:val="ListParagraph"/>
        <w:ind w:left="360" w:hanging="360"/>
      </w:pPr>
      <w:r>
        <w:t xml:space="preserve">•  </w:t>
      </w:r>
      <w:r>
        <w:rPr>
          <w:b/>
        </w:rPr>
        <w:t xml:space="preserve">Do not</w:t>
      </w:r>
      <w:r>
        <w:t xml:space="preserve"> write "Gwinner went to Kiderlen" as fact. This is role-based inference, not a documented act; no source places him personally at the Wilhelmstrasse that week. Pinning the person would need a Deutsche Bank corporate history or the Auswärtiges-Amt / </w:t>
      </w:r>
      <w:r>
        <w:rPr>
          <w:i/>
        </w:rPr>
        <w:t xml:space="preserve">Große Politik</w:t>
      </w:r>
      <w:r>
        <w:t xml:space="preserve"> files for late September 1911.</w:t>
      </w:r>
    </w:p>
    <w:p>
      <w:pPr>
        <w:pStyle w:val="Heading3"/>
      </w:pPr>
      <w:r>
        <w:t xml:space="preserve">A2. Lansburgh in the original German (for the notes / scholarly grounding)</w:t>
      </w:r>
    </w:p>
    <w:p>
      <w:r>
        <w:t xml:space="preserve">The chapter renders Lansburgh in English. The originals, for a footnote or a bilingual pull-quote:</w:t>
      </w:r>
    </w:p>
    <w:p>
      <w:pPr>
        <w:pStyle w:val="Quote"/>
      </w:pPr>
      <w:r>
        <w:rPr>
          <w:i/>
        </w:rPr>
        <w:t xml:space="preserve">"…angesichts der ablehnenden Haltung des französischen Geldmarktes, des besten Abnehmers für deutsche Bankakzepte."</w:t>
      </w:r>
      <w:r>
        <w:t xml:space="preserve"> — the refusing attitude of the French money market, the best buyer of German bank acceptances.</w:t>
      </w:r>
    </w:p>
    <w:p>
      <w:pPr>
        <w:pStyle w:val="Quote"/>
      </w:pPr>
      <w:r>
        <w:rPr>
          <w:i/>
        </w:rPr>
        <w:t xml:space="preserve">"In den kritischen Tagen des September und Oktober wären nicht einmal deutsche Staatsanleihen ohne grossen Verlust zu realisieren gewesen."</w:t>
      </w:r>
      <w:r>
        <w:t xml:space="preserve"> — in the critical days of September and October, not even German state loans could have been sold without heavy loss.</w:t>
      </w:r>
    </w:p>
    <w:p>
      <w:pPr>
        <w:pStyle w:val="Quote"/>
      </w:pPr>
      <w:r>
        <w:rPr>
          <w:i/>
        </w:rPr>
        <w:t xml:space="preserve">"…wie nahe wir einer Kreditkrisis gewesen sind."</w:t>
      </w:r>
      <w:r>
        <w:t xml:space="preserve"> — how near we came to a credit crisis.</w:t>
      </w:r>
    </w:p>
    <w:p>
      <w:r>
        <w:t xml:space="preserve">Source: A. Lansburgh, </w:t>
      </w:r>
      <w:r>
        <w:rPr>
          <w:i/>
        </w:rPr>
        <w:t xml:space="preserve">"Die Zahlungsbereitschaft der Berliner Banken im Herbst 1911,"</w:t>
      </w:r>
      <w:r>
        <w:t xml:space="preserve"> </w:t>
      </w:r>
      <w:r>
        <w:rPr>
          <w:i/>
        </w:rPr>
        <w:t xml:space="preserve">Die Bank</w:t>
      </w:r>
      <w:r>
        <w:t xml:space="preserve"> Bd 2, pp. 1160–1168. Zenodo 5115892 (CC-BY-4.0). </w:t>
      </w:r>
      <w:r>
        <w:rPr>
          <w:rFonts w:ascii="Consolas" w:hAnsi="Consolas"/>
          <w:sz w:val="18"/>
        </w:rPr>
        <w:t xml:space="preserve">[VERIFY vs page image]</w:t>
      </w:r>
    </w:p>
    <w:p>
      <w:pPr>
        <w:pStyle w:val="Heading3"/>
      </w:pPr>
      <w:r>
        <w:t xml:space="preserve">A3. Corroboration for the term-structure note — the 25 March 1912 break</w:t>
      </w:r>
    </w:p>
    <w:p>
      <w:r>
        <w:t xml:space="preserve">The chapter's NOTES withdraw the spot-vs-to-arrive gap as a crisis signature and keep it as a quarter-end premium. Lansburgh, from inside the Berlin bill market, documents the single private-discount quotation breaking for the first time at a quarter-end:</w:t>
      </w:r>
    </w:p>
    <w:p>
      <w:pPr>
        <w:pStyle w:val="Quote"/>
      </w:pPr>
      <w:r>
        <w:rPr>
          <w:i/>
        </w:rPr>
        <w:t xml:space="preserve">"…am 25. März trat zum ersten Male der Fall ein dass eine Einigung überhaupt nicht zu erzielen war. Für Schnittwechsel war keine Nachfrage unter 5% da, während lange Wechsel zu 4¾% unterzubringen waren."</w:t>
      </w:r>
      <w:r>
        <w:t xml:space="preserve"> — on 25 March, for the first time, no single rate could be agreed: short bills found no demand under 5%, long bills placed at 4¾%.</w:t>
      </w:r>
    </w:p>
    <w:p>
      <w:r>
        <w:t xml:space="preserve">He dates the phenomenon "for the past year, especially at the settlement dates" — i.e. from about spring 1911, the Agadir-era strain. This is the contemporary basis for the chapter's own statistical caution. Source: A. Lansburgh, </w:t>
      </w:r>
      <w:r>
        <w:rPr>
          <w:i/>
        </w:rPr>
        <w:t xml:space="preserve">"Der Berliner Privatdiskont,"</w:t>
      </w:r>
      <w:r>
        <w:t xml:space="preserve"> </w:t>
      </w:r>
      <w:r>
        <w:rPr>
          <w:i/>
        </w:rPr>
        <w:t xml:space="preserve">Die Bank</w:t>
      </w:r>
      <w:r>
        <w:t xml:space="preserve"> (April 1912), Bd 1, pp. 322–328. </w:t>
      </w:r>
      <w:r>
        <w:rPr>
          <w:rFonts w:ascii="Consolas" w:hAnsi="Consolas"/>
          <w:sz w:val="18"/>
        </w:rPr>
        <w:t xml:space="preserve">[VERIFY]</w:t>
      </w:r>
    </w:p>
    <w:p>
      <w:pPr>
        <w:pStyle w:val="Heading3"/>
      </w:pPr>
      <w:r>
        <w:t xml:space="preserve">A4. Discipline check — what NOT to add</w:t>
      </w:r>
    </w:p>
    <w:p>
      <w:r>
        <w:t xml:space="preserve">A web sweep for contemporary coverage of the September 1911 Berlin panic returns mainly two claims: that the Berlin bourse fell 30 per cent in a single day, and that the Reichsbank lost a fifth of its gold reserves in a month. Both circulate without primary citation, and the chapter's NOTES already mark them </w:t>
      </w:r>
      <w:r>
        <w:rPr>
          <w:b/>
        </w:rPr>
        <w:t xml:space="preserve">unused</w:t>
      </w:r>
      <w:r>
        <w:t xml:space="preserve"> for exactly that reason. Keep them out until a primary source is found. (The academic literature on the 1911 Reichsbank — e.g. the NBER chapter on the German central bank and the rules of the game — is the place to look for verified figures; the popular sources are not.)</w:t>
      </w:r>
    </w:p>
    <w:p>
      <w:pPr>
        <w:pBdr>
          <w:bottom w:val="single" w:sz="6" w:space="1" w:color="CCCCCC"/>
        </w:pBdr>
      </w:pPr>
    </w:p>
    <w:p>
      <w:pPr>
        <w:pStyle w:val="Heading2"/>
        <w:pageBreakBefore/>
      </w:pPr>
      <w:r>
        <w:t xml:space="preserve">B. THE BALKANS — "Spent" (Chapter IV)</w:t>
      </w:r>
    </w:p>
    <w:p>
      <w:pPr>
        <w:pStyle w:val="Heading3"/>
      </w:pPr>
      <w:r>
        <w:t xml:space="preserve">B1. The December 1912 War Council — the "material grounds," now sourced</w:t>
      </w:r>
    </w:p>
    <w:p>
      <w:r>
        <w:t xml:space="preserve">The chapter's §VI says postponement was urged on material grounds. The record supports a precise version. At the German Imperial War Council of </w:t>
      </w:r>
      <w:r>
        <w:rPr>
          <w:b/>
        </w:rPr>
        <w:t xml:space="preserve">8 December 1912</w:t>
      </w:r>
      <w:r>
        <w:t xml:space="preserve"> (present: Wilhelm II, Tirpitz, Admiral von Müller, Moltke, Admiral von Heeringen), Moltke argued for war "the sooner the better," while </w:t>
      </w:r>
      <w:r>
        <w:rPr>
          <w:b/>
        </w:rPr>
        <w:t xml:space="preserve">Tirpitz asked for "a postponement of the great fight for one and a half years,"</w:t>
      </w:r>
      <w:r>
        <w:t xml:space="preserve"> because the navy was not ready for a war that included Britain. His stated prerequisites were </w:t>
      </w:r>
      <w:r>
        <w:rPr>
          <w:b/>
        </w:rPr>
        <w:t xml:space="preserve">the widening of the Kiel Canal and the U-boat base at Heligoland.</w:t>
      </w:r>
      <w:r>
        <w:t xml:space="preserve"> John Röhl notes the coincidence that the canal's widening was due for completion in the summer of 1914 — while adding that the report shows no agreement on a war in 1914.</w:t>
      </w:r>
    </w:p>
    <w:p>
      <w:pPr>
        <w:pStyle w:val="ListParagraph"/>
        <w:ind w:left="360" w:hanging="360"/>
      </w:pPr>
      <w:r>
        <w:t xml:space="preserve">•  </w:t>
      </w:r>
      <w:r>
        <w:rPr>
          <w:b/>
        </w:rPr>
        <w:t xml:space="preserve">Use it as:</w:t>
      </w:r>
      <w:r>
        <w:t xml:space="preserve"> evidence that the men nearest the decision kept finding the machine unready. </w:t>
      </w:r>
      <w:r>
        <w:rPr>
          <w:b/>
        </w:rPr>
        <w:t xml:space="preserve">Caveat, in the notes:</w:t>
      </w:r>
      <w:r>
        <w:t xml:space="preserve"> this is the </w:t>
      </w:r>
      <w:r>
        <w:rPr>
          <w:i/>
        </w:rPr>
        <w:t xml:space="preserve">German</w:t>
      </w:r>
      <w:r>
        <w:t xml:space="preserve"> council, its significance is disputed in the scholarship, and the "material" at issue was naval and engineering, not financial. Do not read it as a financial postponement.</w:t>
      </w:r>
    </w:p>
    <w:p>
      <w:pPr>
        <w:pStyle w:val="ListParagraph"/>
        <w:ind w:left="360" w:hanging="360"/>
      </w:pPr>
      <w:r>
        <w:t xml:space="preserve">•  </w:t>
      </w:r>
      <w:r>
        <w:t xml:space="preserve">Sources: J. C. G. Röhl, </w:t>
      </w:r>
      <w:r>
        <w:rPr>
          <w:i/>
        </w:rPr>
        <w:t xml:space="preserve">"War Premeditated? The 'War Council' of 8 December 1912"</w:t>
      </w:r>
      <w:r>
        <w:t xml:space="preserve">; German History in Documents and Images (GHDI), "The 'War Council' (December 1912)."</w:t>
      </w:r>
    </w:p>
    <w:p>
      <w:pPr>
        <w:pStyle w:val="Heading3"/>
      </w:pPr>
      <w:r>
        <w:t xml:space="preserve">B2. Conrad reinstated, December 1912</w:t>
      </w:r>
    </w:p>
    <w:p>
      <w:r>
        <w:t xml:space="preserve">Conrad von Hötzendorf was </w:t>
      </w:r>
      <w:r>
        <w:rPr>
          <w:b/>
        </w:rPr>
        <w:t xml:space="preserve">reinstated as Chief of the General Staff in December 1912</w:t>
      </w:r>
      <w:r>
        <w:t xml:space="preserve">, as a major war seemed imminent; he continued to advocate preventive war against Serbia and Italy, and his staff drew up separate war plans — Case I (Italy), Case R (Russia), Case B (Serbia), and R+B. A concrete anchor for the chapter's "Conrad's vigil." Source: </w:t>
      </w:r>
      <w:r>
        <w:rPr>
          <w:i/>
        </w:rPr>
        <w:t xml:space="preserve">1914-1918-Online</w:t>
      </w:r>
      <w:r>
        <w:t xml:space="preserve">, "Pre-war Military Planning (Austria-Hungary)"; Britannica, "Austria — Conflict with Serbia."</w:t>
      </w:r>
    </w:p>
    <w:p>
      <w:pPr>
        <w:pStyle w:val="Heading3"/>
      </w:pPr>
      <w:r>
        <w:t xml:space="preserve">B3. A token of the scale — the Mobilization Cross 1912/13</w:t>
      </w:r>
    </w:p>
    <w:p>
      <w:r>
        <w:t xml:space="preserve">Austria-Hungary struck a decoration, the </w:t>
      </w:r>
      <w:r>
        <w:rPr>
          <w:b/>
        </w:rPr>
        <w:t xml:space="preserve">Mobilization Cross 1912/13</w:t>
      </w:r>
      <w:r>
        <w:t xml:space="preserve"> (</w:t>
      </w:r>
      <w:r>
        <w:rPr>
          <w:i/>
        </w:rPr>
        <w:t xml:space="preserve">Mobilisierungskreuz</w:t>
      </w:r>
      <w:r>
        <w:t xml:space="preserve">), awarded to members of the armed forces called up in the 1912 mobilization who served at least four weeks. A tangible marker that the standing mobilization of the Balkan winter was large and long enough to warrant its own medal — useful colour for the "vigil that cost a war and fought nobody." Source: "Mobilization Cross 1912/13" (standard reference). </w:t>
      </w:r>
      <w:r>
        <w:rPr>
          <w:rFonts w:ascii="Consolas" w:hAnsi="Consolas"/>
          <w:sz w:val="18"/>
        </w:rPr>
        <w:t xml:space="preserve">[VERIFY exact terms]</w:t>
      </w:r>
    </w:p>
    <w:p>
      <w:pPr>
        <w:pStyle w:val="Heading3"/>
      </w:pPr>
      <w:r>
        <w:t xml:space="preserve">B4. The cost stays open — and that is the honest state</w:t>
      </w:r>
    </w:p>
    <w:p>
      <w:r>
        <w:t xml:space="preserve">A targeted search returns </w:t>
      </w:r>
      <w:r>
        <w:rPr>
          <w:b/>
        </w:rPr>
        <w:t xml:space="preserve">no clean figure in crowns</w:t>
      </w:r>
      <w:r>
        <w:t xml:space="preserve"> for the 1912–13 mobilization's cost. The chapter's open question stands: the amount, its funding, and whether Biliński recorded the strain in writing lie in Austro-Hungarian budget and delegation records not yet worked through. Do not supply a number the sources do not give. This remains the single most important archival source to pull for the chapter.</w:t>
      </w:r>
    </w:p>
    <w:p>
      <w:pPr>
        <w:pBdr>
          <w:bottom w:val="single" w:sz="6" w:space="1" w:color="CCCCCC"/>
        </w:pBdr>
      </w:pPr>
    </w:p>
    <w:p>
      <w:r>
        <w:rPr>
          <w:i/>
        </w:rPr>
        <w:t xml:space="preserve">Style note for the manuscript: these are drop-in blocks, not prose. Weave the fact and the citation into the existing sentences; keep the German originals in the notes; keep every unverified figure flagged until the page image or primary source is checked.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40" w:line="288" w:lineRule="auto"/>
    </w:pPr>
    <w:rPr>
      <w:rFonts w:ascii="Georgia" w:hAnsi="Georgia"/>
      <w:sz w:val="22"/>
    </w:rPr>
  </w:style>
  <w:style w:type="paragraph" w:styleId="Title">
    <w:name w:val="Title"/>
    <w:basedOn w:val="Normal"/>
    <w:next w:val="Normal"/>
    <w:qFormat/>
    <w:pPr>
      <w:keepNext/>
      <w:spacing w:before="0" w:after="120"/>
      <w:outlineLvl w:val="0"/>
    </w:pPr>
    <w:rPr>
      <w:rFonts w:ascii="Arial" w:hAnsi="Arial"/>
      <w:b/>
      <w:color w:val="1A2A44"/>
      <w:sz w:val="64"/>
    </w:rPr>
  </w:style>
  <w:style w:type="paragraph" w:styleId="Subtitle">
    <w:name w:val="Subtitle"/>
    <w:basedOn w:val="Normal"/>
    <w:next w:val="Normal"/>
    <w:qFormat/>
    <w:pPr>
      <w:keepNext/>
      <w:spacing w:before="240" w:after="120"/>
      <w:outlineLvl w:val="0"/>
    </w:pPr>
    <w:rPr>
      <w:rFonts w:ascii="Arial" w:hAnsi="Arial"/>
      <w:b/>
      <w:color w:val="555555"/>
      <w:sz w:val="30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rFonts w:ascii="Arial" w:hAnsi="Arial"/>
      <w:b/>
      <w:color w:val="1A2A44"/>
      <w:sz w:val="40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rFonts w:ascii="Arial" w:hAnsi="Arial"/>
      <w:b/>
      <w:color w:val="24405F"/>
      <w:sz w:val="30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rFonts w:ascii="Arial" w:hAnsi="Arial"/>
      <w:b/>
      <w:color w:val="333333"/>
      <w:sz w:val="25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rFonts w:ascii="Arial" w:hAnsi="Arial"/>
      <w:b/>
      <w:color w:val="444444"/>
      <w:sz w:val="23"/>
    </w:rPr>
  </w:style>
  <w:style w:type="paragraph" w:styleId="Quote">
    <w:name w:val="Quote"/>
    <w:basedOn w:val="Normal"/>
    <w:pPr>
      <w:pBdr>
        <w:left w:val="single" w:sz="18" w:space="8" w:color="8A3B2E"/>
      </w:pBdr>
      <w:ind w:left="360"/>
    </w:pPr>
    <w:rPr>
      <w:i/>
      <w:color w:val="444444"/>
    </w:rPr>
  </w:style>
  <w:style w:type="paragraph" w:styleId="ListParagraph">
    <w:name w:val="List Paragraph"/>
    <w:basedOn w:val="Normal"/>
    <w:pPr>
      <w:spacing w:after="60"/>
    </w:pPr>
  </w:style>
  <w:style w:type="paragraph" w:styleId="Code">
    <w:name w:val="Code"/>
    <w:basedOn w:val="Normal"/>
    <w:pPr>
      <w:shd w:val="clear" w:fill="F3F1EA"/>
      <w:spacing w:after="0" w:line="240" w:lineRule="auto"/>
    </w:pPr>
    <w:rPr>
      <w:rFonts w:ascii="Consolas" w:hAnsi="Consolas"/>
      <w:sz w:val="18"/>
    </w:rPr>
  </w:style>
  <w:style w:type="paragraph" w:styleId="TableCell">
    <w:name w:val="Table Cell"/>
    <w:basedOn w:val="Normal"/>
    <w:pPr>
      <w:spacing w:after="40"/>
    </w:pPr>
    <w:rPr>
      <w:rFonts w:ascii="Arial" w:hAnsi="Arial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