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WHAT THE MARKET KNOWS ABOUT WAR</w:t>
      </w:r>
    </w:p>
    <w:p>
      <w:pPr>
        <w:pStyle w:val="Subtitle"/>
      </w:pPr>
      <w:r>
        <w:t xml:space="preserve">A synthesis, 1905–2026</w:t>
      </w:r>
    </w:p>
    <w:p>
      <w:r>
        <w:rPr>
          <w:i/>
        </w:rPr>
        <w:t xml:space="preserve">Philip Carls</w:t>
      </w:r>
    </w:p>
    <w:p>
      <w:r>
        <w:rPr>
          <w:i/>
        </w:rPr>
        <w:t xml:space="preserve">The closing essay. It states the single finding the whole book has been circling, shows it in the pre-1914 story and again in the century after, and turns it toward how to read the wars now in front of us. Sources are the chapters that precede it and the modern-arc write-ups (`docs/modern_</w:t>
      </w:r>
      <w:r>
        <w:t xml:space="preserve">.md</w:t>
      </w:r>
      <w:r>
        <w:rPr>
          <w:rFonts w:ascii="Consolas" w:hAnsi="Consolas"/>
          <w:sz w:val="18"/>
        </w:rPr>
        <w:t xml:space="preserve">, </w:t>
      </w:r>
      <w:r>
        <w:t xml:space="preserve">docs/synthesis_and_lessons.md`); charted series are reproducible, documentary figures carry [VERIFY].*</w:t>
      </w:r>
    </w:p>
    <w:p>
      <w:pPr>
        <w:pBdr>
          <w:bottom w:val="single" w:sz="6" w:space="1" w:color="CCCCCC"/>
        </w:pBdr>
      </w:pPr>
    </w:p>
    <w:p>
      <w:r>
        <w:t xml:space="preserve">There is one sentence under all of it, and a hundred and twenty years of prices keep writing it:</w:t>
      </w:r>
    </w:p>
    <w:p>
      <w:r>
        <w:rPr>
          <w:b/>
        </w:rPr>
        <w:t xml:space="preserve">The market is a poor prophet of whether a war will come, and a superb accountant of what it costs once the decision is taken.</w:t>
      </w:r>
    </w:p>
    <w:p>
      <w:r>
        <w:t xml:space="preserve">Everything else in this book is a gloss on that division. There is a weak channel and a strong one. Ask the market to forecast a decision no one has yet made — </w:t>
      </w:r>
      <w:r>
        <w:rPr>
          <w:i/>
        </w:rPr>
        <w:t xml:space="preserve">will they go to war?</w:t>
      </w:r>
      <w:r>
        <w:t xml:space="preserve"> — and it answers badly, because it is being asked to price a thing that does not yet exist. Show it a decision that has been taken, and it reprices the consequences fast and, usually, correctly. The famous conclusion that markets "never saw 1914 coming" is true and beside the point. They were never good at seeing wars coming. They were only ever good at counting the bill once the war arrived — and to read them, you have to know which question you are asking, and which instrument carries the answer.</w:t>
      </w:r>
    </w:p>
    <w:p>
      <w:pPr>
        <w:pBdr>
          <w:bottom w:val="single" w:sz="6" w:space="1" w:color="CCCCCC"/>
        </w:pBdr>
      </w:pPr>
    </w:p>
    <w:p>
      <w:pPr>
        <w:pStyle w:val="Heading2"/>
        <w:pageBreakBefore/>
      </w:pPr>
      <w:r>
        <w:t xml:space="preserve">I. The instrument, before the index</w:t>
      </w:r>
    </w:p>
    <w:p>
      <w:r>
        <w:t xml:space="preserve">Start with the mistake everyone makes, because the pre-1914 record makes it impossible to keep making.</w:t>
      </w:r>
    </w:p>
    <w:p>
      <w:r>
        <w:t xml:space="preserve">The mistake is to look at the index — the big, famous, liquid price — and read its calm as the absence of danger. But the signal was never in the index. It was in the </w:t>
      </w:r>
      <w:r>
        <w:rPr>
          <w:i/>
        </w:rPr>
        <w:t xml:space="preserve">exposed instrument</w:t>
      </w:r>
      <w:r>
        <w:t xml:space="preserve">, the specific thing that would actually be hurt, and that instrument moved from crisis to crisis.</w:t>
      </w:r>
    </w:p>
    <w:p>
      <w:r>
        <w:t xml:space="preserve">In 1905 the French war scare over Morocco did not sit in the Paris money market, which was silent. It sat in the </w:t>
      </w:r>
      <w:r>
        <w:rPr>
          <w:i/>
        </w:rPr>
        <w:t xml:space="preserve">fonds russes</w:t>
      </w:r>
      <w:r>
        <w:t xml:space="preserve"> — the Russian bonds in French portfolios — because France's real exposure that year was the solvency of its ally, not a colony it was never going to fight over. In 1911 it sat in the Berlin exchange and the balances of the great German banks: four hundred and eighty million marks off the eight largest, the Deutsche Bank at the Foreign Office asking the government to lower its voice, while the discount rate barely told the story. In 1912 it sat in Vienna, where the Austro-Hungarian Bank marched its rate five, five and a half, six as the mobilisation ran, and a term structure inverted that London flattened to a single flat number. And in July 1914 the exposure sat, finally, in the clearing system itself — which did not price the war approaching through the whole of that quiet month, and then froze solid in a week, the Bank of England going three to ten in four days and the Stock Exchange closing for the first time in its history.</w:t>
      </w:r>
    </w:p>
    <w:p>
      <w:r>
        <w:t xml:space="preserve">Four crises, four different instruments. The bond, the bank balance, the central-bank rate, the clearing plumbing. Read the wrong one — read the money market in 1905, or the index in any of them — and you would have concluded, wrongly, that nothing was happening. The risk lives where the exposure is, and the first discipline is to find that place before you read anything at all.</w:t>
      </w:r>
    </w:p>
    <w:p>
      <w:pPr>
        <w:pBdr>
          <w:bottom w:val="single" w:sz="6" w:space="1" w:color="CCCCCC"/>
        </w:pBdr>
      </w:pPr>
    </w:p>
    <w:p>
      <w:pPr>
        <w:pStyle w:val="Heading2"/>
        <w:pageBreakBefore/>
      </w:pPr>
      <w:r>
        <w:t xml:space="preserve">II. What the money markets discriminated — and what they could not</w:t>
      </w:r>
    </w:p>
    <w:p>
      <w:r>
        <w:t xml:space="preserve">The pre-1914 record adds a second finding, and it is the one that makes market calm so treacherous.</w:t>
      </w:r>
    </w:p>
    <w:p>
      <w:r>
        <w:t xml:space="preserve">Europe's money markets did not price war country by country. They priced one thing: whether a quarrel could go </w:t>
      </w:r>
      <w:r>
        <w:rPr>
          <w:i/>
        </w:rPr>
        <w:t xml:space="preserve">general</w:t>
      </w:r>
      <w:r>
        <w:t xml:space="preserve"> — could run along the alliances until choosing a side stopped mattering. So they sorted the crises by that single criterion and by no other. They ignored two actual Balkan wars, because wars that stay local do not threaten the system, and they priced a winter of mobilisation that produced no war at all, because that winter the system nearly ran. The market was never handicapping which nation would fight. It was handicapping whether, this time, the fire would jump the firebreak.</w:t>
      </w:r>
    </w:p>
    <w:p>
      <w:r>
        <w:t xml:space="preserve">And repeated scares that did </w:t>
      </w:r>
      <w:r>
        <w:rPr>
          <w:i/>
        </w:rPr>
        <w:t xml:space="preserve">not</w:t>
      </w:r>
      <w:r>
        <w:t xml:space="preserve"> jump the firebreak taught it to stop flinching. This is the "cried wolf" mechanism, and it is rational: most scares fizzle, so a market that sold off on every one would bleed to death. By 1914 the tape had been desensitised by a decade of crises that resolved into conferences, and it priced the real thing at nothing until the decision was already irreversible. Calm was not a forecast of peace. It was the market declining to handicap an undecided choice — and, at the top of the ladder, it was something worse: the market cannot price a catastrophe it will not survive to collect on. That ceiling has no pre-nuclear analog, and it is the reason silence, at the extreme, means nothing at all.</w:t>
      </w:r>
    </w:p>
    <w:p>
      <w:pPr>
        <w:pBdr>
          <w:bottom w:val="single" w:sz="6" w:space="1" w:color="CCCCCC"/>
        </w:pBdr>
      </w:pPr>
    </w:p>
    <w:p>
      <w:pPr>
        <w:pStyle w:val="Heading2"/>
        <w:pageBreakBefore/>
      </w:pPr>
      <w:r>
        <w:t xml:space="preserve">III. The same finding, after 1914</w:t>
      </w:r>
    </w:p>
    <w:p>
      <w:r>
        <w:t xml:space="preserve">The objection writes itself: this is a story about thin Edwardian data and a vanished world. It is not, and the century says so in daily prices.</w:t>
      </w:r>
    </w:p>
    <w:p>
      <w:r>
        <w:t xml:space="preserve">Run the same two channels through everything that came after and they hold, case after case, on cleaner data than 1914 ever offered.</w:t>
      </w:r>
    </w:p>
    <w:p>
      <w:r>
        <w:rPr>
          <w:b/>
        </w:rPr>
        <w:t xml:space="preserve">Anticipation stays weak, and fails in every way a channel can fail.</w:t>
      </w:r>
      <w:r>
        <w:t xml:space="preserve"> It </w:t>
      </w:r>
      <w:r>
        <w:rPr>
          <w:i/>
        </w:rPr>
        <w:t xml:space="preserve">cries wolf</w:t>
      </w:r>
      <w:r>
        <w:t xml:space="preserve"> — Munich 1938, where the market worked the diplomatic news down on the Berchtesgaden breakdown, up on the accord, and rallied on "peace for our time," correctly pricing the resolution in front of it and utterly blind to the war eleven months out. It prices the </w:t>
      </w:r>
      <w:r>
        <w:rPr>
          <w:i/>
        </w:rPr>
        <w:t xml:space="preserve">wrong sign</w:t>
      </w:r>
      <w:r>
        <w:t xml:space="preserve"> — 1939, when equity rose twenty-one per cent on the outbreak of the Second World War, because it was pricing the war it could profit from, not the one being fought. It is </w:t>
      </w:r>
      <w:r>
        <w:rPr>
          <w:i/>
        </w:rPr>
        <w:t xml:space="preserve">blindsided</w:t>
      </w:r>
      <w:r>
        <w:t xml:space="preserve"> by surprise — Pearl Harbor, priced at a mere −3.8% for the entry of the United States into a world war; the fall of France, flat until the blitzkrieg was undeniable. And at the ceiling it simply </w:t>
      </w:r>
      <w:r>
        <w:rPr>
          <w:i/>
        </w:rPr>
        <w:t xml:space="preserve">cannot price</w:t>
      </w:r>
      <w:r>
        <w:t xml:space="preserve"> — Cuba, 1962, where the premium on the end of the world was, and had to be, about nothing.</w:t>
      </w:r>
    </w:p>
    <w:p>
      <w:r>
        <w:rPr>
          <w:b/>
        </w:rPr>
        <w:t xml:space="preserve">Resolution stays strong, and reprices the instant the uncertainty collapses.</w:t>
      </w:r>
      <w:r>
        <w:t xml:space="preserve"> The Munich relief rally; the Inchon recovery after Korea had first been priced as the Third World War (a −13% panic reversed within weeks); the fall of France marked correctly at −29% the moment the outcome was plain; the oil premium vanishing thirty per cent in a night when Desert Storm began, because the thing the market feared — a supply catastrophe — had resolved to no; the 2003 invasion rally. Put a </w:t>
      </w:r>
      <w:r>
        <w:rPr>
          <w:i/>
        </w:rPr>
        <w:t xml:space="preserve">taken</w:t>
      </w:r>
      <w:r>
        <w:t xml:space="preserve"> decision to the market and it excels. It was never dumb. It was being asked the wrong question, and given the right one it answers to the day.</w:t>
      </w:r>
    </w:p>
    <w:p>
      <w:r>
        <w:t xml:space="preserve">And the instrument keeps migrating, exactly as before. The bond in 1905 becomes the reserve account and the exchange rate in the age of coercion, and the barrel in the age of energy: the Gulf wars, Iran, and 2022 were all priced through oil, narrowly, while the equity index shrugged. In 2022 the largest land war in Europe since 1945 opened and the S&amp;P closed </w:t>
      </w:r>
      <w:r>
        <w:rPr>
          <w:i/>
        </w:rPr>
        <w:t xml:space="preserve">up</w:t>
      </w:r>
      <w:r>
        <w:t xml:space="preserve">; the war went into Brent (ninety-nine to a hundred and thirty-three dollars in a fortnight) and into Russia's own instruments — the ruble halved, the Moscow exchange shut for a month, the first foreign-currency default since 1918 — and not into the Western index, which was never the exposure. The great markets discriminated in 2022 exactly as they had in 1912: a war that could not go general is a regional tragedy with a commodity attached.</w:t>
      </w:r>
    </w:p>
    <w:p>
      <w:pPr>
        <w:pBdr>
          <w:bottom w:val="single" w:sz="6" w:space="1" w:color="CCCCCC"/>
        </w:pBdr>
      </w:pPr>
    </w:p>
    <w:p>
      <w:pPr>
        <w:pStyle w:val="Heading2"/>
        <w:pageBreakBefore/>
      </w:pPr>
      <w:r>
        <w:t xml:space="preserve">IV. The two things the century added</w:t>
      </w:r>
    </w:p>
    <w:p>
      <w:r>
        <w:t xml:space="preserve">The pre-1914 material could only imply two things that the modern record states in the open, and the synthesis has to carry both.</w:t>
      </w:r>
    </w:p>
    <w:p>
      <w:r>
        <w:t xml:space="preserve">The first is </w:t>
      </w:r>
      <w:r>
        <w:rPr>
          <w:b/>
        </w:rPr>
        <w:t xml:space="preserve">finance as a weapon.</w:t>
      </w:r>
      <w:r>
        <w:t xml:space="preserve"> In 1914 finance was a barometer — a reading of pressure, a symptom of a counterparty's condition. In the century since, it became an instrument of statecraft, wielded by states against states: the freezing of Japanese assets in 1941, the sterling run Washington declined to arrest at Suez in 1956, the three hundred billion dollars of Russian reserves immobilised in 2022. But the book's discipline governs the weapon as strictly as it governs the barometer. The </w:t>
      </w:r>
      <w:r>
        <w:rPr>
          <w:i/>
        </w:rPr>
        <w:t xml:space="preserve">effect</w:t>
      </w:r>
      <w:r>
        <w:t xml:space="preserve"> is documented; the </w:t>
      </w:r>
      <w:r>
        <w:rPr>
          <w:i/>
        </w:rPr>
        <w:t xml:space="preserve">decisiveness</w:t>
      </w:r>
      <w:r>
        <w:t xml:space="preserve"> is not. The 1941 freeze helped provoke the war it was meant to deter; Suez forced a retreat; 2022 punished without halting. A weapon that inflicts great pain and does not stop the enemy is a fact about capability, not outcome, and the honest sentence stays narrow: finance was used, at unprecedented scale, and it hurt, and the war continued.</w:t>
      </w:r>
    </w:p>
    <w:p>
      <w:r>
        <w:t xml:space="preserve">The second is </w:t>
      </w:r>
      <w:r>
        <w:rPr>
          <w:b/>
        </w:rPr>
        <w:t xml:space="preserve">a new instrument for the weak channel.</w:t>
      </w:r>
      <w:r>
        <w:t xml:space="preserve"> For a century the anticipation channel was unreadable because an oil price blends the </w:t>
      </w:r>
      <w:r>
        <w:rPr>
          <w:i/>
        </w:rPr>
        <w:t xml:space="preserve">probability</w:t>
      </w:r>
      <w:r>
        <w:t xml:space="preserve"> of disruption with its </w:t>
      </w:r>
      <w:r>
        <w:rPr>
          <w:i/>
        </w:rPr>
        <w:t xml:space="preserve">size</w:t>
      </w:r>
      <w:r>
        <w:t xml:space="preserve">, and you can never separate them. As of 2026 there are prediction markets — Kalshi, Polymarket — that price the political-military decision itself in the open, with real money: </w:t>
      </w:r>
      <w:r>
        <w:rPr>
          <w:i/>
        </w:rPr>
        <w:t xml:space="preserve">will forces enter, will the strait stay shut, will the island fall.</w:t>
      </w:r>
      <w:r>
        <w:t xml:space="preserve"> For the first time the anticipation channel is directly observable, and it can be </w:t>
      </w:r>
      <w:r>
        <w:rPr>
          <w:i/>
        </w:rPr>
        <w:t xml:space="preserve">decomposed</w:t>
      </w:r>
      <w:r>
        <w:t xml:space="preserve">: read the probability off the prediction market and the size off the oil curve. In the Iran crises the odds even began to </w:t>
      </w:r>
      <w:r>
        <w:rPr>
          <w:i/>
        </w:rPr>
        <w:t xml:space="preserve">lead</w:t>
      </w:r>
      <w:r>
        <w:t xml:space="preserve"> the barrel — prediction markets priced the strait reopening on the strike pause, and oil followed. But the hierarchy holds and the old caution simply moves house: prediction markets are finer and faster forecasters than oil, and they are thin and manipulable, so the cried-wolf discipline now attaches to </w:t>
      </w:r>
      <w:r>
        <w:rPr>
          <w:i/>
        </w:rPr>
        <w:t xml:space="preserve">them</w:t>
      </w:r>
      <w:r>
        <w:t xml:space="preserve"> — a moving odds line is not proof — and resolution still dominates the forecast. The instrument is new. The finding is not.</w:t>
      </w:r>
    </w:p>
    <w:p>
      <w:pPr>
        <w:pBdr>
          <w:bottom w:val="single" w:sz="6" w:space="1" w:color="CCCCCC"/>
        </w:pBdr>
      </w:pPr>
    </w:p>
    <w:p>
      <w:pPr>
        <w:pStyle w:val="Heading2"/>
        <w:pageBreakBefore/>
      </w:pPr>
      <w:r>
        <w:t xml:space="preserve">V. How to read a war today</w:t>
      </w:r>
    </w:p>
    <w:p>
      <w:r>
        <w:t xml:space="preserve">Which turns the whole century into a small set of disciplines, and they are worth stating flatly, because they are the applications, and they are usable now — on Taiwan, on the Middle East, on whatever comes next.</w:t>
      </w:r>
    </w:p>
    <w:p>
      <w:r>
        <w:rPr>
          <w:b/>
        </w:rPr>
        <w:t xml:space="preserve">Do not read market calm as a forecast of peace.</w:t>
      </w:r>
      <w:r>
        <w:t xml:space="preserve"> A quiet market is not evidence a war will not come. It may mean the market cannot price an undecided decision, or will not survive to collect on it. Reading calm on Taiwan as reassurance is the exact error of the flat tape in July 1914.</w:t>
      </w:r>
    </w:p>
    <w:p>
      <w:r>
        <w:rPr>
          <w:b/>
        </w:rPr>
        <w:t xml:space="preserve">Weight consequence-pricing heavily and forecasting lightly.</w:t>
      </w:r>
      <w:r>
        <w:t xml:space="preserve"> The market is a good decision-support tool for </w:t>
      </w:r>
      <w:r>
        <w:rPr>
          <w:i/>
        </w:rPr>
        <w:t xml:space="preserve">what will this cost once we commit</w:t>
      </w:r>
      <w:r>
        <w:t xml:space="preserve"> and a poor one for </w:t>
      </w:r>
      <w:r>
        <w:rPr>
          <w:i/>
        </w:rPr>
        <w:t xml:space="preserve">will they do it.</w:t>
      </w:r>
      <w:r>
        <w:t xml:space="preserve"> Iran in June 2025 is the template: the run-up over-priced the disruption — oil spiked ten per cent to seventy-six dollars on the Hormuz-closure tail and then ended the crisis at sixty-five, </w:t>
      </w:r>
      <w:r>
        <w:rPr>
          <w:i/>
        </w:rPr>
        <w:t xml:space="preserve">below</w:t>
      </w:r>
      <w:r>
        <w:t xml:space="preserve"> where it started, with the S&amp;P at a new high — while the repricing at each taken decision was fast and right. The forecast was wrong; the accounting was immaculate.</w:t>
      </w:r>
    </w:p>
    <w:p>
      <w:r>
        <w:rPr>
          <w:b/>
        </w:rPr>
        <w:t xml:space="preserve">Watch the exposed instrument, and watch the resolution, not the level.</w:t>
      </w:r>
      <w:r>
        <w:t xml:space="preserve"> Oil for energy-transmitted conflict; reserves and the exchange rate for coercion; the target's own sovereign bonds for who bears the cost. And watch the </w:t>
      </w:r>
      <w:r>
        <w:rPr>
          <w:i/>
        </w:rPr>
        <w:t xml:space="preserve">repricing at the decision</w:t>
      </w:r>
      <w:r>
        <w:t xml:space="preserve">, not the ambient calm before it. The informative moment is the collapse of uncertainty, not the silence that precedes it.</w:t>
      </w:r>
    </w:p>
    <w:p>
      <w:r>
        <w:rPr>
          <w:b/>
        </w:rPr>
        <w:t xml:space="preserve">Treat finance-as-weapon as contingent, not decisive.</w:t>
      </w:r>
      <w:r>
        <w:t xml:space="preserve"> Sanctions and reserve freezes are the modern coercive instrument, and their effect turns on whether the target has a survivable alternative — Japan had none in 1941, Britain had one in 1956, Russia chose to absorb the blow in 2022. Do not assume the squeeze is the outcome.</w:t>
      </w:r>
    </w:p>
    <w:p>
      <w:r>
        <w:rPr>
          <w:b/>
        </w:rPr>
        <w:t xml:space="preserve">On existential risk, treat market silence as no evidence at all.</w:t>
      </w:r>
      <w:r>
        <w:t xml:space="preserve"> You cannot price what you will not survive to collect on, so the absence of a premium on nuclear — or, arguably, on the climate and AI tails — is not evidence the probability is low. Do not outsource the assessment of an unsurvivable risk to a price that structurally cannot carry it.</w:t>
      </w:r>
    </w:p>
    <w:p>
      <w:pPr>
        <w:pBdr>
          <w:bottom w:val="single" w:sz="6" w:space="1" w:color="CCCCCC"/>
        </w:pBdr>
      </w:pPr>
    </w:p>
    <w:p>
      <w:pPr>
        <w:pStyle w:val="Heading2"/>
        <w:pageBreakBefore/>
      </w:pPr>
      <w:r>
        <w:t xml:space="preserve">VI.</w:t>
      </w:r>
    </w:p>
    <w:p>
      <w:r>
        <w:t xml:space="preserve">The book began in the archives of one war that did not happen for nine years and then did, and it has spent a century of prices testing a single claim against everything that came after. The claim survived, on Fraktur OCR and on live terminals alike, because it was never about a period. It was about a structure: what a price can and cannot know.</w:t>
      </w:r>
    </w:p>
    <w:p>
      <w:r>
        <w:t xml:space="preserve">A price cannot know whether men will decide to fight. It has never been able to, and the new instruments that read the decision more directly will be better at it and still not good, because the thing being priced does not exist until the men make it exist. But a price knows, with a precision nothing else in the record can match, what the fighting will cost the moment the decision is real — if you are watching the instrument that carries the exposure, at the moment the uncertainty resolves, and not the famous calm index in the quiet before.</w:t>
      </w:r>
    </w:p>
    <w:p>
      <w:r>
        <w:t xml:space="preserve">That is what the market knows about war. Not that it is coming. Only, once it comes, exactly what it is worth — and to whom the bill is sent. The whole of this book is a manual for reading that one sentence, in whichever city, in whichever instrument, in whichever century the next war chooses to be priced.</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40" w:line="288" w:lineRule="auto"/>
    </w:pPr>
    <w:rPr>
      <w:rFonts w:ascii="Georgia" w:hAnsi="Georgia"/>
      <w:sz w:val="22"/>
    </w:rPr>
  </w:style>
  <w:style w:type="paragraph" w:styleId="Title">
    <w:name w:val="Title"/>
    <w:basedOn w:val="Normal"/>
    <w:next w:val="Normal"/>
    <w:qFormat/>
    <w:pPr>
      <w:keepNext/>
      <w:spacing w:before="0" w:after="120"/>
      <w:outlineLvl w:val="0"/>
    </w:pPr>
    <w:rPr>
      <w:rFonts w:ascii="Arial" w:hAnsi="Arial"/>
      <w:b/>
      <w:color w:val="1A2A44"/>
      <w:sz w:val="64"/>
    </w:rPr>
  </w:style>
  <w:style w:type="paragraph" w:styleId="Subtitle">
    <w:name w:val="Subtitle"/>
    <w:basedOn w:val="Normal"/>
    <w:next w:val="Normal"/>
    <w:qFormat/>
    <w:pPr>
      <w:keepNext/>
      <w:spacing w:before="240" w:after="120"/>
      <w:outlineLvl w:val="0"/>
    </w:pPr>
    <w:rPr>
      <w:rFonts w:ascii="Arial" w:hAnsi="Arial"/>
      <w:b/>
      <w:color w:val="555555"/>
      <w:sz w:val="30"/>
    </w:rPr>
  </w:style>
  <w:style w:type="paragraph" w:styleId="Heading1">
    <w:name w:val="heading 1"/>
    <w:basedOn w:val="Normal"/>
    <w:next w:val="Normal"/>
    <w:qFormat/>
    <w:pPr>
      <w:keepNext/>
      <w:spacing w:before="240" w:after="120"/>
      <w:outlineLvl w:val="0"/>
    </w:pPr>
    <w:rPr>
      <w:rFonts w:ascii="Arial" w:hAnsi="Arial"/>
      <w:b/>
      <w:color w:val="1A2A44"/>
      <w:sz w:val="40"/>
    </w:rPr>
  </w:style>
  <w:style w:type="paragraph" w:styleId="Heading2">
    <w:name w:val="heading 2"/>
    <w:basedOn w:val="Normal"/>
    <w:next w:val="Normal"/>
    <w:qFormat/>
    <w:pPr>
      <w:keepNext/>
      <w:spacing w:before="240" w:after="120"/>
      <w:outlineLvl w:val="1"/>
    </w:pPr>
    <w:rPr>
      <w:rFonts w:ascii="Arial" w:hAnsi="Arial"/>
      <w:b/>
      <w:color w:val="24405F"/>
      <w:sz w:val="30"/>
    </w:rPr>
  </w:style>
  <w:style w:type="paragraph" w:styleId="Heading3">
    <w:name w:val="heading 3"/>
    <w:basedOn w:val="Normal"/>
    <w:next w:val="Normal"/>
    <w:qFormat/>
    <w:pPr>
      <w:keepNext/>
      <w:spacing w:before="240" w:after="120"/>
      <w:outlineLvl w:val="2"/>
    </w:pPr>
    <w:rPr>
      <w:rFonts w:ascii="Arial" w:hAnsi="Arial"/>
      <w:b/>
      <w:color w:val="333333"/>
      <w:sz w:val="25"/>
    </w:rPr>
  </w:style>
  <w:style w:type="paragraph" w:styleId="Heading4">
    <w:name w:val="heading 4"/>
    <w:basedOn w:val="Normal"/>
    <w:next w:val="Normal"/>
    <w:qFormat/>
    <w:pPr>
      <w:keepNext/>
      <w:spacing w:before="240" w:after="120"/>
      <w:outlineLvl w:val="3"/>
    </w:pPr>
    <w:rPr>
      <w:rFonts w:ascii="Arial" w:hAnsi="Arial"/>
      <w:b/>
      <w:color w:val="444444"/>
      <w:sz w:val="23"/>
    </w:rPr>
  </w:style>
  <w:style w:type="paragraph" w:styleId="Quote">
    <w:name w:val="Quote"/>
    <w:basedOn w:val="Normal"/>
    <w:pPr>
      <w:pBdr>
        <w:left w:val="single" w:sz="18" w:space="8" w:color="8A3B2E"/>
      </w:pBdr>
      <w:ind w:left="360"/>
    </w:pPr>
    <w:rPr>
      <w:i/>
      <w:color w:val="444444"/>
    </w:rPr>
  </w:style>
  <w:style w:type="paragraph" w:styleId="ListParagraph">
    <w:name w:val="List Paragraph"/>
    <w:basedOn w:val="Normal"/>
    <w:pPr>
      <w:spacing w:after="60"/>
    </w:pPr>
  </w:style>
  <w:style w:type="paragraph" w:styleId="Code">
    <w:name w:val="Code"/>
    <w:basedOn w:val="Normal"/>
    <w:pPr>
      <w:shd w:val="clear" w:fill="F3F1EA"/>
      <w:spacing w:after="0" w:line="240" w:lineRule="auto"/>
    </w:pPr>
    <w:rPr>
      <w:rFonts w:ascii="Consolas" w:hAnsi="Consolas"/>
      <w:sz w:val="18"/>
    </w:rPr>
  </w:style>
  <w:style w:type="paragraph" w:styleId="TableCell">
    <w:name w:val="Table Cell"/>
    <w:basedOn w:val="Normal"/>
    <w:pPr>
      <w:spacing w:after="40"/>
    </w:pPr>
    <w:rPr>
      <w:rFonts w:ascii="Arial" w:hAnsi="Arial"/>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