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A1A1A"/>
          <w:spacing w:val="26"/>
          <w:sz w:val="30"/>
          <w:szCs w:val="30"/>
        </w:rPr>
        <w:t xml:space="preserve">MEMORANDUM</w:t>
      </w:r>
    </w:p>
    <w:p>
      <w:pPr>
        <w:pBdr>
          <w:bottom w:val="single" w:color="1A1A1A" w:sz="12" w:space="2"/>
        </w:pBdr>
        <w:spacing w:after="190"/>
      </w:pPr>
    </w:p>
    <w:p>
      <w:pPr>
        <w:spacing w:after="70"/>
      </w:pPr>
      <w:r>
        <w:rPr>
          <w:rFonts w:ascii="Calibri" w:cs="Calibri" w:eastAsia="Calibri" w:hAnsi="Calibri"/>
          <w:b/>
          <w:bCs/>
          <w:color w:val="555555"/>
          <w:sz w:val="18"/>
          <w:szCs w:val="18"/>
        </w:rPr>
        <w:t xml:space="preserve">DATE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September 2026</w:t>
      </w:r>
    </w:p>
    <w:p>
      <w:pPr>
        <w:spacing w:after="70"/>
      </w:pPr>
      <w:r>
        <w:rPr>
          <w:rFonts w:ascii="Calibri" w:cs="Calibri" w:eastAsia="Calibri" w:hAnsi="Calibri"/>
          <w:b/>
          <w:bCs/>
          <w:color w:val="555555"/>
          <w:sz w:val="18"/>
          <w:szCs w:val="18"/>
        </w:rPr>
        <w:t xml:space="preserve">RE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Walmart fluid-milk pricing and racial composition — summary of findings</w:t>
      </w:r>
    </w:p>
    <w:p>
      <w:pPr>
        <w:spacing w:after="70"/>
      </w:pPr>
      <w:r>
        <w:rPr>
          <w:rFonts w:ascii="Calibri" w:cs="Calibri" w:eastAsia="Calibri" w:hAnsi="Calibri"/>
          <w:b/>
          <w:bCs/>
          <w:color w:val="555555"/>
          <w:sz w:val="18"/>
          <w:szCs w:val="18"/>
        </w:rPr>
        <w:t xml:space="preserve">BASIS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3,768 Walmart store-ZIPs across 43 states, joined to Census ACS B03002 and B19013</w:t>
      </w:r>
    </w:p>
    <w:p>
      <w:pPr>
        <w:spacing w:after="140"/>
      </w:pPr>
    </w:p>
    <w:p>
      <w:pPr>
        <w:pBdr>
          <w:left w:val="single" w:color="1B4A6B" w:sz="18" w:space="10"/>
        </w:pBdr>
        <w:spacing w:after="180" w:line="276"/>
        <w:ind w:left="170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Bottom line.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A racial gradient in Walmart milk prices exists in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low-income rural areas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and only there: roughly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19¢/gallon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, of which about half survives comparing within the same state. In urban areas the gradient runs the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other way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, which is why a pooled national estimate reads as zero.</w:t>
      </w:r>
    </w:p>
    <w:p>
      <w:pPr>
        <w:pBdr>
          <w:left w:val="single" w:color="1B4A6B" w:sz="18" w:space="10"/>
        </w:pBdr>
        <w:spacing w:after="180" w:line="276"/>
        <w:ind w:left="170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The obvious objection — that this is the rural South rather than Walmart — can be tested, because Aldi prices the same ZIP codes. In shared low-income rural ZIPs Walmart's racial gap is positive while Aldi's is negative, a difference of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16¢–22¢/gallon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depending on collection vintage.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That comparison is directionally consistent but unstable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: it falls to 3¢ when fourteen further low-Black ZIPs enter the comparison group, and it never reaches statistical significance. The finding should be described as a pattern worth investigating, not as a demonstrated practice.</w:t>
      </w:r>
    </w:p>
    <w:p>
      <w:pPr>
        <w:pStyle w:val="Heading2"/>
        <w:spacing w:after="150" w:before="340"/>
      </w:pPr>
      <w:r>
        <w:rPr>
          <w:rFonts w:ascii="Calibri" w:cs="Calibri" w:eastAsia="Calibri" w:hAnsi="Calibri"/>
          <w:b/>
          <w:bCs/>
          <w:color w:val="1B4A6B"/>
          <w:sz w:val="26"/>
          <w:szCs w:val="26"/>
        </w:rPr>
        <w:t xml:space="preserve">1. Where the finding is, and where it is not</w:t>
      </w:r>
    </w:p>
    <w:p>
      <w:pPr>
        <w:spacing w:after="140" w:line="276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Comparing ZIP codes at least 30% Black against ZIP codes under 10% Black, matched on median household income and on urban/rural status:</w:t>
      </w:r>
    </w:p>
    <w:tbl>
      <w:tblPr>
        <w:tblW w:type="dxa" w:w="9360"/>
        <w:tblBorders>
          <w:top w:val="single" w:color="9AA7B2" w:sz="6"/>
          <w:left w:val="none" w:color="FFFFFF" w:sz="0"/>
          <w:bottom w:val="single" w:color="9AA7B2" w:sz="6"/>
          <w:right w:val="none" w:color="FFFFFF" w:sz="0"/>
          <w:insideH w:val="single" w:color="D6DDE3" w:sz="2"/>
          <w:insideV w:val="none" w:color="FFFFFF" w:sz="0"/>
        </w:tblBorders>
      </w:tblPr>
      <w:tblGrid>
        <w:gridCol w:w="2621"/>
        <w:gridCol w:w="1310"/>
        <w:gridCol w:w="1310"/>
        <w:gridCol w:w="1404"/>
        <w:gridCol w:w="1404"/>
        <w:gridCol w:w="1311"/>
      </w:tblGrid>
      <w:tr>
        <w:trPr>
          <w:tblHeader/>
        </w:trPr>
        <w:tc>
          <w:tcPr>
            <w:tcW w:type="dxa" w:w="2621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Income quartile × setting</w:t>
            </w:r>
          </w:p>
        </w:tc>
        <w:tc>
          <w:tcPr>
            <w:tcW w:type="dxa" w:w="1310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n high</w:t>
            </w:r>
          </w:p>
        </w:tc>
        <w:tc>
          <w:tcPr>
            <w:tcW w:type="dxa" w:w="1310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n low</w:t>
            </w:r>
          </w:p>
        </w:tc>
        <w:tc>
          <w:tcPr>
            <w:tcW w:type="dxa" w:w="1404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High-Black</w:t>
            </w:r>
          </w:p>
        </w:tc>
        <w:tc>
          <w:tcPr>
            <w:tcW w:type="dxa" w:w="1404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Low-Black</w:t>
            </w:r>
          </w:p>
        </w:tc>
        <w:tc>
          <w:tcPr>
            <w:tcW w:type="dxa" w:w="1311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Gap</w:t>
            </w:r>
          </w:p>
        </w:tc>
      </w:tr>
      <w:tr>
        <w:tc>
          <w:tcPr>
            <w:tcW w:type="dxa" w:w="26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Q1 (lowest), rural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165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383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$3.988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$3.799</w:t>
            </w:r>
          </w:p>
        </w:tc>
        <w:tc>
          <w:tcPr>
            <w:tcW w:type="dxa" w:w="131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C2F22"/>
                <w:sz w:val="18"/>
                <w:szCs w:val="18"/>
              </w:rPr>
              <w:t xml:space="preserve">+$0.189</w:t>
            </w:r>
          </w:p>
        </w:tc>
      </w:tr>
      <w:tr>
        <w:tc>
          <w:tcPr>
            <w:tcW w:type="dxa" w:w="26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Q1, urban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84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94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$3.298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$3.348</w:t>
            </w:r>
          </w:p>
        </w:tc>
        <w:tc>
          <w:tcPr>
            <w:tcW w:type="dxa" w:w="131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−$0.050</w:t>
            </w:r>
          </w:p>
        </w:tc>
      </w:tr>
      <w:tr>
        <w:tc>
          <w:tcPr>
            <w:tcW w:type="dxa" w:w="26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Q2, rural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41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503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$3.680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$3.608</w:t>
            </w:r>
          </w:p>
        </w:tc>
        <w:tc>
          <w:tcPr>
            <w:tcW w:type="dxa" w:w="131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C2F22"/>
                <w:sz w:val="18"/>
                <w:szCs w:val="18"/>
              </w:rPr>
              <w:t xml:space="preserve">+$0.071</w:t>
            </w:r>
          </w:p>
        </w:tc>
      </w:tr>
      <w:tr>
        <w:tc>
          <w:tcPr>
            <w:tcW w:type="dxa" w:w="26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Q2, urban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51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121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$3.287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$3.337</w:t>
            </w:r>
          </w:p>
        </w:tc>
        <w:tc>
          <w:tcPr>
            <w:tcW w:type="dxa" w:w="131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−$0.050</w:t>
            </w:r>
          </w:p>
        </w:tc>
      </w:tr>
      <w:tr>
        <w:tc>
          <w:tcPr>
            <w:tcW w:type="dxa" w:w="26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Q3, rural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24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407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$3.616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$3.521</w:t>
            </w:r>
          </w:p>
        </w:tc>
        <w:tc>
          <w:tcPr>
            <w:tcW w:type="dxa" w:w="131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C2F22"/>
                <w:sz w:val="18"/>
                <w:szCs w:val="18"/>
              </w:rPr>
              <w:t xml:space="preserve">+$0.095</w:t>
            </w:r>
          </w:p>
        </w:tc>
      </w:tr>
      <w:tr>
        <w:tc>
          <w:tcPr>
            <w:tcW w:type="dxa" w:w="26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Q3, urban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33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242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$3.093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$3.351</w:t>
            </w:r>
          </w:p>
        </w:tc>
        <w:tc>
          <w:tcPr>
            <w:tcW w:type="dxa" w:w="131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−$0.258</w:t>
            </w:r>
          </w:p>
        </w:tc>
      </w:tr>
      <w:tr>
        <w:tc>
          <w:tcPr>
            <w:tcW w:type="dxa" w:w="26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Q4 (highest), rural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298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$3.036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$3.417</w:t>
            </w:r>
          </w:p>
        </w:tc>
        <w:tc>
          <w:tcPr>
            <w:tcW w:type="dxa" w:w="131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−$0.381</w:t>
            </w:r>
          </w:p>
        </w:tc>
      </w:tr>
      <w:tr>
        <w:tc>
          <w:tcPr>
            <w:tcW w:type="dxa" w:w="26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Q4, urban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23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429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$2.941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$3.338</w:t>
            </w:r>
          </w:p>
        </w:tc>
        <w:tc>
          <w:tcPr>
            <w:tcW w:type="dxa" w:w="131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−$0.397</w:t>
            </w:r>
          </w:p>
        </w:tc>
      </w:tr>
    </w:tbl>
    <w:p>
      <w:pPr>
        <w:spacing w:after="110"/>
      </w:pPr>
    </w:p>
    <w:p>
      <w:pPr>
        <w:spacing w:after="140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Every lower-income rural cell is positive; every urban cell is negative.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Pooled together they cancel — a national regression of price on percent Black, controlling for income and urbanicity, returns −0.00024 (t −0.39), which is indistinguishable from zero. That pooled figure is arithmetically correct and substantively misleading: it averages two opposite patterns.</w:t>
      </w:r>
    </w:p>
    <w:p>
      <w:pPr>
        <w:spacing w:after="140" w:line="276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This also explains why tests conducted inside metropolitan areas find nothing. Those tests are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urban by construction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and cannot reach the segment where the effect appears.</w:t>
      </w:r>
    </w:p>
    <w:p>
      <w:pPr>
        <w:pStyle w:val="Heading2"/>
        <w:spacing w:after="150" w:before="340"/>
      </w:pPr>
      <w:r>
        <w:rPr>
          <w:rFonts w:ascii="Calibri" w:cs="Calibri" w:eastAsia="Calibri" w:hAnsi="Calibri"/>
          <w:b/>
          <w:bCs/>
          <w:color w:val="1B4A6B"/>
          <w:sz w:val="26"/>
          <w:szCs w:val="26"/>
        </w:rPr>
        <w:t xml:space="preserve">2. Inside the segment: the result, and its limits</w:t>
      </w:r>
    </w:p>
    <w:p>
      <w:pPr>
        <w:spacing w:after="140" w:line="276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Bottom-income-quartile rural stores, n = 691 across 37 states and 440 counties. Regression of shelf price on percent Black, controlling for income and log population:</w:t>
      </w:r>
    </w:p>
    <w:tbl>
      <w:tblPr>
        <w:tblW w:type="dxa" w:w="9360"/>
        <w:tblBorders>
          <w:top w:val="single" w:color="9AA7B2" w:sz="6"/>
          <w:left w:val="none" w:color="FFFFFF" w:sz="0"/>
          <w:bottom w:val="single" w:color="9AA7B2" w:sz="6"/>
          <w:right w:val="none" w:color="FFFFFF" w:sz="0"/>
          <w:insideH w:val="single" w:color="D6DDE3" w:sz="2"/>
          <w:insideV w:val="none" w:color="FFFFFF" w:sz="0"/>
        </w:tblBorders>
      </w:tblPr>
      <w:tblGrid>
        <w:gridCol w:w="3182"/>
        <w:gridCol w:w="2059"/>
        <w:gridCol w:w="2059"/>
        <w:gridCol w:w="2060"/>
      </w:tblGrid>
      <w:tr>
        <w:trPr>
          <w:tblHeader/>
        </w:trPr>
        <w:tc>
          <w:tcPr>
            <w:tcW w:type="dxa" w:w="3182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Geographic control</w:t>
            </w:r>
          </w:p>
        </w:tc>
        <w:tc>
          <w:tcPr>
            <w:tcW w:type="dxa" w:w="2059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Coef $/gal per point</w:t>
            </w:r>
          </w:p>
        </w:tc>
        <w:tc>
          <w:tcPr>
            <w:tcW w:type="dxa" w:w="2059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t (conventional)</w:t>
            </w:r>
          </w:p>
        </w:tc>
        <w:tc>
          <w:tcPr>
            <w:tcW w:type="dxa" w:w="2060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t (clustered on state)</w:t>
            </w:r>
          </w:p>
        </w:tc>
      </w:tr>
      <w:tr>
        <w:tc>
          <w:tcPr>
            <w:tcW w:type="dxa" w:w="31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None</w:t>
            </w:r>
          </w:p>
        </w:tc>
        <w:tc>
          <w:tcPr>
            <w:tcW w:type="dxa" w:w="20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C2F22"/>
                <w:sz w:val="18"/>
                <w:szCs w:val="18"/>
              </w:rPr>
              <w:t xml:space="preserve">+0.00334</w:t>
            </w:r>
          </w:p>
        </w:tc>
        <w:tc>
          <w:tcPr>
            <w:tcW w:type="dxa" w:w="20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C2F22"/>
                <w:sz w:val="18"/>
                <w:szCs w:val="18"/>
              </w:rPr>
              <w:t xml:space="preserve">+2.77</w:t>
            </w:r>
          </w:p>
        </w:tc>
        <w:tc>
          <w:tcPr>
            <w:tcW w:type="dxa" w:w="20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+1.00</w:t>
            </w:r>
          </w:p>
        </w:tc>
      </w:tr>
      <w:tr>
        <w:tc>
          <w:tcPr>
            <w:tcW w:type="dxa" w:w="31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State fixed effects</w:t>
            </w:r>
          </w:p>
        </w:tc>
        <w:tc>
          <w:tcPr>
            <w:tcW w:type="dxa" w:w="20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−0.00159</w:t>
            </w:r>
          </w:p>
        </w:tc>
        <w:tc>
          <w:tcPr>
            <w:tcW w:type="dxa" w:w="20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−1.34</w:t>
            </w:r>
          </w:p>
        </w:tc>
        <w:tc>
          <w:tcPr>
            <w:tcW w:type="dxa" w:w="20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−0.78</w:t>
            </w:r>
          </w:p>
        </w:tc>
      </w:tr>
      <w:tr>
        <w:tc>
          <w:tcPr>
            <w:tcW w:type="dxa" w:w="31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ZIP3 fixed effects</w:t>
            </w:r>
          </w:p>
        </w:tc>
        <w:tc>
          <w:tcPr>
            <w:tcW w:type="dxa" w:w="20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C2F22"/>
                <w:sz w:val="18"/>
                <w:szCs w:val="18"/>
              </w:rPr>
              <w:t xml:space="preserve">−0.00525</w:t>
            </w:r>
          </w:p>
        </w:tc>
        <w:tc>
          <w:tcPr>
            <w:tcW w:type="dxa" w:w="20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C2F22"/>
                <w:sz w:val="18"/>
                <w:szCs w:val="18"/>
              </w:rPr>
              <w:t xml:space="preserve">−2.80</w:t>
            </w:r>
          </w:p>
        </w:tc>
        <w:tc>
          <w:tcPr>
            <w:tcW w:type="dxa" w:w="20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C2F22"/>
                <w:sz w:val="18"/>
                <w:szCs w:val="18"/>
              </w:rPr>
              <w:t xml:space="preserve">−2.16</w:t>
            </w:r>
          </w:p>
        </w:tc>
      </w:tr>
      <w:tr>
        <w:tc>
          <w:tcPr>
            <w:tcW w:type="dxa" w:w="31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County fixed effects</w:t>
            </w:r>
          </w:p>
        </w:tc>
        <w:tc>
          <w:tcPr>
            <w:tcW w:type="dxa" w:w="20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F6E4E"/>
                <w:sz w:val="18"/>
                <w:szCs w:val="18"/>
              </w:rPr>
              <w:t xml:space="preserve">+0.00450</w:t>
            </w:r>
          </w:p>
        </w:tc>
        <w:tc>
          <w:tcPr>
            <w:tcW w:type="dxa" w:w="20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F6E4E"/>
                <w:sz w:val="18"/>
                <w:szCs w:val="18"/>
              </w:rPr>
              <w:t xml:space="preserve">+2.01</w:t>
            </w:r>
          </w:p>
        </w:tc>
        <w:tc>
          <w:tcPr>
            <w:tcW w:type="dxa" w:w="20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+1.42</w:t>
            </w:r>
          </w:p>
        </w:tc>
      </w:tr>
    </w:tbl>
    <w:p>
      <w:pPr>
        <w:spacing w:after="110"/>
      </w:pPr>
    </w:p>
    <w:p>
      <w:pPr>
        <w:spacing w:after="140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The uncontrolled result is positive and conventionally significant.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Two things qualify it, and both belong in any account of this work:</w:t>
      </w:r>
    </w:p>
    <w:p>
      <w:pPr>
        <w:pStyle w:val="ListParagraph"/>
        <w:numPr>
          <w:ilvl w:val="0"/>
          <w:numId w:val="2"/>
        </w:numPr>
        <w:spacing w:after="95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It does not survive clustering.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Standard errors clustered on state — the appropriate treatment when stores within a state share pricing infrastructure and market conditions — reduce the statistic to t = +1.00.</w:t>
      </w:r>
    </w:p>
    <w:p>
      <w:pPr>
        <w:pStyle w:val="ListParagraph"/>
        <w:numPr>
          <w:ilvl w:val="0"/>
          <w:numId w:val="2"/>
        </w:numPr>
        <w:spacing w:after="95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The sign depends on how “same area” is defined.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Under county controls the coefficient is positive and significant; under the finer ZIP3 control it is </w:t>
      </w:r>
      <w:r>
        <w:rPr>
          <w:rFonts w:ascii="Cambria" w:cs="Cambria" w:eastAsia="Cambria" w:hAnsi="Cambria"/>
          <w:i/>
          <w:iCs/>
          <w:color w:val="1A1A1A"/>
          <w:sz w:val="21"/>
          <w:szCs w:val="21"/>
        </w:rPr>
        <w:t xml:space="preserve">negative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and significant. A result that changes sign with the geographic unit is not a stable estimate, and that instability is as much the finding as the point estimate.</w:t>
      </w:r>
    </w:p>
    <w:p>
      <w:pPr>
        <w:pStyle w:val="Heading2"/>
        <w:spacing w:after="150" w:before="340"/>
      </w:pPr>
      <w:r>
        <w:rPr>
          <w:rFonts w:ascii="Calibri" w:cs="Calibri" w:eastAsia="Calibri" w:hAnsi="Calibri"/>
          <w:b/>
          <w:bCs/>
          <w:color w:val="1B4A6B"/>
          <w:sz w:val="26"/>
          <w:szCs w:val="26"/>
        </w:rPr>
        <w:t xml:space="preserve">3. Why the controls disagree</w:t>
      </w:r>
    </w:p>
    <w:p>
      <w:pPr>
        <w:spacing w:after="140" w:line="276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The two comparison groups are largely in different places:</w:t>
      </w:r>
    </w:p>
    <w:tbl>
      <w:tblPr>
        <w:tblW w:type="dxa" w:w="9360"/>
        <w:tblBorders>
          <w:top w:val="single" w:color="9AA7B2" w:sz="6"/>
          <w:left w:val="none" w:color="FFFFFF" w:sz="0"/>
          <w:bottom w:val="single" w:color="9AA7B2" w:sz="6"/>
          <w:right w:val="none" w:color="FFFFFF" w:sz="0"/>
          <w:insideH w:val="single" w:color="D6DDE3" w:sz="2"/>
          <w:insideV w:val="none" w:color="FFFFFF" w:sz="0"/>
        </w:tblBorders>
      </w:tblPr>
      <w:tblGrid>
        <w:gridCol w:w="3744"/>
        <w:gridCol w:w="2808"/>
        <w:gridCol w:w="2808"/>
      </w:tblGrid>
      <w:tr>
        <w:trPr>
          <w:tblHeader/>
        </w:trPr>
        <w:tc>
          <w:tcPr>
            <w:tcW w:type="dxa" w:w="3744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</w:p>
        </w:tc>
        <w:tc>
          <w:tcPr>
            <w:tcW w:type="dxa" w:w="2808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States represented</w:t>
            </w:r>
          </w:p>
        </w:tc>
        <w:tc>
          <w:tcPr>
            <w:tcW w:type="dxa" w:w="2808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Counties represented</w:t>
            </w:r>
          </w:p>
        </w:tc>
      </w:tr>
      <w:tr>
        <w:tc>
          <w:tcPr>
            <w:tcW w:type="dxa" w:w="37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Stores in ZIPs ≥30% Black</w:t>
            </w:r>
          </w:p>
        </w:tc>
        <w:tc>
          <w:tcPr>
            <w:tcW w:type="dxa" w:w="28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15</w:t>
            </w:r>
          </w:p>
        </w:tc>
        <w:tc>
          <w:tcPr>
            <w:tcW w:type="dxa" w:w="28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128</w:t>
            </w:r>
          </w:p>
        </w:tc>
      </w:tr>
      <w:tr>
        <w:tc>
          <w:tcPr>
            <w:tcW w:type="dxa" w:w="37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Stores in ZIPs ≤10% Black</w:t>
            </w:r>
          </w:p>
        </w:tc>
        <w:tc>
          <w:tcPr>
            <w:tcW w:type="dxa" w:w="28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35</w:t>
            </w:r>
          </w:p>
        </w:tc>
        <w:tc>
          <w:tcPr>
            <w:tcW w:type="dxa" w:w="28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267</w:t>
            </w:r>
          </w:p>
        </w:tc>
      </w:tr>
      <w:tr>
        <w:tc>
          <w:tcPr>
            <w:tcW w:type="dxa" w:w="37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Containing both groups</w:t>
            </w:r>
          </w:p>
        </w:tc>
        <w:tc>
          <w:tcPr>
            <w:tcW w:type="dxa" w:w="28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13</w:t>
            </w:r>
          </w:p>
        </w:tc>
        <w:tc>
          <w:tcPr>
            <w:tcW w:type="dxa" w:w="28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C2F22"/>
                <w:sz w:val="18"/>
                <w:szCs w:val="18"/>
              </w:rPr>
              <w:t xml:space="preserve">29 of 440</w:t>
            </w:r>
          </w:p>
        </w:tc>
      </w:tr>
    </w:tbl>
    <w:p>
      <w:pPr>
        <w:spacing w:after="110"/>
      </w:pPr>
    </w:p>
    <w:p>
      <w:pPr>
        <w:spacing w:after="140" w:line="276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High-Black rural stores sit in Mississippi (26), Georgia (25), Louisiana (23), South Carolina (20), Alabama (18), North Carolina (17) and Arkansas (13) — the Deep South. Low-Black rural stores sit in Missouri (39), Texas (33), Kentucky (30), Tennessee (27), Oklahoma (25) and West Virginia (21) — the Ozarks, Appalachia and the plains.</w:t>
      </w:r>
    </w:p>
    <w:p>
      <w:pPr>
        <w:spacing w:after="140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Only 29 of 440 counties contain both groups.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Any county-level control is therefore estimated from a thin slice of the data, and a ZIP3 control thinner still. This is the central measurement problem: the comparison that would isolate race from place barely exists in the data.</w:t>
      </w:r>
    </w:p>
    <w:p>
      <w:pPr>
        <w:pStyle w:val="Heading2"/>
        <w:spacing w:after="150" w:before="340"/>
      </w:pPr>
      <w:r>
        <w:rPr>
          <w:rFonts w:ascii="Calibri" w:cs="Calibri" w:eastAsia="Calibri" w:hAnsi="Calibri"/>
          <w:b/>
          <w:bCs/>
          <w:color w:val="1B4A6B"/>
          <w:sz w:val="26"/>
          <w:szCs w:val="26"/>
        </w:rPr>
        <w:t xml:space="preserve">4. The same-state comparison</w:t>
      </w:r>
    </w:p>
    <w:p>
      <w:pPr>
        <w:spacing w:after="140" w:line="276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Restricting to states where both groups appear, inside the low-income rural segment:</w:t>
      </w:r>
    </w:p>
    <w:tbl>
      <w:tblPr>
        <w:tblW w:type="dxa" w:w="9360"/>
        <w:tblBorders>
          <w:top w:val="single" w:color="9AA7B2" w:sz="6"/>
          <w:left w:val="none" w:color="FFFFFF" w:sz="0"/>
          <w:bottom w:val="single" w:color="9AA7B2" w:sz="6"/>
          <w:right w:val="none" w:color="FFFFFF" w:sz="0"/>
          <w:insideH w:val="single" w:color="D6DDE3" w:sz="2"/>
          <w:insideV w:val="none" w:color="FFFFFF" w:sz="0"/>
        </w:tblBorders>
      </w:tblPr>
      <w:tblGrid>
        <w:gridCol w:w="2434"/>
        <w:gridCol w:w="1217"/>
        <w:gridCol w:w="1217"/>
        <w:gridCol w:w="1498"/>
        <w:gridCol w:w="1498"/>
        <w:gridCol w:w="1496"/>
      </w:tblGrid>
      <w:tr>
        <w:trPr>
          <w:tblHeader/>
        </w:trPr>
        <w:tc>
          <w:tcPr>
            <w:tcW w:type="dxa" w:w="2434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State</w:t>
            </w:r>
          </w:p>
        </w:tc>
        <w:tc>
          <w:tcPr>
            <w:tcW w:type="dxa" w:w="1217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n high</w:t>
            </w:r>
          </w:p>
        </w:tc>
        <w:tc>
          <w:tcPr>
            <w:tcW w:type="dxa" w:w="1217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n low</w:t>
            </w:r>
          </w:p>
        </w:tc>
        <w:tc>
          <w:tcPr>
            <w:tcW w:type="dxa" w:w="1498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High-Black</w:t>
            </w:r>
          </w:p>
        </w:tc>
        <w:tc>
          <w:tcPr>
            <w:tcW w:type="dxa" w:w="1498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Low-Black</w:t>
            </w:r>
          </w:p>
        </w:tc>
        <w:tc>
          <w:tcPr>
            <w:tcW w:type="dxa" w:w="1496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Gap</w:t>
            </w:r>
          </w:p>
        </w:tc>
      </w:tr>
      <w:tr>
        <w:tc>
          <w:tcPr>
            <w:tcW w:type="dxa" w:w="24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Mississippi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26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$4.474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$3.967</w:t>
            </w:r>
          </w:p>
        </w:tc>
        <w:tc>
          <w:tcPr>
            <w:tcW w:type="dxa" w:w="149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C2F22"/>
                <w:sz w:val="18"/>
                <w:szCs w:val="18"/>
              </w:rPr>
              <w:t xml:space="preserve">+$0.507</w:t>
            </w:r>
          </w:p>
        </w:tc>
      </w:tr>
      <w:tr>
        <w:tc>
          <w:tcPr>
            <w:tcW w:type="dxa" w:w="24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Florida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12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$3.984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$3.606</w:t>
            </w:r>
          </w:p>
        </w:tc>
        <w:tc>
          <w:tcPr>
            <w:tcW w:type="dxa" w:w="149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+$0.378</w:t>
            </w:r>
          </w:p>
        </w:tc>
      </w:tr>
      <w:tr>
        <w:tc>
          <w:tcPr>
            <w:tcW w:type="dxa" w:w="24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Tennessee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27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$4.312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$3.994</w:t>
            </w:r>
          </w:p>
        </w:tc>
        <w:tc>
          <w:tcPr>
            <w:tcW w:type="dxa" w:w="149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+$0.318</w:t>
            </w:r>
          </w:p>
        </w:tc>
      </w:tr>
      <w:tr>
        <w:tc>
          <w:tcPr>
            <w:tcW w:type="dxa" w:w="24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Arkansas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13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20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$4.398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$4.192</w:t>
            </w:r>
          </w:p>
        </w:tc>
        <w:tc>
          <w:tcPr>
            <w:tcW w:type="dxa" w:w="149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+$0.206</w:t>
            </w:r>
          </w:p>
        </w:tc>
      </w:tr>
      <w:tr>
        <w:tc>
          <w:tcPr>
            <w:tcW w:type="dxa" w:w="24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Texas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33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$3.934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$3.802</w:t>
            </w:r>
          </w:p>
        </w:tc>
        <w:tc>
          <w:tcPr>
            <w:tcW w:type="dxa" w:w="149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+$0.132</w:t>
            </w:r>
          </w:p>
        </w:tc>
      </w:tr>
      <w:tr>
        <w:tc>
          <w:tcPr>
            <w:tcW w:type="dxa" w:w="24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Georgia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25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$3.792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$3.727</w:t>
            </w:r>
          </w:p>
        </w:tc>
        <w:tc>
          <w:tcPr>
            <w:tcW w:type="dxa" w:w="149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+$0.066</w:t>
            </w:r>
          </w:p>
        </w:tc>
      </w:tr>
      <w:tr>
        <w:tc>
          <w:tcPr>
            <w:tcW w:type="dxa" w:w="24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Illinois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19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$3.373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$3.354</w:t>
            </w:r>
          </w:p>
        </w:tc>
        <w:tc>
          <w:tcPr>
            <w:tcW w:type="dxa" w:w="149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+$0.019</w:t>
            </w:r>
          </w:p>
        </w:tc>
      </w:tr>
      <w:tr>
        <w:tc>
          <w:tcPr>
            <w:tcW w:type="dxa" w:w="24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Alabama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18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12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$3.974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$4.226</w:t>
            </w:r>
          </w:p>
        </w:tc>
        <w:tc>
          <w:tcPr>
            <w:tcW w:type="dxa" w:w="149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−$0.251</w:t>
            </w:r>
          </w:p>
        </w:tc>
      </w:tr>
      <w:tr>
        <w:tc>
          <w:tcPr>
            <w:tcW w:type="dxa" w:w="24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North Carolina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17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16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$3.305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$3.768</w:t>
            </w:r>
          </w:p>
        </w:tc>
        <w:tc>
          <w:tcPr>
            <w:tcW w:type="dxa" w:w="149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C2F22"/>
                <w:sz w:val="18"/>
                <w:szCs w:val="18"/>
              </w:rPr>
              <w:t xml:space="preserve">−$0.463</w:t>
            </w:r>
          </w:p>
        </w:tc>
      </w:tr>
    </w:tbl>
    <w:p>
      <w:pPr>
        <w:spacing w:after="110"/>
      </w:pPr>
    </w:p>
    <w:p>
      <w:pPr>
        <w:spacing w:after="140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Weighted within-state gap +$0.085/gallon, positive in 7 of 9 states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— against +$0.189 pooled across states. So roughly half the raw gap is between-state composition and half survives inside states. Several cells rest on three to five stores on one side, so individual state figures carry little weight on their own.</w:t>
      </w:r>
    </w:p>
    <w:p>
      <w:pPr>
        <w:pStyle w:val="Heading2"/>
        <w:spacing w:after="150" w:before="340"/>
      </w:pPr>
      <w:r>
        <w:rPr>
          <w:rFonts w:ascii="Calibri" w:cs="Calibri" w:eastAsia="Calibri" w:hAnsi="Calibri"/>
          <w:b/>
          <w:bCs/>
          <w:color w:val="1B4A6B"/>
          <w:sz w:val="26"/>
          <w:szCs w:val="26"/>
        </w:rPr>
        <w:t xml:space="preserve">5. Aldi as a control: the same ZIP codes, a different chain</w:t>
      </w:r>
    </w:p>
    <w:p>
      <w:pPr>
        <w:pBdr>
          <w:left w:val="single" w:color="1B4A6B" w:sz="18" w:space="10"/>
        </w:pBdr>
        <w:spacing w:after="180" w:line="276"/>
        <w:ind w:left="170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This is the test that addresses the objection in §3. If the gradient is a property of the rural South — its freight, its competition, its demand — then a second chain operating in the same places should show it too. Aldi does not. It shows the reverse.</w:t>
      </w:r>
    </w:p>
    <w:p>
      <w:pPr>
        <w:spacing w:after="140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1,333 ZIP codes carry both an Aldi and a Walmart price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, across twelve states, joined to a single demographic source so that the covariates are identical by construction. The Aldi series has been collected twice — August 2026 and, on a fresh shop-identified pull, September 2026 — which allows the comparison to be checked rather than assumed. Restricting to low-income rural ZIPs present in every series:</w:t>
      </w:r>
    </w:p>
    <w:tbl>
      <w:tblPr>
        <w:tblW w:type="dxa" w:w="9360"/>
        <w:tblBorders>
          <w:top w:val="single" w:color="9AA7B2" w:sz="6"/>
          <w:left w:val="none" w:color="FFFFFF" w:sz="0"/>
          <w:bottom w:val="single" w:color="9AA7B2" w:sz="6"/>
          <w:right w:val="none" w:color="FFFFFF" w:sz="0"/>
          <w:insideH w:val="single" w:color="D6DDE3" w:sz="2"/>
          <w:insideV w:val="none" w:color="FFFFFF" w:sz="0"/>
        </w:tblBorders>
      </w:tblPr>
      <w:tblGrid>
        <w:gridCol w:w="2808"/>
        <w:gridCol w:w="1685"/>
        <w:gridCol w:w="1685"/>
        <w:gridCol w:w="1498"/>
        <w:gridCol w:w="1684"/>
      </w:tblGrid>
      <w:tr>
        <w:trPr>
          <w:tblHeader/>
        </w:trPr>
        <w:tc>
          <w:tcPr>
            <w:tcW w:type="dxa" w:w="2808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Aldi series and sample</w:t>
            </w:r>
          </w:p>
        </w:tc>
        <w:tc>
          <w:tcPr>
            <w:tcW w:type="dxa" w:w="1685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Walmart gap</w:t>
            </w:r>
          </w:p>
        </w:tc>
        <w:tc>
          <w:tcPr>
            <w:tcW w:type="dxa" w:w="1685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Aldi gap</w:t>
            </w:r>
          </w:p>
        </w:tc>
        <w:tc>
          <w:tcPr>
            <w:tcW w:type="dxa" w:w="1498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Difference</w:t>
            </w:r>
          </w:p>
        </w:tc>
        <w:tc>
          <w:tcPr>
            <w:tcW w:type="dxa" w:w="1684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</w:p>
        </w:tc>
      </w:tr>
      <w:tr>
        <w:tc>
          <w:tcPr>
            <w:tcW w:type="dxa" w:w="28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August, 292 matched ZIPs</w:t>
            </w:r>
          </w:p>
        </w:tc>
        <w:tc>
          <w:tcPr>
            <w:tcW w:type="dxa" w:w="168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+$0.133</w:t>
            </w:r>
          </w:p>
        </w:tc>
        <w:tc>
          <w:tcPr>
            <w:tcW w:type="dxa" w:w="168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F6E4E"/>
                <w:sz w:val="18"/>
                <w:szCs w:val="18"/>
              </w:rPr>
              <w:t xml:space="preserve">−$0.088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+$0.221</w:t>
            </w:r>
          </w:p>
        </w:tc>
        <w:tc>
          <w:tcPr>
            <w:tcW w:type="dxa" w:w="168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</w:p>
        </w:tc>
      </w:tr>
      <w:tr>
        <w:tc>
          <w:tcPr>
            <w:tcW w:type="dxa" w:w="28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September, same 292 ZIPs</w:t>
            </w:r>
          </w:p>
        </w:tc>
        <w:tc>
          <w:tcPr>
            <w:tcW w:type="dxa" w:w="168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+$0.133</w:t>
            </w:r>
          </w:p>
        </w:tc>
        <w:tc>
          <w:tcPr>
            <w:tcW w:type="dxa" w:w="168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F6E4E"/>
                <w:sz w:val="18"/>
                <w:szCs w:val="18"/>
              </w:rPr>
              <w:t xml:space="preserve">−$0.026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+$0.159</w:t>
            </w:r>
          </w:p>
        </w:tc>
        <w:tc>
          <w:tcPr>
            <w:tcW w:type="dxa" w:w="168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</w:p>
        </w:tc>
      </w:tr>
      <w:tr>
        <w:tc>
          <w:tcPr>
            <w:tcW w:type="dxa" w:w="28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September, all 313 ZIPs</w:t>
            </w:r>
          </w:p>
        </w:tc>
        <w:tc>
          <w:tcPr>
            <w:tcW w:type="dxa" w:w="168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+$0.142</w:t>
            </w:r>
          </w:p>
        </w:tc>
        <w:tc>
          <w:tcPr>
            <w:tcW w:type="dxa" w:w="168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C2F22"/>
                <w:sz w:val="18"/>
                <w:szCs w:val="18"/>
              </w:rPr>
              <w:t xml:space="preserve">+$0.110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C2F22"/>
                <w:sz w:val="18"/>
                <w:szCs w:val="18"/>
              </w:rPr>
              <w:t xml:space="preserve">+$0.032</w:t>
            </w:r>
          </w:p>
        </w:tc>
        <w:tc>
          <w:tcPr>
            <w:tcW w:type="dxa" w:w="168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</w:p>
        </w:tc>
      </w:tr>
    </w:tbl>
    <w:p>
      <w:pPr>
        <w:spacing w:after="110"/>
      </w:pPr>
    </w:p>
    <w:p>
      <w:pPr>
        <w:spacing w:after="140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On like-for-like ZIP codes the direction survives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— Aldi's gradient is negative in both vintages while Walmart's is positive — but the magnitude attenuates from 22¢ to 16¢. On the fuller September sample it collapses to 3¢ and Aldi turns positive.</w:t>
      </w:r>
    </w:p>
    <w:p>
      <w:pPr>
        <w:pBdr>
          <w:left w:val="single" w:color="1B4A6B" w:sz="18" w:space="10"/>
        </w:pBdr>
        <w:spacing w:after="180" w:line="276"/>
        <w:ind w:left="170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What drives the collapse is fourteen ZIP codes.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They are all low-Black and twelve of them are in Texas; adding them to the comparison group moves the estimate from +17.5¢ to +3.2¢. A result that moves by a factor of five on fourteen observations is not a stable estimate. It was never statistically significant — t +0.96 clustered at its strongest — and it is not robust either.</w:t>
      </w:r>
    </w:p>
    <w:p>
      <w:pPr>
        <w:spacing w:after="140" w:line="276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Differencing the two retailers at the same ZIP does remove everything common to the location — freight, local demand, competition, income, urbanicity, and the federal Class I differential — and that is why the comparison is worth running at all. But its value depends on both chains being measured in the same places </w:t>
      </w:r>
      <w:r>
        <w:rPr>
          <w:rFonts w:ascii="Cambria" w:cs="Cambria" w:eastAsia="Cambria" w:hAnsi="Cambria"/>
          <w:i/>
          <w:iCs/>
          <w:color w:val="1A1A1A"/>
          <w:sz w:val="21"/>
          <w:szCs w:val="21"/>
        </w:rPr>
        <w:t xml:space="preserve">at the same time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, and Aldi's milk prices move: across the two collections the correlation is only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+0.780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with 39% of ZIPs identical, and one store was observed moving all five of its fluid-milk prices within thirty minutes while its seventeen non-milk prices held to the cent.</w:t>
      </w:r>
    </w:p>
    <w:p>
      <w:pPr>
        <w:spacing w:after="140" w:line="276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Aldi on its own terms remains flat to slightly negative in the pooled data, and never approaches significance in any specification.</w:t>
      </w:r>
    </w:p>
    <w:p>
      <w:pPr>
        <w:spacing w:after="140" w:line="276"/>
      </w:pPr>
      <w:r>
        <w:rPr>
          <w:rFonts w:ascii="Cambria" w:cs="Cambria" w:eastAsia="Cambria" w:hAnsi="Cambria"/>
          <w:color w:val="555555"/>
          <w:sz w:val="20"/>
          <w:szCs w:val="20"/>
        </w:rPr>
        <w:t xml:space="preserve">Assumption: absent any racial gradient the Walmart-minus-Aldi spread would be constant across ZIP codes. The two chains price different private labels at different levels — Aldi is a discounter and the average spread is 72¢–97¢ — so the </w:t>
      </w:r>
      <w:r>
        <w:rPr>
          <w:rFonts w:ascii="Cambria" w:cs="Cambria" w:eastAsia="Cambria" w:hAnsi="Cambria"/>
          <w:i/>
          <w:iCs/>
          <w:color w:val="555555"/>
          <w:sz w:val="20"/>
          <w:szCs w:val="20"/>
        </w:rPr>
        <w:t xml:space="preserve">level</w:t>
      </w:r>
      <w:r>
        <w:rPr>
          <w:rFonts w:ascii="Cambria" w:cs="Cambria" w:eastAsia="Cambria" w:hAnsi="Cambria"/>
          <w:color w:val="555555"/>
          <w:sz w:val="20"/>
          <w:szCs w:val="20"/>
        </w:rPr>
        <w:t xml:space="preserve"> of that spread carries no meaning. Only its variation with racial composition does.</w:t>
      </w:r>
    </w:p>
    <w:p>
      <w:pPr>
        <w:pStyle w:val="Heading2"/>
        <w:spacing w:after="150" w:before="340"/>
      </w:pPr>
      <w:r>
        <w:rPr>
          <w:rFonts w:ascii="Calibri" w:cs="Calibri" w:eastAsia="Calibri" w:hAnsi="Calibri"/>
          <w:b/>
          <w:bCs/>
          <w:color w:val="1B4A6B"/>
          <w:sz w:val="26"/>
          <w:szCs w:val="26"/>
        </w:rPr>
        <w:t xml:space="preserve">6. Can the two chains price differently? Both can.</w:t>
      </w:r>
    </w:p>
    <w:p>
      <w:pPr>
        <w:spacing w:after="140" w:line="276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A natural explanation for §5 would be that the chains are built differently — that Aldi prices in broad zones and so cannot vary by neighbourhood, while Walmart prices store by store and can.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That explanation was tested and it is wrong.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The two chains disperse their milk prices almost identically:</w:t>
      </w:r>
    </w:p>
    <w:tbl>
      <w:tblPr>
        <w:tblW w:type="dxa" w:w="9360"/>
        <w:tblBorders>
          <w:top w:val="single" w:color="9AA7B2" w:sz="6"/>
          <w:left w:val="none" w:color="FFFFFF" w:sz="0"/>
          <w:bottom w:val="single" w:color="9AA7B2" w:sz="6"/>
          <w:right w:val="none" w:color="FFFFFF" w:sz="0"/>
          <w:insideH w:val="single" w:color="D6DDE3" w:sz="2"/>
          <w:insideV w:val="none" w:color="FFFFFF" w:sz="0"/>
        </w:tblBorders>
      </w:tblPr>
      <w:tblGrid>
        <w:gridCol w:w="3182"/>
        <w:gridCol w:w="2059"/>
        <w:gridCol w:w="2059"/>
        <w:gridCol w:w="2060"/>
      </w:tblGrid>
      <w:tr>
        <w:trPr>
          <w:tblHeader/>
        </w:trPr>
        <w:tc>
          <w:tcPr>
            <w:tcW w:type="dxa" w:w="3182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</w:p>
        </w:tc>
        <w:tc>
          <w:tcPr>
            <w:tcW w:type="dxa" w:w="2059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Distinct prices nationally</w:t>
            </w:r>
          </w:p>
        </w:tc>
        <w:tc>
          <w:tcPr>
            <w:tcW w:type="dxa" w:w="2059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Median per state</w:t>
            </w:r>
          </w:p>
        </w:tc>
        <w:tc>
          <w:tcPr>
            <w:tcW w:type="dxa" w:w="2060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Standard deviation</w:t>
            </w:r>
          </w:p>
        </w:tc>
      </w:tr>
      <w:tr>
        <w:tc>
          <w:tcPr>
            <w:tcW w:type="dxa" w:w="31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Aldi — 1,333 ZIPs, 12 states</w:t>
            </w:r>
          </w:p>
        </w:tc>
        <w:tc>
          <w:tcPr>
            <w:tcW w:type="dxa" w:w="20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63</w:t>
            </w:r>
          </w:p>
        </w:tc>
        <w:tc>
          <w:tcPr>
            <w:tcW w:type="dxa" w:w="20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21</w:t>
            </w:r>
          </w:p>
        </w:tc>
        <w:tc>
          <w:tcPr>
            <w:tcW w:type="dxa" w:w="20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$0.597</w:t>
            </w:r>
          </w:p>
        </w:tc>
      </w:tr>
      <w:tr>
        <w:tc>
          <w:tcPr>
            <w:tcW w:type="dxa" w:w="31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Walmart — 3,768 ZIPs, 43 states</w:t>
            </w:r>
          </w:p>
        </w:tc>
        <w:tc>
          <w:tcPr>
            <w:tcW w:type="dxa" w:w="20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177</w:t>
            </w:r>
          </w:p>
        </w:tc>
        <w:tc>
          <w:tcPr>
            <w:tcW w:type="dxa" w:w="20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21</w:t>
            </w:r>
          </w:p>
        </w:tc>
        <w:tc>
          <w:tcPr>
            <w:tcW w:type="dxa" w:w="20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$0.588</w:t>
            </w:r>
          </w:p>
        </w:tc>
      </w:tr>
    </w:tbl>
    <w:p>
      <w:pPr>
        <w:spacing w:after="110"/>
      </w:pPr>
    </w:p>
    <w:p>
      <w:pPr>
        <w:spacing w:after="140" w:line="276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Aldi varies its milk price across stores just as freely as Walmart does — a median of 21 distinct prices per state at each chain, and near-identical dispersion. Aldi's storefront does expose a “zone” identifier, but it is a service and delivery zone rather than a price zone: 32% of zones carry more than one price, one zone spans $2.56, and two ZIP codes sharing a single zone were observed at $2.85 and $5.85 because they resolve to different stores.</w:t>
      </w:r>
    </w:p>
    <w:p>
      <w:pPr>
        <w:pBdr>
          <w:left w:val="single" w:color="1B4A6B" w:sz="18" w:space="10"/>
        </w:pBdr>
        <w:spacing w:after="180" w:line="276"/>
        <w:ind w:left="170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This strengthens §5 rather than weakening it.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If Aldi were structurally incapable of pricing on neighbourhood, its flat-to-negative gradient would be uninformative — a constraint, not a choice. Because Aldi has the same capacity to vary that Walmart has and still moves the other way, the competing architectural explanation for the difference is removed.</w:t>
      </w:r>
    </w:p>
    <w:p>
      <w:pPr>
        <w:spacing w:after="140" w:line="276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What remains distinctive about Walmart is not </w:t>
      </w:r>
      <w:r>
        <w:rPr>
          <w:rFonts w:ascii="Cambria" w:cs="Cambria" w:eastAsia="Cambria" w:hAnsi="Cambria"/>
          <w:i/>
          <w:iCs/>
          <w:color w:val="1A1A1A"/>
          <w:sz w:val="21"/>
          <w:szCs w:val="21"/>
        </w:rPr>
        <w:t xml:space="preserve">whether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it can vary prices but </w:t>
      </w:r>
      <w:r>
        <w:rPr>
          <w:rFonts w:ascii="Cambria" w:cs="Cambria" w:eastAsia="Cambria" w:hAnsi="Cambria"/>
          <w:i/>
          <w:iCs/>
          <w:color w:val="1A1A1A"/>
          <w:sz w:val="21"/>
          <w:szCs w:val="21"/>
        </w:rPr>
        <w:t xml:space="preserve">which product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it varies. Across all 92 South Carolina stores, Great Value whole milk took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25 distinct prices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while sour cream, mozzarella, Greek yogurt, eggs and canned green beans each took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exactly one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statewide. Nationally whole milk takes 17 distinct prices, 1% milk 17 and chocolate 19, while every other basket item takes one or two. Two stores 2,800 miles apart — Sacramento and Ashburn, Virginia — price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8 of 13 items identically to the cent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and differ on milk. That is a comparison across products within one chain, and it forecloses the defence that all staples are priced locally: bread and eggs are not.</w:t>
      </w:r>
    </w:p>
    <w:p>
      <w:pPr>
        <w:pStyle w:val="Heading2"/>
        <w:spacing w:after="150" w:before="340"/>
      </w:pPr>
      <w:r>
        <w:rPr>
          <w:rFonts w:ascii="Calibri" w:cs="Calibri" w:eastAsia="Calibri" w:hAnsi="Calibri"/>
          <w:b/>
          <w:bCs/>
          <w:color w:val="1B4A6B"/>
          <w:sz w:val="26"/>
          <w:szCs w:val="26"/>
        </w:rPr>
        <w:t xml:space="preserve">7. A further finding that is solid, and is not a disparity</w:t>
      </w:r>
    </w:p>
    <w:p>
      <w:pPr>
        <w:spacing w:after="140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The affordability gap is real, and it is income rather than price.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Milk cost as a share of household income rises steeply with the Black share of a ZIP: +0.0029 percentage points per point, t +11.9, with state fixed effects. But over the same stores the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price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coefficient is negative (−0.0037, t −7.1) while median income falls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$359 per percentage point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(t −12.9). The disparity is entirely in the denominator. That is a substantial finding about a necessity, but bread or rent would produce the same coefficient — it is a statement about income inequality, not about pricing conduct.</w:t>
      </w:r>
    </w:p>
    <w:p>
      <w:pPr>
        <w:spacing w:after="140" w:line="276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For scale: Pennsylvania and New Jersey set statutory minimum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retail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milk prices, and stores there average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$4.75/gallon against $3.47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elsewhere — a $1.28 gap, roughly five times the retailer difference measured in §5. State regulation moves milk prices far more than anything else observed in this data.</w:t>
      </w:r>
    </w:p>
    <w:p>
      <w:pPr>
        <w:pStyle w:val="Heading2"/>
        <w:spacing w:after="150" w:before="340"/>
      </w:pPr>
      <w:r>
        <w:rPr>
          <w:rFonts w:ascii="Calibri" w:cs="Calibri" w:eastAsia="Calibri" w:hAnsi="Calibri"/>
          <w:b/>
          <w:bCs/>
          <w:color w:val="1B4A6B"/>
          <w:sz w:val="26"/>
          <w:szCs w:val="26"/>
        </w:rPr>
        <w:t xml:space="preserve">8. What can and cannot be said</w:t>
      </w:r>
    </w:p>
    <w:p>
      <w:pPr>
        <w:spacing w:after="140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Supported: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in low-income rural areas, Walmart milk prices average 19¢/gallon higher in ZIP codes at least 30% Black than in comparable ZIPs under 10% Black, matched on income and urbanicity; roughly half survives within-state comparison and it is positive in 7 of 9 states; on matched ZIP codes Walmart's gap is positive while Aldi's is negative in both collection vintages, a difference of 16¢–22¢ that is directionally consistent but unstable in magnitude and never significant; and fluid milk is the one product Walmart prices store by store while pricing adjacent dairy nationally.</w:t>
      </w:r>
    </w:p>
    <w:p>
      <w:pPr>
        <w:spacing w:after="140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Not supported: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that the pattern holds generally — in urban areas it reverses; that it is statistically robust — neither the single-chain gradient nor the retailer difference survives clustering, and the single-chain estimate reverses sign under a finer geographic control; or that it reflects any pricing practice, policy or intent, none of which has been observed. Nor does any argument here rest on pricing architecture: both chains vary milk prices store by store to a near-identical degree. All measures are ZIP-level and ecological; none describes an individual transaction.</w:t>
      </w:r>
    </w:p>
    <w:p>
      <w:pPr>
        <w:pBdr>
          <w:left w:val="single" w:color="1B4A6B" w:sz="18" w:space="10"/>
        </w:pBdr>
        <w:spacing w:after="180" w:line="276"/>
        <w:ind w:left="170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The honest characterisation is neither “robust” nor “dead.”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There is a consistent pattern in a defined segment, and a control retailer in the same locations moving the other way. There is also no result here that survives conventional significance testing once clustering is applied. Both halves must travel together.</w:t>
      </w:r>
    </w:p>
    <w:p>
      <w:pPr>
        <w:pStyle w:val="Heading2"/>
        <w:spacing w:after="150" w:before="340"/>
      </w:pPr>
      <w:r>
        <w:rPr>
          <w:rFonts w:ascii="Calibri" w:cs="Calibri" w:eastAsia="Calibri" w:hAnsi="Calibri"/>
          <w:b/>
          <w:bCs/>
          <w:color w:val="1B4A6B"/>
          <w:sz w:val="26"/>
          <w:szCs w:val="26"/>
        </w:rPr>
        <w:t xml:space="preserve">9. Limitations</w:t>
      </w:r>
    </w:p>
    <w:p>
      <w:pPr>
        <w:pStyle w:val="ListParagraph"/>
        <w:numPr>
          <w:ilvl w:val="0"/>
          <w:numId w:val="2"/>
        </w:numPr>
        <w:spacing w:after="95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Twelve state clusters.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This is the binding constraint on every significance test in §5, and the reason a 24¢ difference-in-differences returns t = +0.96.</w:t>
      </w:r>
    </w:p>
    <w:p>
      <w:pPr>
        <w:pStyle w:val="ListParagraph"/>
        <w:numPr>
          <w:ilvl w:val="0"/>
          <w:numId w:val="2"/>
        </w:numPr>
        <w:spacing w:after="95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Data provenance.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Both price series come from a single collection pipeline that has not been independently reproduced. Commercial scraping tools return Walmart's national online price rather than store shelf prices — re-verified in September 2026, with 1 of 8 stores matching a known shelf price and Pennsylvania returning a figure below its own statutory minimum. A sourcing failure would affect both retailers, though not necessarily equally.</w:t>
      </w:r>
    </w:p>
    <w:p>
      <w:pPr>
        <w:pStyle w:val="ListParagraph"/>
        <w:numPr>
          <w:ilvl w:val="0"/>
          <w:numId w:val="2"/>
        </w:numPr>
        <w:spacing w:after="95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Thin overlap.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In the key Walmart segment only 29 of 440 counties contain both comparison groups, which is what makes the county and ZIP3 controls unstable.</w:t>
      </w:r>
    </w:p>
    <w:p>
      <w:pPr>
        <w:pStyle w:val="ListParagraph"/>
        <w:numPr>
          <w:ilvl w:val="0"/>
          <w:numId w:val="2"/>
        </w:numPr>
        <w:spacing w:after="95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Uneven Aldi coverage.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Texas (336 ZIPs) and California (189) dominate the Aldi panel overall, though the low-income rural cell is better balanced — NC 38, AR 38, LA 36, GA 35, MS 32, TN 30, AL 28, TX 27.</w:t>
      </w:r>
    </w:p>
    <w:p>
      <w:pPr>
        <w:pStyle w:val="ListParagraph"/>
        <w:numPr>
          <w:ilvl w:val="0"/>
          <w:numId w:val="2"/>
        </w:numPr>
        <w:spacing w:after="95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Product comparability.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Walmart Great Value whole gallon against Aldi's own-label whole gallon: comparable in category, not identical goods.</w:t>
      </w:r>
    </w:p>
    <w:p>
      <w:pPr>
        <w:pStyle w:val="ListParagraph"/>
        <w:numPr>
          <w:ilvl w:val="0"/>
          <w:numId w:val="2"/>
        </w:numPr>
        <w:spacing w:after="95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Single snapshot.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Prices are one collection, not a time series, so promotional timing cannot be separated from base price.</w:t>
      </w:r>
    </w:p>
    <w:p>
      <w:pPr>
        <w:spacing w:after="140" w:line="276"/>
      </w:pPr>
      <w:r>
        <w:rPr>
          <w:rFonts w:ascii="Cambria" w:cs="Cambria" w:eastAsia="Cambria" w:hAnsi="Cambria"/>
          <w:color w:val="555555"/>
          <w:sz w:val="20"/>
          <w:szCs w:val="20"/>
        </w:rPr>
        <w:t xml:space="preserve">Method: ordinary least squares on store- and ZIP-level shelf prices with median household income and log population controls; fixed effects at state, ZIP3, county or Aldi pricing zone as stated; standard errors clustered on state, or on zone where noted. Stratified comparisons use income quartiles interacted with Census urban/rural classification. Eight states are excluded from the Walmart panel: Pennsylvania and New Jersey (statutory minimum retail milk prices), Maine, North Dakota, Virginia and Montana (classified pricing reaching retail), and Alaska and Hawaii (non-contiguous).</w:t>
      </w:r>
    </w:p>
    <w:sectPr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2026-09-16T14:07:03.250Z</dcterms:created>
  <dcterms:modified xsi:type="dcterms:W3CDTF">2026-09-16T14:07:03.259Z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