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DATED</w:t>
        <w:tab/>
        <w:t xml:space="preserve">         </w:t>
      </w: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002">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3">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4">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5">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6">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7">
      <w:pPr>
        <w:jc w:val="both"/>
        <w:rPr>
          <w:rFonts w:ascii="Arial" w:cs="Arial" w:eastAsia="Arial" w:hAnsi="Arial"/>
          <w:b w:val="1"/>
          <w:bCs w:val="1"/>
          <w:sz w:val="20"/>
          <w:szCs w:val="20"/>
        </w:rPr>
      </w:pPr>
      <w:r w:rsidDel="00000000" w:rsidR="00000000" w:rsidRPr="00000000">
        <w:rPr>
          <w:rtl w:val="0"/>
        </w:rPr>
      </w:r>
    </w:p>
    <w:tbl>
      <w:tblPr>
        <w:tblStyle w:val="Table1"/>
        <w:tblW w:w="4946.0" w:type="dxa"/>
        <w:jc w:val="center"/>
        <w:tblLayout w:type="fixed"/>
        <w:tblLook w:val="0000"/>
      </w:tblPr>
      <w:tblGrid>
        <w:gridCol w:w="985"/>
        <w:gridCol w:w="3961"/>
        <w:tblGridChange w:id="0">
          <w:tblGrid>
            <w:gridCol w:w="985"/>
            <w:gridCol w:w="3961"/>
          </w:tblGrid>
        </w:tblGridChange>
      </w:tblGrid>
      <w:tr>
        <w:trPr>
          <w:cantSplit w:val="0"/>
          <w:trHeight w:val="507" w:hRule="atLeast"/>
          <w:tblHeader w:val="0"/>
        </w:trPr>
        <w:tc>
          <w:tcPr/>
          <w:p w:rsidR="00000000" w:rsidDel="00000000" w:rsidP="00000000" w:rsidRDefault="00000000" w:rsidRPr="00000000" w14:paraId="00000008">
            <w:pPr>
              <w:pStyle w:val="Title"/>
              <w:jc w:val="both"/>
              <w:rPr/>
            </w:pPr>
            <w:r w:rsidDel="00000000" w:rsidR="00000000" w:rsidRPr="00000000">
              <w:rPr>
                <w:rtl w:val="0"/>
              </w:rPr>
              <w:t xml:space="preserve">1.</w:t>
            </w:r>
          </w:p>
        </w:tc>
        <w:tc>
          <w:tcPr/>
          <w:p w:rsidR="00000000" w:rsidDel="00000000" w:rsidP="00000000" w:rsidRDefault="00000000" w:rsidRPr="00000000" w14:paraId="00000009">
            <w:pPr>
              <w:pStyle w:val="Title"/>
              <w:jc w:val="both"/>
              <w:rPr/>
            </w:pPr>
            <w:r w:rsidDel="00000000" w:rsidR="00000000" w:rsidRPr="00000000">
              <w:rPr>
                <w:rtl w:val="0"/>
              </w:rPr>
              <w:t xml:space="preserve">THE NHS CONFEDERATION</w:t>
            </w:r>
          </w:p>
          <w:p w:rsidR="00000000" w:rsidDel="00000000" w:rsidP="00000000" w:rsidRDefault="00000000" w:rsidRPr="00000000" w14:paraId="0000000A">
            <w:pPr>
              <w:pStyle w:val="Title"/>
              <w:jc w:val="both"/>
              <w:rPr/>
            </w:pPr>
            <w:r w:rsidDel="00000000" w:rsidR="00000000" w:rsidRPr="00000000">
              <w:rPr>
                <w:rtl w:val="0"/>
              </w:rPr>
              <w:t xml:space="preserve"> </w:t>
            </w:r>
          </w:p>
        </w:tc>
      </w:tr>
      <w:tr>
        <w:trPr>
          <w:cantSplit w:val="0"/>
          <w:trHeight w:val="507" w:hRule="atLeast"/>
          <w:tblHeader w:val="0"/>
        </w:trPr>
        <w:tc>
          <w:tcPr/>
          <w:p w:rsidR="00000000" w:rsidDel="00000000" w:rsidP="00000000" w:rsidRDefault="00000000" w:rsidRPr="00000000" w14:paraId="0000000B">
            <w:pPr>
              <w:spacing w:line="480" w:lineRule="auto"/>
              <w:jc w:val="both"/>
              <w:rPr>
                <w:rFonts w:ascii="Arial" w:cs="Arial" w:eastAsia="Arial" w:hAnsi="Arial"/>
                <w:b w:val="1"/>
                <w:bCs w:val="1"/>
                <w:sz w:val="20"/>
                <w:szCs w:val="20"/>
              </w:rPr>
            </w:pPr>
            <w:r w:rsidDel="00000000" w:rsidR="00000000" w:rsidRPr="00000000">
              <w:rPr>
                <w:rtl w:val="0"/>
              </w:rPr>
            </w:r>
          </w:p>
        </w:tc>
        <w:tc>
          <w:tcPr/>
          <w:p w:rsidR="00000000" w:rsidDel="00000000" w:rsidP="00000000" w:rsidRDefault="00000000" w:rsidRPr="00000000" w14:paraId="0000000C">
            <w:pPr>
              <w:spacing w:line="48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and</w:t>
            </w:r>
          </w:p>
        </w:tc>
      </w:tr>
      <w:tr>
        <w:trPr>
          <w:cantSplit w:val="0"/>
          <w:trHeight w:val="507" w:hRule="atLeast"/>
          <w:tblHeader w:val="0"/>
        </w:trPr>
        <w:tc>
          <w:tcPr/>
          <w:p w:rsidR="00000000" w:rsidDel="00000000" w:rsidP="00000000" w:rsidRDefault="00000000" w:rsidRPr="00000000" w14:paraId="0000000D">
            <w:pPr>
              <w:pStyle w:val="Title"/>
              <w:jc w:val="both"/>
              <w:rPr/>
            </w:pPr>
            <w:r w:rsidDel="00000000" w:rsidR="00000000" w:rsidRPr="00000000">
              <w:rPr>
                <w:rtl w:val="0"/>
              </w:rPr>
              <w:t xml:space="preserve">2.</w:t>
            </w:r>
          </w:p>
        </w:tc>
        <w:tc>
          <w:tcPr/>
          <w:p w:rsidR="00000000" w:rsidDel="00000000" w:rsidP="00000000" w:rsidRDefault="00000000" w:rsidRPr="00000000" w14:paraId="0000000E">
            <w:pPr>
              <w:pStyle w:val="Title"/>
              <w:jc w:val="both"/>
              <w:rPr/>
            </w:pPr>
            <w:r w:rsidDel="00000000" w:rsidR="00000000" w:rsidRPr="00000000">
              <w:rPr>
                <w:highlight w:val="yellow"/>
                <w:rtl w:val="0"/>
              </w:rPr>
              <w:t xml:space="preserve">University Hospitals Bristol and Weston NHS Foundation Trust</w:t>
            </w:r>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tc>
      </w:tr>
      <w:tr>
        <w:trPr>
          <w:cantSplit w:val="0"/>
          <w:trHeight w:val="507" w:hRule="atLeast"/>
          <w:tblHeader w:val="0"/>
        </w:trPr>
        <w:tc>
          <w:tcPr/>
          <w:p w:rsidR="00000000" w:rsidDel="00000000" w:rsidP="00000000" w:rsidRDefault="00000000" w:rsidRPr="00000000" w14:paraId="00000012">
            <w:pPr>
              <w:pStyle w:val="Title"/>
              <w:jc w:val="both"/>
              <w:rPr/>
            </w:pPr>
            <w:r w:rsidDel="00000000" w:rsidR="00000000" w:rsidRPr="00000000">
              <w:rPr>
                <w:rtl w:val="0"/>
              </w:rPr>
            </w:r>
          </w:p>
        </w:tc>
        <w:tc>
          <w:tcPr/>
          <w:p w:rsidR="00000000" w:rsidDel="00000000" w:rsidP="00000000" w:rsidRDefault="00000000" w:rsidRPr="00000000" w14:paraId="00000013">
            <w:pPr>
              <w:pStyle w:val="Title"/>
              <w:jc w:val="both"/>
              <w:rPr/>
            </w:pPr>
            <w:r w:rsidDel="00000000" w:rsidR="00000000" w:rsidRPr="00000000">
              <w:rPr>
                <w:rtl w:val="0"/>
              </w:rPr>
            </w:r>
          </w:p>
        </w:tc>
      </w:tr>
    </w:tbl>
    <w:p w:rsidR="00000000" w:rsidDel="00000000" w:rsidP="00000000" w:rsidRDefault="00000000" w:rsidRPr="00000000" w14:paraId="00000014">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5">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6">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7">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8">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tbl>
      <w:tblPr>
        <w:tblStyle w:val="Table2"/>
        <w:tblW w:w="492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920"/>
        <w:tblGridChange w:id="0">
          <w:tblGrid>
            <w:gridCol w:w="4920"/>
          </w:tblGrid>
        </w:tblGridChange>
      </w:tblGrid>
      <w:tr>
        <w:trPr>
          <w:cantSplit w:val="0"/>
          <w:tblHeader w:val="0"/>
        </w:trPr>
        <w:tc>
          <w:tcPr/>
          <w:p w:rsidR="00000000" w:rsidDel="00000000" w:rsidP="00000000" w:rsidRDefault="00000000" w:rsidRPr="00000000" w14:paraId="0000001A">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B">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C">
            <w:pPr>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MEMORANDUM OF UNDERSTANDING</w:t>
            </w:r>
          </w:p>
          <w:p w:rsidR="00000000" w:rsidDel="00000000" w:rsidP="00000000" w:rsidRDefault="00000000" w:rsidRPr="00000000" w14:paraId="0000001D">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for personalised digital care plans for</w:t>
            </w:r>
          </w:p>
          <w:p w:rsidR="00000000" w:rsidDel="00000000" w:rsidP="00000000" w:rsidRDefault="00000000" w:rsidRPr="00000000" w14:paraId="0000001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acute painful sickle cell care episodes</w:t>
            </w:r>
          </w:p>
          <w:p w:rsidR="00000000" w:rsidDel="00000000" w:rsidP="00000000" w:rsidRDefault="00000000" w:rsidRPr="00000000" w14:paraId="00000020">
            <w:pPr>
              <w:jc w:val="center"/>
              <w:rPr>
                <w:rFonts w:ascii="Arial" w:cs="Arial" w:eastAsia="Arial" w:hAnsi="Arial"/>
                <w:b w:val="1"/>
                <w:bCs w:val="1"/>
                <w:sz w:val="20"/>
                <w:szCs w:val="20"/>
                <w:highlight w:val="yellow"/>
              </w:rPr>
            </w:pPr>
            <w:r w:rsidDel="00000000" w:rsidR="00000000" w:rsidRPr="00000000">
              <w:rPr>
                <w:rtl w:val="0"/>
              </w:rPr>
            </w:r>
          </w:p>
          <w:p w:rsidR="00000000" w:rsidDel="00000000" w:rsidP="00000000" w:rsidRDefault="00000000" w:rsidRPr="00000000" w14:paraId="00000021">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2">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3">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4">
            <w:pPr>
              <w:jc w:val="both"/>
              <w:rPr>
                <w:rFonts w:ascii="Arial" w:cs="Arial" w:eastAsia="Arial" w:hAnsi="Arial"/>
                <w:b w:val="1"/>
                <w:bCs w:val="1"/>
                <w:sz w:val="20"/>
                <w:szCs w:val="20"/>
              </w:rPr>
            </w:pPr>
            <w:r w:rsidDel="00000000" w:rsidR="00000000" w:rsidRPr="00000000">
              <w:rPr>
                <w:rtl w:val="0"/>
              </w:rPr>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27">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BETWEEN </w:t>
      </w:r>
      <w:r w:rsidDel="00000000" w:rsidR="00000000" w:rsidRPr="00000000">
        <w:rPr>
          <w:rFonts w:ascii="Arial" w:cs="Arial" w:eastAsia="Arial" w:hAnsi="Arial"/>
          <w:b w:val="1"/>
          <w:bCs w:val="1"/>
          <w:color w:val="4472c4"/>
          <w:sz w:val="20"/>
          <w:szCs w:val="20"/>
          <w:highlight w:val="yellow"/>
          <w:rtl w:val="0"/>
        </w:rPr>
        <w:t xml:space="preserve">(Please delete where appropriate)</w:t>
      </w:r>
      <w:r w:rsidDel="00000000" w:rsidR="00000000" w:rsidRPr="00000000">
        <w:rPr>
          <w:rtl w:val="0"/>
        </w:rPr>
      </w:r>
    </w:p>
    <w:p w:rsidR="00000000" w:rsidDel="00000000" w:rsidP="00000000" w:rsidRDefault="00000000" w:rsidRPr="00000000" w14:paraId="00000028">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9">
      <w:pPr>
        <w:numPr>
          <w:ilvl w:val="0"/>
          <w:numId w:val="1"/>
        </w:numPr>
        <w:ind w:left="1080" w:hanging="720"/>
        <w:jc w:val="both"/>
        <w:rPr>
          <w:rFonts w:ascii="Arial" w:cs="Arial" w:eastAsia="Arial" w:hAnsi="Arial"/>
          <w:sz w:val="20"/>
          <w:szCs w:val="20"/>
        </w:rPr>
      </w:pPr>
      <w:bookmarkStart w:colFirst="0" w:colLast="0" w:name="_gjdgxs" w:id="0"/>
      <w:bookmarkEnd w:id="0"/>
      <w:r w:rsidDel="00000000" w:rsidR="00000000" w:rsidRPr="00000000">
        <w:rPr>
          <w:rFonts w:ascii="Arial" w:cs="Arial" w:eastAsia="Arial" w:hAnsi="Arial"/>
          <w:b w:val="1"/>
          <w:bCs w:val="1"/>
          <w:sz w:val="20"/>
          <w:szCs w:val="20"/>
          <w:rtl w:val="0"/>
        </w:rPr>
        <w:t xml:space="preserve">THE NHS CONFEDERATION</w:t>
      </w:r>
      <w:r w:rsidDel="00000000" w:rsidR="00000000" w:rsidRPr="00000000">
        <w:rPr>
          <w:rFonts w:ascii="Arial" w:cs="Arial" w:eastAsia="Arial" w:hAnsi="Arial"/>
          <w:sz w:val="20"/>
          <w:szCs w:val="20"/>
          <w:rtl w:val="0"/>
        </w:rPr>
        <w:t xml:space="preserve"> of</w:t>
      </w:r>
      <w:r w:rsidDel="00000000" w:rsidR="00000000" w:rsidRPr="00000000">
        <w:rPr>
          <w:color w:val="000000"/>
          <w:sz w:val="22"/>
          <w:szCs w:val="22"/>
          <w:rtl w:val="0"/>
        </w:rPr>
        <w:t xml:space="preserve"> </w:t>
      </w:r>
      <w:r w:rsidDel="00000000" w:rsidR="00000000" w:rsidRPr="00000000">
        <w:rPr>
          <w:rFonts w:ascii="Arial" w:cs="Arial" w:eastAsia="Arial" w:hAnsi="Arial"/>
          <w:sz w:val="20"/>
          <w:szCs w:val="20"/>
          <w:rtl w:val="0"/>
        </w:rPr>
        <w:t xml:space="preserve">2nd Floor, 18 Smith Square, London, England, SW1P 3HZ, Company No. 04358614 including its successors and assigns; and</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76" w:lineRule="auto"/>
        <w:ind w:left="108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color w:val="0070c0"/>
          <w:sz w:val="20"/>
          <w:szCs w:val="20"/>
          <w:highlight w:val="yellow"/>
          <w:rtl w:val="0"/>
        </w:rPr>
        <w:t xml:space="preserve">University Hospitals Bristol and Weston NHS Foundation Trust </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08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spacing w:before="240" w:lineRule="auto"/>
        <w:ind w:left="720" w:hanging="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E">
      <w:pPr>
        <w:jc w:val="both"/>
        <w:rPr>
          <w:rFonts w:ascii="Arial" w:cs="Arial" w:eastAsia="Arial" w:hAnsi="Arial"/>
          <w:b w:val="1"/>
          <w:bCs w:val="1"/>
        </w:rPr>
      </w:pPr>
      <w:r w:rsidDel="00000000" w:rsidR="00000000" w:rsidRPr="00000000">
        <w:rPr>
          <w:rFonts w:ascii="Arial" w:cs="Arial" w:eastAsia="Arial" w:hAnsi="Arial"/>
          <w:b w:val="1"/>
          <w:bCs w:val="1"/>
          <w:sz w:val="20"/>
          <w:szCs w:val="20"/>
          <w:rtl w:val="0"/>
        </w:rPr>
        <w:t xml:space="preserve">BACKGROUND</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 xml:space="preserve">The parties will collaborate in delivering the pilot of a digital care plan for Sickle Cell patients as an intervention to address structural racism in care.</w:t>
      </w:r>
      <w:r w:rsidDel="00000000" w:rsidR="00000000" w:rsidRPr="00000000">
        <w:rPr>
          <w:rtl w:val="0"/>
        </w:rPr>
      </w:r>
    </w:p>
    <w:p w:rsidR="00000000" w:rsidDel="00000000" w:rsidP="00000000" w:rsidRDefault="00000000" w:rsidRPr="00000000" w14:paraId="0000003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2">
      <w:pPr>
        <w:rPr>
          <w:rFonts w:ascii="Arial" w:cs="Arial" w:eastAsia="Arial" w:hAnsi="Arial"/>
          <w:sz w:val="20"/>
          <w:szCs w:val="20"/>
        </w:rPr>
      </w:pPr>
      <w:r w:rsidDel="00000000" w:rsidR="00000000" w:rsidRPr="00000000">
        <w:rPr>
          <w:rFonts w:ascii="Arial" w:cs="Arial" w:eastAsia="Arial" w:hAnsi="Arial"/>
          <w:sz w:val="20"/>
          <w:szCs w:val="20"/>
          <w:rtl w:val="0"/>
        </w:rPr>
        <w:t xml:space="preserve">This memorandum of understanding (‘MOU’) sets out the terms that will govern the partnership. The MOU is not intended to be legally binding except as specifically set out below.</w:t>
      </w:r>
    </w:p>
    <w:p w:rsidR="00000000" w:rsidDel="00000000" w:rsidP="00000000" w:rsidRDefault="00000000" w:rsidRPr="00000000" w14:paraId="0000003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4">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35">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w:t>
        <w:tab/>
        <w:t xml:space="preserve">PURPOSE, SCOPE, AND KEY OBJECTIVES</w:t>
      </w:r>
    </w:p>
    <w:p w:rsidR="00000000" w:rsidDel="00000000" w:rsidP="00000000" w:rsidRDefault="00000000" w:rsidRPr="00000000" w14:paraId="00000036">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7">
      <w:pPr>
        <w:numPr>
          <w:ilvl w:val="1"/>
          <w:numId w:val="4"/>
        </w:numPr>
        <w:spacing w:after="200" w:line="276" w:lineRule="auto"/>
        <w:ind w:left="705"/>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Background</w:t>
      </w:r>
    </w:p>
    <w:p w:rsidR="00000000" w:rsidDel="00000000" w:rsidP="00000000" w:rsidRDefault="00000000" w:rsidRPr="00000000" w14:paraId="00000038">
      <w:pPr>
        <w:spacing w:after="200" w:line="276" w:lineRule="auto"/>
        <w:ind w:left="705"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Sickle cell patients do not reliably receive timely analgesia during acute painful episodes in the NHS and too often experience poor care. </w:t>
      </w:r>
    </w:p>
    <w:p w:rsidR="00000000" w:rsidDel="00000000" w:rsidP="00000000" w:rsidRDefault="00000000" w:rsidRPr="00000000" w14:paraId="00000039">
      <w:pPr>
        <w:spacing w:after="200" w:line="276" w:lineRule="auto"/>
        <w:ind w:left="705"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 research carried out by the Observatory in 2022, in collaboration with UHBW, we showed that digital personalised care plans show promise for improving access to, experience of, and accountability of care but have not been widely tested or adopted. </w:t>
      </w:r>
    </w:p>
    <w:p w:rsidR="00000000" w:rsidDel="00000000" w:rsidP="00000000" w:rsidRDefault="00000000" w:rsidRPr="00000000" w14:paraId="0000003A">
      <w:pPr>
        <w:numPr>
          <w:ilvl w:val="1"/>
          <w:numId w:val="4"/>
        </w:numPr>
        <w:spacing w:after="200" w:line="276" w:lineRule="auto"/>
        <w:ind w:left="705"/>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Plan</w:t>
        <w:br w:type="textWrapping"/>
        <w:br w:type="textWrapping"/>
      </w:r>
      <w:r w:rsidDel="00000000" w:rsidR="00000000" w:rsidRPr="00000000">
        <w:rPr>
          <w:rFonts w:ascii="Arial" w:cs="Arial" w:eastAsia="Arial" w:hAnsi="Arial"/>
          <w:sz w:val="20"/>
          <w:szCs w:val="20"/>
          <w:rtl w:val="0"/>
        </w:rPr>
        <w:t xml:space="preserve">The Observatory Digital Sickle Cell programme is commissioning the build of a new digital service informed by our research to provide personalised sickle cell care plans, accessible by sickle cell services, patients, and medics in acute care settings.</w:t>
      </w:r>
    </w:p>
    <w:p w:rsidR="00000000" w:rsidDel="00000000" w:rsidP="00000000" w:rsidRDefault="00000000" w:rsidRPr="00000000" w14:paraId="0000003B">
      <w:pPr>
        <w:spacing w:after="200" w:line="276" w:lineRule="auto"/>
        <w:ind w:left="705" w:firstLine="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The Observatory will select a delivery partner who will deliver a new digital service for sickle cell care plans. We will be using Mainstream approaches to digital delivery that work well outside the NHS to develop this service at pace. Our private beta stage will include collaborating with care providers to invite selected patients to begin using the service, and test the effectiveness in improving care. </w:t>
      </w:r>
      <w:r w:rsidDel="00000000" w:rsidR="00000000" w:rsidRPr="00000000">
        <w:rPr>
          <w:rtl w:val="0"/>
        </w:rPr>
      </w:r>
    </w:p>
    <w:p w:rsidR="00000000" w:rsidDel="00000000" w:rsidP="00000000" w:rsidRDefault="00000000" w:rsidRPr="00000000" w14:paraId="0000003C">
      <w:pPr>
        <w:spacing w:after="200" w:line="276" w:lineRule="auto"/>
        <w:ind w:left="705" w:firstLine="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D">
      <w:pPr>
        <w:numPr>
          <w:ilvl w:val="1"/>
          <w:numId w:val="4"/>
        </w:numPr>
        <w:spacing w:after="200" w:line="276" w:lineRule="auto"/>
        <w:ind w:left="705"/>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Match Funding</w:t>
        <w:br w:type="textWrapping"/>
        <w:br w:type="textWrapping"/>
      </w:r>
      <w:r w:rsidDel="00000000" w:rsidR="00000000" w:rsidRPr="00000000">
        <w:rPr>
          <w:rFonts w:ascii="Arial" w:cs="Arial" w:eastAsia="Arial" w:hAnsi="Arial"/>
          <w:sz w:val="20"/>
          <w:szCs w:val="20"/>
          <w:rtl w:val="0"/>
        </w:rPr>
        <w:t xml:space="preserve">All partners will provide match funding of £200</w:t>
      </w:r>
      <w:r w:rsidDel="00000000" w:rsidR="00000000" w:rsidRPr="00000000">
        <w:rPr>
          <w:rFonts w:ascii="Arial" w:cs="Arial" w:eastAsia="Arial" w:hAnsi="Arial"/>
          <w:sz w:val="20"/>
          <w:szCs w:val="20"/>
          <w:rtl w:val="0"/>
        </w:rPr>
        <w:t xml:space="preserve">,000</w:t>
      </w:r>
      <w:r w:rsidDel="00000000" w:rsidR="00000000" w:rsidRPr="00000000">
        <w:rPr>
          <w:rFonts w:ascii="Arial" w:cs="Arial" w:eastAsia="Arial" w:hAnsi="Arial"/>
          <w:sz w:val="20"/>
          <w:szCs w:val="20"/>
          <w:rtl w:val="0"/>
        </w:rPr>
        <w:t xml:space="preserve"> and institutional support for a private beta to pilot, test and iterate the service. This match funding will be paid to the Observatory allowing a single institution to issue commercial contracts for delivery.</w:t>
      </w:r>
      <w:r w:rsidDel="00000000" w:rsidR="00000000" w:rsidRPr="00000000">
        <w:rPr>
          <w:rtl w:val="0"/>
        </w:rPr>
      </w:r>
    </w:p>
    <w:p w:rsidR="00000000" w:rsidDel="00000000" w:rsidP="00000000" w:rsidRDefault="00000000" w:rsidRPr="00000000" w14:paraId="0000003E">
      <w:pPr>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2.</w:t>
        <w:tab/>
        <w:t xml:space="preserve">DURATION</w:t>
      </w:r>
    </w:p>
    <w:p w:rsidR="00000000" w:rsidDel="00000000" w:rsidP="00000000" w:rsidRDefault="00000000" w:rsidRPr="00000000" w14:paraId="0000003F">
      <w:pPr>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40">
      <w:pPr>
        <w:ind w:left="720" w:hanging="720"/>
        <w:jc w:val="both"/>
        <w:rPr>
          <w:rFonts w:ascii="Arial" w:cs="Arial" w:eastAsia="Arial" w:hAnsi="Arial"/>
          <w:sz w:val="20"/>
          <w:szCs w:val="20"/>
          <w:highlight w:val="white"/>
        </w:rPr>
      </w:pPr>
      <w:r w:rsidDel="00000000" w:rsidR="00000000" w:rsidRPr="00000000">
        <w:rPr>
          <w:rFonts w:ascii="Arial" w:cs="Arial" w:eastAsia="Arial" w:hAnsi="Arial"/>
          <w:color w:val="000000"/>
          <w:sz w:val="20"/>
          <w:szCs w:val="20"/>
          <w:rtl w:val="0"/>
        </w:rPr>
        <w:t xml:space="preserve">2.1</w:t>
        <w:tab/>
      </w:r>
      <w:r w:rsidDel="00000000" w:rsidR="00000000" w:rsidRPr="00000000">
        <w:rPr>
          <w:rFonts w:ascii="Arial" w:cs="Arial" w:eastAsia="Arial" w:hAnsi="Arial"/>
          <w:color w:val="000000"/>
          <w:sz w:val="20"/>
          <w:szCs w:val="20"/>
          <w:highlight w:val="white"/>
          <w:rtl w:val="0"/>
        </w:rPr>
        <w:t xml:space="preserve">This Memorandum of Understanding will commence </w:t>
      </w:r>
      <w:r w:rsidDel="00000000" w:rsidR="00000000" w:rsidRPr="00000000">
        <w:rPr>
          <w:rFonts w:ascii="Arial" w:cs="Arial" w:eastAsia="Arial" w:hAnsi="Arial"/>
          <w:sz w:val="20"/>
          <w:szCs w:val="20"/>
          <w:highlight w:val="white"/>
          <w:rtl w:val="0"/>
        </w:rPr>
        <w:t xml:space="preserve">on June 1st 2026 and shall remain in force until September 30th 2028 subject to earlier termination in accordance with the provisions in this MOU. </w:t>
      </w:r>
    </w:p>
    <w:p w:rsidR="00000000" w:rsidDel="00000000" w:rsidP="00000000" w:rsidRDefault="00000000" w:rsidRPr="00000000" w14:paraId="00000041">
      <w:pPr>
        <w:ind w:left="720" w:hanging="720"/>
        <w:jc w:val="both"/>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42">
      <w:pPr>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2.2</w:t>
        <w:tab/>
        <w:t xml:space="preserve">The MOU will be reviewed by both parties in June 1st 2027.</w:t>
      </w:r>
    </w:p>
    <w:p w:rsidR="00000000" w:rsidDel="00000000" w:rsidP="00000000" w:rsidRDefault="00000000" w:rsidRPr="00000000" w14:paraId="00000043">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2.3</w:t>
        <w:tab/>
        <w:t xml:space="preserve">The MOU may be extended with the agreement of all parties. </w:t>
      </w:r>
    </w:p>
    <w:p w:rsidR="00000000" w:rsidDel="00000000" w:rsidP="00000000" w:rsidRDefault="00000000" w:rsidRPr="00000000" w14:paraId="00000045">
      <w:pP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46">
      <w:pP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47">
      <w:pPr>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3.</w:t>
        <w:tab/>
        <w:t xml:space="preserve">FINANCIAL ARRANGEMENTS (INVOICING AND PAYMENT TERMS)</w:t>
        <w:br w:type="textWrapping"/>
      </w:r>
      <w:r w:rsidDel="00000000" w:rsidR="00000000" w:rsidRPr="00000000">
        <w:rPr>
          <w:rtl w:val="0"/>
        </w:rPr>
      </w:r>
    </w:p>
    <w:p w:rsidR="00000000" w:rsidDel="00000000" w:rsidP="00000000" w:rsidRDefault="00000000" w:rsidRPr="00000000" w14:paraId="00000048">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9">
      <w:pPr>
        <w:numPr>
          <w:ilvl w:val="1"/>
          <w:numId w:val="1"/>
        </w:numPr>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partners will contribute match funding equally, and be liable for payment of all expenses incurred in the delivery of the programme equally.</w:t>
        <w:br w:type="textWrapping"/>
      </w:r>
    </w:p>
    <w:p w:rsidR="00000000" w:rsidDel="00000000" w:rsidP="00000000" w:rsidRDefault="00000000" w:rsidRPr="00000000" w14:paraId="0000004A">
      <w:pPr>
        <w:numPr>
          <w:ilvl w:val="1"/>
          <w:numId w:val="1"/>
        </w:numPr>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Observatory will invoice for match funding contribution as follows:</w:t>
      </w:r>
    </w:p>
    <w:p w:rsidR="00000000" w:rsidDel="00000000" w:rsidP="00000000" w:rsidRDefault="00000000" w:rsidRPr="00000000" w14:paraId="0000004B">
      <w:pPr>
        <w:ind w:left="1440" w:firstLine="0"/>
        <w:rPr>
          <w:rFonts w:ascii="Arial" w:cs="Arial" w:eastAsia="Arial" w:hAnsi="Arial"/>
          <w:b w:val="1"/>
          <w:bCs w:val="1"/>
          <w:sz w:val="20"/>
          <w:szCs w:val="20"/>
        </w:rPr>
      </w:pPr>
      <w:r w:rsidDel="00000000" w:rsidR="00000000" w:rsidRPr="00000000">
        <w:rPr>
          <w:rFonts w:ascii="Arial" w:cs="Arial" w:eastAsia="Arial" w:hAnsi="Arial"/>
          <w:sz w:val="20"/>
          <w:szCs w:val="20"/>
          <w:rtl w:val="0"/>
        </w:rPr>
        <w:br w:type="textWrapping"/>
        <w:t xml:space="preserve">50% Upon award of a delivery tender for the project </w:t>
        <w:br w:type="textWrapping"/>
        <w:t xml:space="preserve">50% Upon payment of the first major milestone of the delivery contract</w:t>
        <w:br w:type="textWrapping"/>
      </w:r>
      <w:r w:rsidDel="00000000" w:rsidR="00000000" w:rsidRPr="00000000">
        <w:rPr>
          <w:rtl w:val="0"/>
        </w:rPr>
      </w:r>
    </w:p>
    <w:p w:rsidR="00000000" w:rsidDel="00000000" w:rsidP="00000000" w:rsidRDefault="00000000" w:rsidRPr="00000000" w14:paraId="0000004C">
      <w:pPr>
        <w:numPr>
          <w:ilvl w:val="1"/>
          <w:numId w:val="1"/>
        </w:numPr>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Invoices will be paid within 30 days.</w:t>
        <w:br w:type="textWrapping"/>
      </w:r>
    </w:p>
    <w:p w:rsidR="00000000" w:rsidDel="00000000" w:rsidP="00000000" w:rsidRDefault="00000000" w:rsidRPr="00000000" w14:paraId="0000004D">
      <w:pPr>
        <w:numPr>
          <w:ilvl w:val="1"/>
          <w:numId w:val="1"/>
        </w:numPr>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Any financial commitments entered into as part of contracts signed to deliver this programme will remain binding on all parties. Should any of the parties seek to terminate this agreement early, they will remain liable for their equal share contribution to any work commissioned and undertaken as part of this programme for which payment is due.</w:t>
      </w:r>
    </w:p>
    <w:p w:rsidR="00000000" w:rsidDel="00000000" w:rsidP="00000000" w:rsidRDefault="00000000" w:rsidRPr="00000000" w14:paraId="0000004E">
      <w:pPr>
        <w:ind w:left="709" w:hanging="709"/>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4F">
      <w:pP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4.</w:t>
        <w:tab/>
        <w:t xml:space="preserve">BRANDING </w:t>
      </w:r>
    </w:p>
    <w:p w:rsidR="00000000" w:rsidDel="00000000" w:rsidP="00000000" w:rsidRDefault="00000000" w:rsidRPr="00000000" w14:paraId="00000050">
      <w:pP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51">
      <w:pPr>
        <w:ind w:left="709" w:hanging="709"/>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4.1</w:t>
        <w:tab/>
      </w:r>
      <w:r w:rsidDel="00000000" w:rsidR="00000000" w:rsidRPr="00000000">
        <w:rPr>
          <w:rFonts w:ascii="Arial" w:cs="Arial" w:eastAsia="Arial" w:hAnsi="Arial"/>
          <w:sz w:val="20"/>
          <w:szCs w:val="20"/>
          <w:rtl w:val="0"/>
        </w:rPr>
        <w:t xml:space="preserve">The Digital Service will require careful design to maximise the clinical impact, as such the role of the Observatory and delivery partners may not turn out to be the most effective core branding.</w:t>
      </w:r>
    </w:p>
    <w:p w:rsidR="00000000" w:rsidDel="00000000" w:rsidP="00000000" w:rsidRDefault="00000000" w:rsidRPr="00000000" w14:paraId="00000052">
      <w:pPr>
        <w:ind w:left="709" w:hanging="709"/>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3">
      <w:pPr>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4.2</w:t>
        <w:tab/>
        <w:t xml:space="preserve">The Digital service will be entirely transparent about the sources of funding, support and governance. The service will display the logos and support of the partners in an appropriate manner, as well as potentially other key supporters and stakeholders.</w:t>
      </w:r>
    </w:p>
    <w:p w:rsidR="00000000" w:rsidDel="00000000" w:rsidP="00000000" w:rsidRDefault="00000000" w:rsidRPr="00000000" w14:paraId="00000054">
      <w:pPr>
        <w:ind w:left="709" w:hanging="709"/>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55">
      <w:pPr>
        <w:ind w:left="709" w:hanging="709"/>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w:t>
        <w:tab/>
        <w:t xml:space="preserve">GOVERNANCE </w:t>
      </w:r>
    </w:p>
    <w:p w:rsidR="00000000" w:rsidDel="00000000" w:rsidP="00000000" w:rsidRDefault="00000000" w:rsidRPr="00000000" w14:paraId="00000056">
      <w:pPr>
        <w:ind w:left="709" w:hanging="709"/>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7">
      <w:pPr>
        <w:ind w:left="709" w:hanging="709"/>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5.1</w:t>
        <w:tab/>
        <w:t xml:space="preserve">The Observatory will convene a programme board to oversee the programme. </w:t>
      </w:r>
    </w:p>
    <w:p w:rsidR="00000000" w:rsidDel="00000000" w:rsidP="00000000" w:rsidRDefault="00000000" w:rsidRPr="00000000" w14:paraId="00000058">
      <w:pPr>
        <w:ind w:left="709" w:hanging="709"/>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9">
      <w:pPr>
        <w:ind w:left="709" w:hanging="709"/>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5.2</w:t>
        <w:tab/>
        <w:t xml:space="preserve">Monthly minuted meetings of this board will provide the core governance structure for the programme delivery.</w:t>
      </w:r>
    </w:p>
    <w:p w:rsidR="00000000" w:rsidDel="00000000" w:rsidP="00000000" w:rsidRDefault="00000000" w:rsidRPr="00000000" w14:paraId="0000005A">
      <w:pPr>
        <w:ind w:left="709" w:hanging="709"/>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B">
      <w:pPr>
        <w:ind w:left="709" w:hanging="709"/>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5.3</w:t>
        <w:tab/>
        <w:t xml:space="preserve">This board will comprise representatives from the partner organisations, any digital delivery partner, and the broader sickle cell community to act as patient representatives.</w:t>
      </w:r>
    </w:p>
    <w:p w:rsidR="00000000" w:rsidDel="00000000" w:rsidP="00000000" w:rsidRDefault="00000000" w:rsidRPr="00000000" w14:paraId="0000005C">
      <w:pPr>
        <w:ind w:left="709" w:hanging="709"/>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D">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6</w:t>
        <w:tab/>
        <w:t xml:space="preserve">ISSUES OF MUTUAL UNDERSTANDING</w:t>
      </w:r>
    </w:p>
    <w:p w:rsidR="00000000" w:rsidDel="00000000" w:rsidP="00000000" w:rsidRDefault="00000000" w:rsidRPr="00000000" w14:paraId="0000005E">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F">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6.1</w:t>
        <w:tab/>
        <w:t xml:space="preserve">In the delivery of this MOU and the partnership, all parties agree: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acknowledge, respect and support each other’s roles; </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work collaboratively on areas of common interest;</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signpost other parties appropriately to each other to ensure the best advice or resolution however the contact is made;</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have an awareness of any sensitivities for each other and to ensure so far as is practicable that sensitive issues are flagged to each other in a timely manner.</w:t>
      </w:r>
    </w:p>
    <w:p w:rsidR="00000000" w:rsidDel="00000000" w:rsidP="00000000" w:rsidRDefault="00000000" w:rsidRPr="00000000" w14:paraId="00000064">
      <w:pPr>
        <w:jc w:val="both"/>
        <w:rPr>
          <w:color w:val="000000"/>
          <w:sz w:val="20"/>
          <w:szCs w:val="20"/>
        </w:rPr>
      </w:pPr>
      <w:r w:rsidDel="00000000" w:rsidR="00000000" w:rsidRPr="00000000">
        <w:rPr>
          <w:rtl w:val="0"/>
        </w:rPr>
      </w:r>
    </w:p>
    <w:p w:rsidR="00000000" w:rsidDel="00000000" w:rsidP="00000000" w:rsidRDefault="00000000" w:rsidRPr="00000000" w14:paraId="0000006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7</w:t>
        <w:tab/>
        <w:t xml:space="preserve">ROLES AND RESPONSIBILITIES</w:t>
      </w:r>
    </w:p>
    <w:p w:rsidR="00000000" w:rsidDel="00000000" w:rsidP="00000000" w:rsidRDefault="00000000" w:rsidRPr="00000000" w14:paraId="00000066">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Successful delivery of a pilot programme will require collaboration between the Observatory, the digital delivery team, and NHS Care institutions who deliver Sickle Cell services to embed the pilot service within their clinical practice. </w:t>
        <w:br w:type="textWrapping"/>
        <w:br w:type="textWrapping"/>
        <w:t xml:space="preserve">The Observatory will continue to lead the strategic direction of the programme, continuing the extensive consultation with the broader Sickle Cell ecosystem, NHS England executive leadership, and key system stakeholders.</w:t>
        <w:br w:type="textWrapping"/>
        <w:br w:type="textWrapping"/>
        <w:t xml:space="preserve">The Observatory will conduct the commercial and programme delivery work required to issue tenders for delivery, manage that work, and provide the technical and legal infrastructure required to successfully launch a new digital service. </w:t>
        <w:br w:type="textWrapping"/>
      </w:r>
    </w:p>
    <w:p w:rsidR="00000000" w:rsidDel="00000000" w:rsidP="00000000" w:rsidRDefault="00000000" w:rsidRPr="00000000" w14:paraId="00000068">
      <w:pPr>
        <w:spacing w:after="200" w:line="276" w:lineRule="auto"/>
        <w:ind w:left="0" w:firstLine="0"/>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The NHS Partners will provide a clinical setting in which the pilot can be operated and evaluated. This will require the support of key clinical staff, particularly in Haematology and Accident and Emergency services. It will likely also require the support of IT teams to assist with potential integration and workflow optimisation to reduce the burden placed on clinical teams.</w:t>
      </w:r>
      <w:r w:rsidDel="00000000" w:rsidR="00000000" w:rsidRPr="00000000">
        <w:rPr>
          <w:rtl w:val="0"/>
        </w:rPr>
      </w:r>
    </w:p>
    <w:p w:rsidR="00000000" w:rsidDel="00000000" w:rsidP="00000000" w:rsidRDefault="00000000" w:rsidRPr="00000000" w14:paraId="00000069">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w:t>
        <w:tab/>
        <w:t xml:space="preserve">CONFIDENTIALITY</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8.1</w:t>
        <w:tab/>
        <w:t xml:space="preserve">This Clause 8 is legally binding.</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8.2</w:t>
        <w:tab/>
        <w:t xml:space="preserve">Each party undertakes that it shall not disclose to any third party any confidential information concerning the business, affairs, customers, clients or suppliers of the other party.</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8.3</w:t>
        <w:tab/>
        <w:t xml:space="preserve">Each party may disclose the other party’s confidential information:</w:t>
      </w:r>
      <w:r w:rsidDel="00000000" w:rsidR="00000000" w:rsidRPr="00000000">
        <w:rPr>
          <w:rtl w:val="0"/>
        </w:rPr>
      </w:r>
    </w:p>
    <w:p w:rsidR="00000000" w:rsidDel="00000000" w:rsidP="00000000" w:rsidRDefault="00000000" w:rsidRPr="00000000" w14:paraId="00000071">
      <w:pPr>
        <w:pStyle w:val="Heading3"/>
        <w:spacing w:after="0" w:line="240" w:lineRule="auto"/>
        <w:ind w:left="1559" w:firstLine="992.0000000000002"/>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2">
      <w:pPr>
        <w:pStyle w:val="Heading3"/>
        <w:numPr>
          <w:ilvl w:val="2"/>
          <w:numId w:val="2"/>
        </w:numPr>
        <w:spacing w:after="0" w:line="240" w:lineRule="auto"/>
        <w:ind w:left="1559" w:hanging="567"/>
        <w:rPr>
          <w:rFonts w:ascii="Arial" w:cs="Arial" w:eastAsia="Arial" w:hAnsi="Arial"/>
          <w:sz w:val="20"/>
          <w:szCs w:val="20"/>
        </w:rPr>
      </w:pPr>
      <w:r w:rsidDel="00000000" w:rsidR="00000000" w:rsidRPr="00000000">
        <w:rPr>
          <w:rFonts w:ascii="Arial" w:cs="Arial" w:eastAsia="Arial" w:hAnsi="Arial"/>
          <w:sz w:val="20"/>
          <w:szCs w:val="20"/>
          <w:rtl w:val="0"/>
        </w:rPr>
        <w:t xml:space="preserve">To its employees, officers, representatives or advisors who need to know such information for the purposes of delivering the partnership. Each party shall ensure that its employees, officers, representatives or advisors to whom it discloses the other party’s confidential information comply with this Clause; and</w:t>
      </w:r>
    </w:p>
    <w:p w:rsidR="00000000" w:rsidDel="00000000" w:rsidP="00000000" w:rsidRDefault="00000000" w:rsidRPr="00000000" w14:paraId="00000073">
      <w:pPr>
        <w:pStyle w:val="Heading3"/>
        <w:spacing w:after="0" w:line="240" w:lineRule="auto"/>
        <w:ind w:left="1559" w:firstLine="992.0000000000002"/>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4">
      <w:pPr>
        <w:pStyle w:val="Heading3"/>
        <w:numPr>
          <w:ilvl w:val="2"/>
          <w:numId w:val="2"/>
        </w:numPr>
        <w:spacing w:after="0" w:line="240" w:lineRule="auto"/>
        <w:ind w:left="1559" w:hanging="567"/>
        <w:rPr>
          <w:rFonts w:ascii="Arial" w:cs="Arial" w:eastAsia="Arial" w:hAnsi="Arial"/>
          <w:sz w:val="20"/>
          <w:szCs w:val="20"/>
        </w:rPr>
      </w:pPr>
      <w:r w:rsidDel="00000000" w:rsidR="00000000" w:rsidRPr="00000000">
        <w:rPr>
          <w:rFonts w:ascii="Arial" w:cs="Arial" w:eastAsia="Arial" w:hAnsi="Arial"/>
          <w:sz w:val="20"/>
          <w:szCs w:val="20"/>
          <w:rtl w:val="0"/>
        </w:rPr>
        <w:t xml:space="preserve">As may be required by law, court order or any governmental or regulatory authority.</w:t>
      </w:r>
    </w:p>
    <w:p w:rsidR="00000000" w:rsidDel="00000000" w:rsidP="00000000" w:rsidRDefault="00000000" w:rsidRPr="00000000" w14:paraId="00000075">
      <w:pPr>
        <w:pStyle w:val="Heading3"/>
        <w:spacing w:after="0" w:line="240" w:lineRule="auto"/>
        <w:ind w:left="709" w:hanging="709"/>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6">
      <w:pPr>
        <w:pStyle w:val="Heading3"/>
        <w:spacing w:after="0" w:line="240" w:lineRule="auto"/>
        <w:rPr>
          <w:rFonts w:ascii="Arial" w:cs="Arial" w:eastAsia="Arial" w:hAnsi="Arial"/>
          <w:sz w:val="20"/>
          <w:szCs w:val="20"/>
        </w:rPr>
      </w:pPr>
      <w:bookmarkStart w:colFirst="0" w:colLast="0" w:name="_30j0zll" w:id="1"/>
      <w:bookmarkEnd w:id="1"/>
      <w:r w:rsidDel="00000000" w:rsidR="00000000" w:rsidRPr="00000000">
        <w:rPr>
          <w:rFonts w:ascii="Arial" w:cs="Arial" w:eastAsia="Arial" w:hAnsi="Arial"/>
          <w:sz w:val="20"/>
          <w:szCs w:val="20"/>
          <w:rtl w:val="0"/>
        </w:rPr>
        <w:t xml:space="preserve">8.4</w:t>
        <w:tab/>
        <w:t xml:space="preserve">No party shall use the other party’s confidential Information for any other purpose other </w:t>
        <w:tab/>
        <w:t xml:space="preserve">than the delivery of the joint venture. </w:t>
      </w:r>
    </w:p>
    <w:p w:rsidR="00000000" w:rsidDel="00000000" w:rsidP="00000000" w:rsidRDefault="00000000" w:rsidRPr="00000000" w14:paraId="00000077">
      <w:pPr>
        <w:pStyle w:val="Heading3"/>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8">
      <w:pPr>
        <w:pStyle w:val="Heading3"/>
        <w:spacing w:after="0" w:line="240" w:lineRule="auto"/>
        <w:ind w:left="709" w:hanging="709"/>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9.</w:t>
        <w:tab/>
        <w:t xml:space="preserve">GENERAL DATA PROTECTION REGULATIONS (GDPR)</w:t>
      </w:r>
    </w:p>
    <w:p w:rsidR="00000000" w:rsidDel="00000000" w:rsidP="00000000" w:rsidRDefault="00000000" w:rsidRPr="00000000" w14:paraId="00000079">
      <w:pPr>
        <w:pStyle w:val="Heading3"/>
        <w:spacing w:after="0" w:line="240" w:lineRule="auto"/>
        <w:ind w:left="709" w:hanging="709"/>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A">
      <w:pPr>
        <w:pStyle w:val="Heading3"/>
        <w:spacing w:after="0" w:line="240" w:lineRule="auto"/>
        <w:ind w:left="709" w:hanging="709"/>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9.1</w:t>
        <w:tab/>
      </w:r>
      <w:r w:rsidDel="00000000" w:rsidR="00000000" w:rsidRPr="00000000">
        <w:rPr>
          <w:rFonts w:ascii="Arial" w:cs="Arial" w:eastAsia="Arial" w:hAnsi="Arial"/>
          <w:sz w:val="20"/>
          <w:szCs w:val="20"/>
          <w:rtl w:val="0"/>
        </w:rPr>
        <w:t xml:space="preserve">All parties agree to be compliant with GDPR, and all personal data will be processed in line with organisational privacy statements. Any contracts entered as part of the delivery of this project will include provisions on the treatment of personal data to ensure we abide by all relevant GDPR provisions. </w:t>
      </w:r>
    </w:p>
    <w:p w:rsidR="00000000" w:rsidDel="00000000" w:rsidP="00000000" w:rsidRDefault="00000000" w:rsidRPr="00000000" w14:paraId="0000007B">
      <w:pPr>
        <w:pStyle w:val="Heading3"/>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C">
      <w:pPr>
        <w:pStyle w:val="Heading3"/>
        <w:spacing w:after="0" w:line="240" w:lineRule="auto"/>
        <w:ind w:left="709" w:hanging="709"/>
        <w:rPr>
          <w:rFonts w:ascii="Arial" w:cs="Arial" w:eastAsia="Arial" w:hAnsi="Arial"/>
          <w:b w:val="1"/>
          <w:bCs w:val="1"/>
          <w:sz w:val="20"/>
          <w:szCs w:val="20"/>
        </w:rPr>
      </w:pPr>
      <w:bookmarkStart w:colFirst="0" w:colLast="0" w:name="_1fob9te" w:id="2"/>
      <w:bookmarkEnd w:id="2"/>
      <w:r w:rsidDel="00000000" w:rsidR="00000000" w:rsidRPr="00000000">
        <w:rPr>
          <w:rFonts w:ascii="Arial" w:cs="Arial" w:eastAsia="Arial" w:hAnsi="Arial"/>
          <w:b w:val="1"/>
          <w:bCs w:val="1"/>
          <w:sz w:val="20"/>
          <w:szCs w:val="20"/>
          <w:rtl w:val="0"/>
        </w:rPr>
        <w:t xml:space="preserve">10.</w:t>
        <w:tab/>
        <w:t xml:space="preserve">TERMINATION </w:t>
      </w:r>
    </w:p>
    <w:p w:rsidR="00000000" w:rsidDel="00000000" w:rsidP="00000000" w:rsidRDefault="00000000" w:rsidRPr="00000000" w14:paraId="0000007D">
      <w:pPr>
        <w:pStyle w:val="Heading3"/>
        <w:spacing w:after="0" w:line="240" w:lineRule="auto"/>
        <w:ind w:left="709" w:hanging="709"/>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E">
      <w:pPr>
        <w:pStyle w:val="Heading3"/>
        <w:spacing w:after="0" w:line="240" w:lineRule="auto"/>
        <w:ind w:left="709" w:hanging="709"/>
        <w:rPr>
          <w:rFonts w:ascii="Arial" w:cs="Arial" w:eastAsia="Arial" w:hAnsi="Arial"/>
          <w:sz w:val="20"/>
          <w:szCs w:val="20"/>
        </w:rPr>
      </w:pPr>
      <w:r w:rsidDel="00000000" w:rsidR="00000000" w:rsidRPr="00000000">
        <w:rPr>
          <w:rFonts w:ascii="Arial" w:cs="Arial" w:eastAsia="Arial" w:hAnsi="Arial"/>
          <w:sz w:val="20"/>
          <w:szCs w:val="20"/>
          <w:rtl w:val="0"/>
        </w:rPr>
        <w:t xml:space="preserve">10.1</w:t>
        <w:tab/>
        <w:t xml:space="preserve">If any party materially breaches the agreement governing the MOU, becomes insolvent or is subject to a change of control, the other party shall be entitled to terminate the MOU.</w:t>
      </w:r>
    </w:p>
    <w:p w:rsidR="00000000" w:rsidDel="00000000" w:rsidP="00000000" w:rsidRDefault="00000000" w:rsidRPr="00000000" w14:paraId="0000007F">
      <w:pPr>
        <w:pStyle w:val="Heading3"/>
        <w:spacing w:after="0" w:line="240" w:lineRule="auto"/>
        <w:ind w:left="709" w:hanging="709"/>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0">
      <w:pPr>
        <w:pStyle w:val="Heading3"/>
        <w:spacing w:after="0" w:line="240" w:lineRule="auto"/>
        <w:ind w:left="709" w:hanging="709"/>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10.2</w:t>
        <w:tab/>
        <w:t xml:space="preserve">Any party may terminate the MOU by giving the other parties </w:t>
      </w:r>
      <w:r w:rsidDel="00000000" w:rsidR="00000000" w:rsidRPr="00000000">
        <w:rPr>
          <w:rFonts w:ascii="Arial" w:cs="Arial" w:eastAsia="Arial" w:hAnsi="Arial"/>
          <w:sz w:val="20"/>
          <w:szCs w:val="20"/>
          <w:rtl w:val="0"/>
        </w:rPr>
        <w:t xml:space="preserve">60 days written notice.  The other parties shall be entitled to continue to deliver work previously agreed prior to the effective termination date. Any outstanding financial matters at the time of termination will be settled in accordance with Clause 3. </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pStyle w:val="Heading3"/>
        <w:spacing w:after="0" w:line="240" w:lineRule="auto"/>
        <w:ind w:left="709" w:hanging="709"/>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11.</w:t>
        <w:tab/>
        <w:t xml:space="preserve">DISPUTE RESOLUTION</w:t>
      </w:r>
    </w:p>
    <w:p w:rsidR="00000000" w:rsidDel="00000000" w:rsidP="00000000" w:rsidRDefault="00000000" w:rsidRPr="00000000" w14:paraId="00000083">
      <w:pPr>
        <w:pStyle w:val="Heading3"/>
        <w:spacing w:after="0" w:line="240" w:lineRule="auto"/>
        <w:ind w:left="709" w:hanging="709"/>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4">
      <w:pPr>
        <w:pStyle w:val="Heading3"/>
        <w:spacing w:after="0" w:line="240" w:lineRule="auto"/>
        <w:ind w:left="709" w:hanging="709"/>
        <w:rPr>
          <w:rFonts w:ascii="Arial" w:cs="Arial" w:eastAsia="Arial" w:hAnsi="Arial"/>
          <w:sz w:val="20"/>
          <w:szCs w:val="20"/>
        </w:rPr>
      </w:pPr>
      <w:r w:rsidDel="00000000" w:rsidR="00000000" w:rsidRPr="00000000">
        <w:rPr>
          <w:rFonts w:ascii="Arial" w:cs="Arial" w:eastAsia="Arial" w:hAnsi="Arial"/>
          <w:sz w:val="20"/>
          <w:szCs w:val="20"/>
          <w:rtl w:val="0"/>
        </w:rPr>
        <w:t xml:space="preserve">11.1</w:t>
      </w:r>
      <w:r w:rsidDel="00000000" w:rsidR="00000000" w:rsidRPr="00000000">
        <w:rPr>
          <w:rFonts w:ascii="Arial" w:cs="Arial" w:eastAsia="Arial" w:hAnsi="Arial"/>
          <w:b w:val="1"/>
          <w:bCs w:val="1"/>
          <w:sz w:val="20"/>
          <w:szCs w:val="20"/>
          <w:rtl w:val="0"/>
        </w:rPr>
        <w:tab/>
      </w:r>
      <w:r w:rsidDel="00000000" w:rsidR="00000000" w:rsidRPr="00000000">
        <w:rPr>
          <w:rFonts w:ascii="Arial" w:cs="Arial" w:eastAsia="Arial" w:hAnsi="Arial"/>
          <w:sz w:val="20"/>
          <w:szCs w:val="20"/>
          <w:rtl w:val="0"/>
        </w:rPr>
        <w:t xml:space="preserve">If there is a disagreement between the parties in relation to this MOU, the parties agree to fully cooperate with each other and make best endeavours to seek a resolution to the disagreement.</w:t>
      </w:r>
    </w:p>
    <w:p w:rsidR="00000000" w:rsidDel="00000000" w:rsidP="00000000" w:rsidRDefault="00000000" w:rsidRPr="00000000" w14:paraId="00000085">
      <w:pPr>
        <w:pStyle w:val="Heading3"/>
        <w:spacing w:after="0" w:line="240" w:lineRule="auto"/>
        <w:ind w:left="709" w:hanging="709"/>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6">
      <w:pPr>
        <w:pStyle w:val="Heading3"/>
        <w:spacing w:after="0" w:line="240" w:lineRule="auto"/>
        <w:ind w:left="709" w:hanging="709"/>
        <w:rPr>
          <w:rFonts w:ascii="Arial" w:cs="Arial" w:eastAsia="Arial" w:hAnsi="Arial"/>
          <w:sz w:val="20"/>
          <w:szCs w:val="20"/>
        </w:rPr>
      </w:pPr>
      <w:r w:rsidDel="00000000" w:rsidR="00000000" w:rsidRPr="00000000">
        <w:rPr>
          <w:rFonts w:ascii="Arial" w:cs="Arial" w:eastAsia="Arial" w:hAnsi="Arial"/>
          <w:sz w:val="20"/>
          <w:szCs w:val="20"/>
          <w:rtl w:val="0"/>
        </w:rPr>
        <w:t xml:space="preserve">11.2</w:t>
        <w:tab/>
        <w:t xml:space="preserve">The first place for disputes to be taken will be to the organisational leads for all parties. If the dispute cannot be resolved, then a senior representative from each party will attempt to resolve the issue. </w:t>
      </w:r>
    </w:p>
    <w:p w:rsidR="00000000" w:rsidDel="00000000" w:rsidP="00000000" w:rsidRDefault="00000000" w:rsidRPr="00000000" w14:paraId="00000087">
      <w:pPr>
        <w:pStyle w:val="Heading3"/>
        <w:spacing w:after="0" w:line="240" w:lineRule="auto"/>
        <w:ind w:left="709" w:hanging="709"/>
        <w:rPr>
          <w:rFonts w:ascii="Arial" w:cs="Arial" w:eastAsia="Arial" w:hAnsi="Arial"/>
          <w:sz w:val="20"/>
          <w:szCs w:val="20"/>
        </w:rPr>
      </w:pPr>
      <w:r w:rsidDel="00000000" w:rsidR="00000000" w:rsidRPr="00000000">
        <w:rPr>
          <w:rFonts w:ascii="Arial" w:cs="Arial" w:eastAsia="Arial" w:hAnsi="Arial"/>
          <w:sz w:val="20"/>
          <w:szCs w:val="20"/>
          <w:rtl w:val="0"/>
        </w:rPr>
        <w:tab/>
      </w:r>
    </w:p>
    <w:p w:rsidR="00000000" w:rsidDel="00000000" w:rsidP="00000000" w:rsidRDefault="00000000" w:rsidRPr="00000000" w14:paraId="00000088">
      <w:pPr>
        <w:pStyle w:val="Heading3"/>
        <w:spacing w:after="0" w:line="240" w:lineRule="auto"/>
        <w:ind w:left="709" w:hanging="709"/>
        <w:rPr>
          <w:rFonts w:ascii="Arial" w:cs="Arial" w:eastAsia="Arial" w:hAnsi="Arial"/>
          <w:sz w:val="20"/>
          <w:szCs w:val="20"/>
        </w:rPr>
      </w:pPr>
      <w:r w:rsidDel="00000000" w:rsidR="00000000" w:rsidRPr="00000000">
        <w:rPr>
          <w:rFonts w:ascii="Arial" w:cs="Arial" w:eastAsia="Arial" w:hAnsi="Arial"/>
          <w:sz w:val="20"/>
          <w:szCs w:val="20"/>
          <w:rtl w:val="0"/>
        </w:rPr>
        <w:t xml:space="preserve">11.3</w:t>
        <w:tab/>
        <w:t xml:space="preserve">If the senior representatives cannot resolve the dispute the matter shall be referred to the chief executive or chair of each party.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A">
      <w:pPr>
        <w:pStyle w:val="Heading3"/>
        <w:spacing w:after="0" w:line="240" w:lineRule="auto"/>
        <w:ind w:left="709" w:hanging="709"/>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12.</w:t>
        <w:tab/>
        <w:t xml:space="preserve">INTELLECTUAL PROPERTY</w:t>
      </w:r>
    </w:p>
    <w:p w:rsidR="00000000" w:rsidDel="00000000" w:rsidP="00000000" w:rsidRDefault="00000000" w:rsidRPr="00000000" w14:paraId="0000008B">
      <w:pPr>
        <w:pStyle w:val="Heading3"/>
        <w:spacing w:after="0" w:line="240" w:lineRule="auto"/>
        <w:ind w:left="709" w:hanging="709"/>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09" w:right="0" w:hanging="709"/>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12.1</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the purposes of this MoU the term “Intellectual Property Right” shall have the following meaning:</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09"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patents, rights to inventions, copyright and related rights, moral rights, trade marks and service marks, business names and domain names, rights in get-up, goodwill and the right to sue for passing off,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and rights to claim priority from, such rights and all similar or equivalent rights or forms of protection which subsist or will subsist now or in the future in any part of the world.</w:t>
      </w:r>
    </w:p>
    <w:p w:rsidR="00000000" w:rsidDel="00000000" w:rsidP="00000000" w:rsidRDefault="00000000" w:rsidRPr="00000000" w14:paraId="0000008E">
      <w:pPr>
        <w:pStyle w:val="Heading1"/>
        <w:spacing w:before="0" w:lineRule="auto"/>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12.2</w:t>
        <w:tab/>
        <w:t xml:space="preserve">The parties intend t</w:t>
      </w:r>
      <w:r w:rsidDel="00000000" w:rsidR="00000000" w:rsidRPr="00000000">
        <w:rPr>
          <w:rFonts w:ascii="Arial" w:cs="Arial" w:eastAsia="Arial" w:hAnsi="Arial"/>
          <w:sz w:val="20"/>
          <w:szCs w:val="20"/>
          <w:rtl w:val="0"/>
        </w:rPr>
        <w:t xml:space="preserve">hat any Intellectual Property created by work executed as part of this project should fundamentally be considered public domain in order to maximise adoption for the benefit of patients and the NHS.</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12.3</w:t>
        <w:tab/>
      </w:r>
      <w:r w:rsidDel="00000000" w:rsidR="00000000" w:rsidRPr="00000000">
        <w:rPr>
          <w:rFonts w:ascii="Arial" w:cs="Arial" w:eastAsia="Arial" w:hAnsi="Arial"/>
          <w:sz w:val="20"/>
          <w:szCs w:val="20"/>
          <w:rtl w:val="0"/>
        </w:rPr>
        <w:t xml:space="preserve">The parties intend that any Intellectual Property Rights created in the course of the Project shall vest in the lead organisation, who will publish them with an appropriate licence designed to maximise sharing and adoption rather than monetisation of Intellectual Property. </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12.4      No party will acquire the Intellectual Property rights of any other party. </w:t>
      </w:r>
    </w:p>
    <w:p w:rsidR="00000000" w:rsidDel="00000000" w:rsidP="00000000" w:rsidRDefault="00000000" w:rsidRPr="00000000" w14:paraId="00000094">
      <w:pPr>
        <w:spacing w:after="160" w:line="25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Each party hereby confirms its agreement to the terms contained in this MOU.</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spacing w:before="24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Signed</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sz w:val="18"/>
          <w:szCs w:val="18"/>
          <w:rtl w:val="0"/>
        </w:rPr>
        <w:t xml:space="preserve">for and on behalf of</w:t>
      </w:r>
      <w:r w:rsidDel="00000000" w:rsidR="00000000" w:rsidRPr="00000000">
        <w:rPr>
          <w:rFonts w:ascii="Arial" w:cs="Arial" w:eastAsia="Arial" w:hAnsi="Arial"/>
          <w:sz w:val="18"/>
          <w:szCs w:val="18"/>
          <w:rtl w:val="0"/>
        </w:rPr>
        <w:t xml:space="preserve">  </w:t>
      </w:r>
    </w:p>
    <w:tbl>
      <w:tblPr>
        <w:tblStyle w:val="Table3"/>
        <w:tblW w:w="8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5386"/>
        <w:tblGridChange w:id="0">
          <w:tblGrid>
            <w:gridCol w:w="2689"/>
            <w:gridCol w:w="5386"/>
          </w:tblGrid>
        </w:tblGridChange>
      </w:tblGrid>
      <w:tr>
        <w:trPr>
          <w:cantSplit w:val="0"/>
          <w:tblHeader w:val="0"/>
        </w:trPr>
        <w:tc>
          <w:tcPr/>
          <w:p w:rsidR="00000000" w:rsidDel="00000000" w:rsidP="00000000" w:rsidRDefault="00000000" w:rsidRPr="00000000" w14:paraId="00000098">
            <w:pPr>
              <w:spacing w:before="24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The NHS Confederation                                              </w:t>
            </w:r>
            <w:r w:rsidDel="00000000" w:rsidR="00000000" w:rsidRPr="00000000">
              <w:rPr>
                <w:rtl w:val="0"/>
              </w:rPr>
            </w:r>
          </w:p>
        </w:tc>
        <w:tc>
          <w:tcPr/>
          <w:p w:rsidR="00000000" w:rsidDel="00000000" w:rsidP="00000000" w:rsidRDefault="00000000" w:rsidRPr="00000000" w14:paraId="00000099">
            <w:pPr>
              <w:spacing w:befor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9A">
            <w:pPr>
              <w:spacing w:before="240" w:lineRule="auto"/>
              <w:rPr>
                <w:rFonts w:ascii="Arial" w:cs="Arial" w:eastAsia="Arial" w:hAnsi="Arial"/>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B">
            <w:pPr>
              <w:spacing w:befor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Name</w:t>
            </w:r>
          </w:p>
        </w:tc>
        <w:tc>
          <w:tcPr/>
          <w:p w:rsidR="00000000" w:rsidDel="00000000" w:rsidP="00000000" w:rsidRDefault="00000000" w:rsidRPr="00000000" w14:paraId="0000009C">
            <w:pPr>
              <w:spacing w:before="240" w:lineRule="auto"/>
              <w:rPr>
                <w:rFonts w:ascii="Arial" w:cs="Arial" w:eastAsia="Arial" w:hAnsi="Arial"/>
                <w:b w:val="1"/>
                <w:b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D">
            <w:pPr>
              <w:spacing w:before="24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Position</w:t>
            </w:r>
            <w:r w:rsidDel="00000000" w:rsidR="00000000" w:rsidRPr="00000000">
              <w:rPr>
                <w:rtl w:val="0"/>
              </w:rPr>
            </w:r>
          </w:p>
        </w:tc>
        <w:tc>
          <w:tcPr/>
          <w:p w:rsidR="00000000" w:rsidDel="00000000" w:rsidP="00000000" w:rsidRDefault="00000000" w:rsidRPr="00000000" w14:paraId="0000009E">
            <w:pPr>
              <w:spacing w:before="240" w:lineRule="auto"/>
              <w:rPr>
                <w:rFonts w:ascii="Arial" w:cs="Arial" w:eastAsia="Arial" w:hAnsi="Arial"/>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F">
            <w:pPr>
              <w:spacing w:befor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Date</w:t>
            </w:r>
          </w:p>
        </w:tc>
        <w:tc>
          <w:tcPr/>
          <w:p w:rsidR="00000000" w:rsidDel="00000000" w:rsidP="00000000" w:rsidRDefault="00000000" w:rsidRPr="00000000" w14:paraId="000000A0">
            <w:pPr>
              <w:spacing w:before="240" w:lineRule="auto"/>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A1">
      <w:pPr>
        <w:spacing w:befor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A2">
      <w:pPr>
        <w:spacing w:before="24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Signed</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sz w:val="18"/>
          <w:szCs w:val="18"/>
          <w:rtl w:val="0"/>
        </w:rPr>
        <w:t xml:space="preserve">for and on behalf of</w:t>
      </w:r>
      <w:r w:rsidDel="00000000" w:rsidR="00000000" w:rsidRPr="00000000">
        <w:rPr>
          <w:rFonts w:ascii="Arial" w:cs="Arial" w:eastAsia="Arial" w:hAnsi="Arial"/>
          <w:sz w:val="18"/>
          <w:szCs w:val="18"/>
          <w:rtl w:val="0"/>
        </w:rPr>
        <w:t xml:space="preserve">  </w:t>
      </w:r>
    </w:p>
    <w:tbl>
      <w:tblPr>
        <w:tblStyle w:val="Table4"/>
        <w:tblW w:w="8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5386"/>
        <w:tblGridChange w:id="0">
          <w:tblGrid>
            <w:gridCol w:w="2689"/>
            <w:gridCol w:w="5386"/>
          </w:tblGrid>
        </w:tblGridChange>
      </w:tblGrid>
      <w:tr>
        <w:trPr>
          <w:cantSplit w:val="0"/>
          <w:tblHeader w:val="0"/>
        </w:trPr>
        <w:tc>
          <w:tcPr/>
          <w:p w:rsidR="00000000" w:rsidDel="00000000" w:rsidP="00000000" w:rsidRDefault="00000000" w:rsidRPr="00000000" w14:paraId="000000A3">
            <w:pPr>
              <w:spacing w:before="240" w:lineRule="auto"/>
              <w:rPr>
                <w:rFonts w:ascii="Arial" w:cs="Arial" w:eastAsia="Arial" w:hAnsi="Arial"/>
                <w:sz w:val="18"/>
                <w:szCs w:val="18"/>
              </w:rPr>
            </w:pPr>
            <w:r w:rsidDel="00000000" w:rsidR="00000000" w:rsidRPr="00000000">
              <w:rPr>
                <w:rFonts w:ascii="Arial" w:cs="Arial" w:eastAsia="Arial" w:hAnsi="Arial"/>
                <w:b w:val="1"/>
                <w:bCs w:val="1"/>
                <w:sz w:val="18"/>
                <w:szCs w:val="18"/>
                <w:highlight w:val="yellow"/>
                <w:rtl w:val="0"/>
              </w:rPr>
              <w:t xml:space="preserve">University Hospitals Bristol and Weston NHS Foundation Trust</w:t>
            </w:r>
            <w:r w:rsidDel="00000000" w:rsidR="00000000" w:rsidRPr="00000000">
              <w:rPr>
                <w:rFonts w:ascii="Arial" w:cs="Arial" w:eastAsia="Arial" w:hAnsi="Arial"/>
                <w:b w:val="1"/>
                <w:bCs w:val="1"/>
                <w:sz w:val="18"/>
                <w:szCs w:val="18"/>
                <w:rtl w:val="0"/>
              </w:rPr>
              <w:t xml:space="preserve">                                        </w:t>
            </w:r>
            <w:r w:rsidDel="00000000" w:rsidR="00000000" w:rsidRPr="00000000">
              <w:rPr>
                <w:rtl w:val="0"/>
              </w:rPr>
            </w:r>
          </w:p>
        </w:tc>
        <w:tc>
          <w:tcPr/>
          <w:p w:rsidR="00000000" w:rsidDel="00000000" w:rsidP="00000000" w:rsidRDefault="00000000" w:rsidRPr="00000000" w14:paraId="000000A4">
            <w:pPr>
              <w:spacing w:befor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5">
            <w:pPr>
              <w:spacing w:before="240" w:lineRule="auto"/>
              <w:rPr>
                <w:rFonts w:ascii="Arial" w:cs="Arial" w:eastAsia="Arial" w:hAnsi="Arial"/>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6">
            <w:pPr>
              <w:spacing w:befor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Name</w:t>
            </w:r>
          </w:p>
        </w:tc>
        <w:tc>
          <w:tcPr/>
          <w:p w:rsidR="00000000" w:rsidDel="00000000" w:rsidP="00000000" w:rsidRDefault="00000000" w:rsidRPr="00000000" w14:paraId="000000A7">
            <w:pPr>
              <w:spacing w:before="240" w:lineRule="auto"/>
              <w:rPr>
                <w:rFonts w:ascii="Arial" w:cs="Arial" w:eastAsia="Arial" w:hAnsi="Arial"/>
                <w:b w:val="1"/>
                <w:b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8">
            <w:pPr>
              <w:spacing w:before="24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Position</w:t>
            </w:r>
            <w:r w:rsidDel="00000000" w:rsidR="00000000" w:rsidRPr="00000000">
              <w:rPr>
                <w:rtl w:val="0"/>
              </w:rPr>
            </w:r>
          </w:p>
        </w:tc>
        <w:tc>
          <w:tcPr/>
          <w:p w:rsidR="00000000" w:rsidDel="00000000" w:rsidP="00000000" w:rsidRDefault="00000000" w:rsidRPr="00000000" w14:paraId="000000A9">
            <w:pPr>
              <w:spacing w:before="240" w:lineRule="auto"/>
              <w:rPr>
                <w:rFonts w:ascii="Arial" w:cs="Arial" w:eastAsia="Arial" w:hAnsi="Arial"/>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A">
            <w:pPr>
              <w:spacing w:befor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Date</w:t>
            </w:r>
          </w:p>
        </w:tc>
        <w:tc>
          <w:tcPr/>
          <w:p w:rsidR="00000000" w:rsidDel="00000000" w:rsidP="00000000" w:rsidRDefault="00000000" w:rsidRPr="00000000" w14:paraId="000000AB">
            <w:pPr>
              <w:spacing w:before="240" w:lineRule="auto"/>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AC">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AD">
      <w:pPr>
        <w:spacing w:before="240" w:lineRule="auto"/>
        <w:rPr>
          <w:rFonts w:ascii="Arial" w:cs="Arial" w:eastAsia="Arial" w:hAnsi="Arial"/>
          <w:sz w:val="22"/>
          <w:szCs w:val="22"/>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1080" w:hanging="720"/>
      </w:pPr>
      <w:rPr/>
    </w:lvl>
    <w:lvl w:ilvl="1">
      <w:start w:val="1"/>
      <w:numFmt w:val="decimal"/>
      <w:lvlText w:val="%1.%2."/>
      <w:lvlJc w:val="right"/>
      <w:pPr>
        <w:ind w:left="1440" w:hanging="360"/>
      </w:pPr>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2">
    <w:lvl w:ilvl="0">
      <w:start w:val="1"/>
      <w:numFmt w:val="decimal"/>
      <w:lvlText w:val="%1."/>
      <w:lvlJc w:val="left"/>
      <w:pPr>
        <w:ind w:left="720" w:hanging="720"/>
      </w:pPr>
      <w:rPr>
        <w:rFonts w:ascii="Arial" w:cs="Arial" w:eastAsia="Arial" w:hAnsi="Arial"/>
      </w:rPr>
    </w:lvl>
    <w:lvl w:ilvl="1">
      <w:start w:val="1"/>
      <w:numFmt w:val="decimal"/>
      <w:lvlText w:val="%1.%2"/>
      <w:lvlJc w:val="left"/>
      <w:pPr>
        <w:ind w:left="720" w:hanging="720"/>
      </w:pPr>
      <w:rPr>
        <w:rFonts w:ascii="Arial" w:cs="Arial" w:eastAsia="Arial" w:hAnsi="Arial"/>
        <w:b w:val="0"/>
        <w:bCs w:val="0"/>
        <w:i w:val="0"/>
        <w:iCs w:val="0"/>
        <w:smallCaps w:val="0"/>
        <w:sz w:val="22"/>
        <w:szCs w:val="22"/>
      </w:rPr>
    </w:lvl>
    <w:lvl w:ilvl="2">
      <w:start w:val="1"/>
      <w:numFmt w:val="lowerLetter"/>
      <w:lvlText w:val="(%3)"/>
      <w:lvlJc w:val="left"/>
      <w:pPr>
        <w:ind w:left="1559" w:hanging="567"/>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lowerRoman"/>
      <w:lvlText w:val="(%4)"/>
      <w:lvlJc w:val="left"/>
      <w:pPr>
        <w:ind w:left="2268" w:hanging="566.9999999999998"/>
      </w:pPr>
      <w:rPr>
        <w:rFonts w:ascii="Times New Roman" w:cs="Times New Roman" w:eastAsia="Times New Roman" w:hAnsi="Times New Roman"/>
        <w:b w:val="0"/>
        <w:bCs w:val="0"/>
        <w:i w:val="0"/>
        <w:iCs w:val="0"/>
        <w:sz w:val="20"/>
        <w:szCs w:val="20"/>
      </w:rPr>
    </w:lvl>
    <w:lvl w:ilvl="4">
      <w:start w:val="1"/>
      <w:numFmt w:val="upperLetter"/>
      <w:lvlText w:val="(%5)"/>
      <w:lvlJc w:val="left"/>
      <w:pPr>
        <w:ind w:left="2880" w:hanging="720"/>
      </w:pPr>
      <w:rPr>
        <w:rFonts w:ascii="Times New Roman" w:cs="Times New Roman" w:eastAsia="Times New Roman" w:hAnsi="Times New Roman"/>
        <w:b w:val="0"/>
        <w:bCs w:val="0"/>
        <w:i w:val="0"/>
        <w:iCs w:val="0"/>
        <w:sz w:val="22"/>
        <w:szCs w:val="22"/>
      </w:rPr>
    </w:lvl>
    <w:lvl w:ilvl="5">
      <w:start w:val="1"/>
      <w:numFmt w:val="decimal"/>
      <w:lvlText w:val="%6."/>
      <w:lvlJc w:val="left"/>
      <w:pPr>
        <w:ind w:left="3600" w:hanging="720"/>
      </w:pPr>
      <w:rPr>
        <w:rFonts w:ascii="Times New Roman" w:cs="Times New Roman" w:eastAsia="Times New Roman" w:hAnsi="Times New Roman"/>
        <w:b w:val="0"/>
        <w:bCs w:val="0"/>
        <w:i w:val="0"/>
        <w:iCs w:val="0"/>
        <w:sz w:val="22"/>
        <w:szCs w:val="22"/>
      </w:rPr>
    </w:lvl>
    <w:lvl w:ilvl="6">
      <w:start w:val="1"/>
      <w:numFmt w:val="decimal"/>
      <w:lvlText w:val="%7."/>
      <w:lvlJc w:val="left"/>
      <w:pPr>
        <w:ind w:left="4320" w:hanging="720"/>
      </w:pPr>
      <w:rPr/>
    </w:lvl>
    <w:lvl w:ilvl="7">
      <w:start w:val="1"/>
      <w:numFmt w:val="decimal"/>
      <w:lvlText w:val="%8."/>
      <w:lvlJc w:val="left"/>
      <w:pPr>
        <w:ind w:left="5040" w:hanging="720"/>
      </w:pPr>
      <w:rPr>
        <w:rFonts w:ascii="Times New Roman" w:cs="Times New Roman" w:eastAsia="Times New Roman" w:hAnsi="Times New Roman"/>
        <w:b w:val="0"/>
        <w:bCs w:val="0"/>
        <w:i w:val="0"/>
        <w:iCs w:val="0"/>
        <w:sz w:val="22"/>
        <w:szCs w:val="22"/>
      </w:rPr>
    </w:lvl>
    <w:lvl w:ilvl="8">
      <w:start w:val="1"/>
      <w:numFmt w:val="decimal"/>
      <w:lvlText w:val="%9."/>
      <w:lvlJc w:val="left"/>
      <w:pPr>
        <w:ind w:left="5760" w:hanging="720"/>
      </w:pPr>
      <w:rPr>
        <w:rFonts w:ascii="Times New Roman" w:cs="Times New Roman" w:eastAsia="Times New Roman" w:hAnsi="Times New Roman"/>
        <w:b w:val="0"/>
        <w:bCs w:val="0"/>
        <w:i w:val="0"/>
        <w:iCs w:val="0"/>
        <w:sz w:val="22"/>
        <w:szCs w:val="22"/>
      </w:rPr>
    </w:lvl>
  </w:abstractNum>
  <w:abstractNum w:abstractNumId="3">
    <w:lvl w:ilvl="0">
      <w:start w:val="1"/>
      <w:numFmt w:val="lowerLetter"/>
      <w:lvlText w:val="(%1)"/>
      <w:lvlJc w:val="left"/>
      <w:pPr>
        <w:ind w:left="1080" w:hanging="360"/>
      </w:pPr>
      <w:rPr>
        <w:sz w:val="20"/>
        <w:szCs w:val="2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705" w:hanging="705"/>
      </w:pPr>
      <w:rPr/>
    </w:lvl>
    <w:lvl w:ilvl="1">
      <w:start w:val="1"/>
      <w:numFmt w:val="decimal"/>
      <w:lvlText w:val="%1.%2"/>
      <w:lvlJc w:val="left"/>
      <w:pPr>
        <w:ind w:left="705" w:hanging="705"/>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before="320" w:lineRule="auto"/>
      <w:ind w:left="720" w:hanging="720"/>
      <w:jc w:val="both"/>
    </w:pPr>
    <w:rPr>
      <w:b w:val="1"/>
      <w:bCs w:val="1"/>
      <w:smallCaps w:val="1"/>
      <w:sz w:val="22"/>
      <w:szCs w:val="22"/>
    </w:rPr>
  </w:style>
  <w:style w:type="paragraph" w:styleId="Heading2">
    <w:name w:val="heading 2"/>
    <w:basedOn w:val="Normal"/>
    <w:next w:val="Normal"/>
    <w:pPr>
      <w:spacing w:after="120" w:before="280" w:lineRule="auto"/>
      <w:ind w:left="720" w:hanging="720"/>
      <w:jc w:val="both"/>
    </w:pPr>
    <w:rPr>
      <w:color w:val="000000"/>
      <w:sz w:val="22"/>
      <w:szCs w:val="22"/>
    </w:rPr>
  </w:style>
  <w:style w:type="paragraph" w:styleId="Heading3">
    <w:name w:val="heading 3"/>
    <w:basedOn w:val="Normal"/>
    <w:next w:val="Normal"/>
    <w:pPr>
      <w:spacing w:after="120" w:lineRule="auto"/>
      <w:ind w:left="1559" w:hanging="567"/>
      <w:jc w:val="both"/>
    </w:pPr>
    <w:rPr>
      <w:sz w:val="22"/>
      <w:szCs w:val="22"/>
    </w:rPr>
  </w:style>
  <w:style w:type="paragraph" w:styleId="Heading4">
    <w:name w:val="heading 4"/>
    <w:basedOn w:val="Normal"/>
    <w:next w:val="Normal"/>
    <w:pPr>
      <w:tabs>
        <w:tab w:val="left" w:leader="none" w:pos="2261"/>
      </w:tabs>
      <w:spacing w:after="120" w:lineRule="auto"/>
      <w:ind w:left="2268" w:hanging="566.9999999999999"/>
      <w:jc w:val="both"/>
    </w:pPr>
    <w:rPr>
      <w:sz w:val="22"/>
      <w:szCs w:val="22"/>
    </w:rPr>
  </w:style>
  <w:style w:type="paragraph" w:styleId="Heading5">
    <w:name w:val="heading 5"/>
    <w:basedOn w:val="Normal"/>
    <w:next w:val="Normal"/>
    <w:pPr>
      <w:spacing w:after="120" w:lineRule="auto"/>
      <w:ind w:left="2880" w:hanging="720"/>
      <w:jc w:val="both"/>
    </w:pPr>
    <w:rPr>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60" w:before="240" w:lineRule="auto"/>
      <w:jc w:val="center"/>
    </w:pPr>
    <w:rPr>
      <w:rFonts w:ascii="Calibri" w:cs="Calibri" w:eastAsia="Calibri" w:hAnsi="Calibri"/>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