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33B3" w14:textId="77777777" w:rsidR="00983439" w:rsidRDefault="00000000">
      <w:pPr>
        <w:pStyle w:val="Heading1"/>
        <w:rPr>
          <w:sz w:val="36"/>
          <w:szCs w:val="36"/>
        </w:rPr>
      </w:pPr>
      <w:r>
        <w:rPr>
          <w:sz w:val="36"/>
          <w:szCs w:val="36"/>
        </w:rPr>
        <w:t>Digital Care Plan for Sickle Cell</w:t>
      </w:r>
    </w:p>
    <w:p w14:paraId="65D22A0C" w14:textId="77777777" w:rsidR="00983439" w:rsidRDefault="00983439">
      <w:pPr>
        <w:rPr>
          <w:sz w:val="20"/>
          <w:szCs w:val="20"/>
        </w:rPr>
      </w:pPr>
    </w:p>
    <w:p w14:paraId="4AA40E43" w14:textId="77777777" w:rsidR="00983439" w:rsidRDefault="00000000">
      <w:pPr>
        <w:rPr>
          <w:sz w:val="20"/>
          <w:szCs w:val="20"/>
        </w:rPr>
      </w:pPr>
      <w:r>
        <w:rPr>
          <w:sz w:val="20"/>
          <w:szCs w:val="20"/>
        </w:rPr>
        <w:t>The NHS Race &amp; Health Observatory is seeking an NHS partner for the pilot of a digital care plan for Sickle Cell patients as an intervention to address structural racism in care.</w:t>
      </w:r>
    </w:p>
    <w:p w14:paraId="12C3FC81" w14:textId="77777777" w:rsidR="00983439" w:rsidRDefault="00000000">
      <w:pPr>
        <w:pStyle w:val="Heading3"/>
        <w:rPr>
          <w:sz w:val="24"/>
          <w:szCs w:val="24"/>
        </w:rPr>
      </w:pPr>
      <w:bookmarkStart w:id="0" w:name="_gvng1zdnat1c" w:colFirst="0" w:colLast="0"/>
      <w:bookmarkEnd w:id="0"/>
      <w:commentRangeStart w:id="1"/>
      <w:r>
        <w:rPr>
          <w:sz w:val="24"/>
          <w:szCs w:val="24"/>
        </w:rPr>
        <w:t>Background</w:t>
      </w:r>
      <w:commentRangeEnd w:id="1"/>
      <w:r w:rsidR="00F7530A">
        <w:rPr>
          <w:rStyle w:val="CommentReference"/>
          <w:sz w:val="24"/>
          <w:szCs w:val="24"/>
        </w:rPr>
        <w:commentReference w:id="1"/>
      </w:r>
    </w:p>
    <w:p w14:paraId="03BAA461" w14:textId="59143A37" w:rsidR="00983439" w:rsidRDefault="00000000">
      <w:pPr>
        <w:rPr>
          <w:sz w:val="20"/>
          <w:szCs w:val="20"/>
        </w:rPr>
      </w:pPr>
      <w:r>
        <w:rPr>
          <w:sz w:val="20"/>
          <w:szCs w:val="20"/>
        </w:rPr>
        <w:t xml:space="preserve">Sickle cell patients do not reliably receive timely analgesia during acute painful episodes in the NHS and too often experience poor care. </w:t>
      </w:r>
    </w:p>
    <w:p w14:paraId="237F1583" w14:textId="445591D4" w:rsidR="00F7530A" w:rsidDel="00FD300E" w:rsidRDefault="00000000">
      <w:pPr>
        <w:rPr>
          <w:sz w:val="20"/>
          <w:szCs w:val="20"/>
        </w:rPr>
      </w:pPr>
      <w:r w:rsidDel="00FD300E">
        <w:rPr>
          <w:sz w:val="20"/>
          <w:szCs w:val="20"/>
        </w:rPr>
        <w:t xml:space="preserve">In research carried out by the Observatory in 2022, in collaboration with University Hospitals Bristol and Weston NHS Foundation Trust, we showed that digital personalised care plans show promise for improving access to, experience of, and accountability of care but have not been widely tested or adopted.[1] </w:t>
      </w:r>
    </w:p>
    <w:p w14:paraId="119CC4CA" w14:textId="77777777" w:rsidR="00983439" w:rsidRDefault="00000000">
      <w:pPr>
        <w:pStyle w:val="Heading3"/>
        <w:rPr>
          <w:sz w:val="24"/>
          <w:szCs w:val="24"/>
        </w:rPr>
      </w:pPr>
      <w:bookmarkStart w:id="2" w:name="_sua19sg4ft41" w:colFirst="0" w:colLast="0"/>
      <w:bookmarkEnd w:id="2"/>
      <w:r>
        <w:rPr>
          <w:sz w:val="24"/>
          <w:szCs w:val="24"/>
        </w:rPr>
        <w:t>Plan</w:t>
      </w:r>
    </w:p>
    <w:p w14:paraId="463624B1" w14:textId="77777777" w:rsidR="00983439" w:rsidRDefault="00000000">
      <w:pPr>
        <w:rPr>
          <w:sz w:val="20"/>
          <w:szCs w:val="20"/>
        </w:rPr>
      </w:pPr>
      <w:r>
        <w:rPr>
          <w:sz w:val="20"/>
          <w:szCs w:val="20"/>
        </w:rPr>
        <w:t>The Observatory Digital Sickle Cell programme is commissioning the build of a new digital service informed by our research to provide personalised sickle cell care plans, accessible by sickle cell services, patients, and medics in acute care settings.</w:t>
      </w:r>
    </w:p>
    <w:p w14:paraId="262A73B1" w14:textId="77777777" w:rsidR="00983439" w:rsidRDefault="00000000">
      <w:pPr>
        <w:rPr>
          <w:sz w:val="20"/>
          <w:szCs w:val="20"/>
        </w:rPr>
      </w:pPr>
      <w:r>
        <w:rPr>
          <w:sz w:val="20"/>
          <w:szCs w:val="20"/>
        </w:rPr>
        <w:t>The Observatory will select a delivery partner who will deliver a new digital service for sickle cell care plans. We will be using Mainstream approaches to digital delivery that work well outside the NHS to develop this service at pace. Our private beta stage will include collaborating with care providers to invite selected patients to begin using the service, and test the effectiveness in improving care.</w:t>
      </w:r>
    </w:p>
    <w:p w14:paraId="45A51B87" w14:textId="77777777" w:rsidR="00983439" w:rsidRDefault="00000000">
      <w:pPr>
        <w:pStyle w:val="Heading3"/>
        <w:rPr>
          <w:sz w:val="24"/>
          <w:szCs w:val="24"/>
        </w:rPr>
      </w:pPr>
      <w:bookmarkStart w:id="3" w:name="_jvazhvrqoqff" w:colFirst="0" w:colLast="0"/>
      <w:bookmarkEnd w:id="3"/>
      <w:r>
        <w:rPr>
          <w:sz w:val="24"/>
          <w:szCs w:val="24"/>
        </w:rPr>
        <w:t>Ask</w:t>
      </w:r>
    </w:p>
    <w:p w14:paraId="6A1DD5CB" w14:textId="77777777" w:rsidR="00983439" w:rsidRDefault="00000000">
      <w:pPr>
        <w:rPr>
          <w:sz w:val="20"/>
          <w:szCs w:val="20"/>
        </w:rPr>
      </w:pPr>
      <w:r>
        <w:rPr>
          <w:sz w:val="20"/>
          <w:szCs w:val="20"/>
        </w:rPr>
        <w:t xml:space="preserve">We are seeking an NHS strategic partner who delivers sickle cell services, and acute care and can provide match funding of £200,000 and institutional support for a private beta to pilot, test and iterate the service. </w:t>
      </w:r>
    </w:p>
    <w:p w14:paraId="159FBF17" w14:textId="77777777" w:rsidR="00983439" w:rsidRDefault="00000000">
      <w:pPr>
        <w:rPr>
          <w:sz w:val="20"/>
          <w:szCs w:val="20"/>
        </w:rPr>
      </w:pPr>
      <w:r>
        <w:rPr>
          <w:sz w:val="20"/>
          <w:szCs w:val="20"/>
        </w:rPr>
        <w:t>We will be seeking an initial memorandum of understanding, including a financial commitment, followed by payment once we have awarded a tender for the delivery partner. The programme will require the support of key clinical staff at your institution, particularly in Haematology and Accident and Emergency services.</w:t>
      </w:r>
    </w:p>
    <w:p w14:paraId="2C728FE0" w14:textId="77777777" w:rsidR="00983439" w:rsidRDefault="00000000">
      <w:pPr>
        <w:pStyle w:val="Heading3"/>
        <w:rPr>
          <w:sz w:val="24"/>
          <w:szCs w:val="24"/>
        </w:rPr>
      </w:pPr>
      <w:bookmarkStart w:id="4" w:name="_n1d9z1ormgkc" w:colFirst="0" w:colLast="0"/>
      <w:bookmarkEnd w:id="4"/>
      <w:r>
        <w:rPr>
          <w:sz w:val="24"/>
          <w:szCs w:val="24"/>
        </w:rPr>
        <w:t>Proposed timeline</w:t>
      </w: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983439" w14:paraId="6B12CC47" w14:textId="77777777">
        <w:tc>
          <w:tcPr>
            <w:tcW w:w="3008" w:type="dxa"/>
            <w:tcMar>
              <w:top w:w="100" w:type="dxa"/>
              <w:left w:w="100" w:type="dxa"/>
              <w:bottom w:w="100" w:type="dxa"/>
              <w:right w:w="100" w:type="dxa"/>
            </w:tcMar>
          </w:tcPr>
          <w:p w14:paraId="420658E5" w14:textId="77777777" w:rsidR="00983439" w:rsidRDefault="00000000">
            <w:pPr>
              <w:spacing w:before="200"/>
              <w:jc w:val="center"/>
              <w:rPr>
                <w:rFonts w:ascii="Nunito" w:eastAsia="Nunito" w:hAnsi="Nunito" w:cs="Nunito"/>
                <w:b/>
                <w:bCs/>
                <w:sz w:val="20"/>
                <w:szCs w:val="20"/>
              </w:rPr>
            </w:pPr>
            <w:r>
              <w:rPr>
                <w:rFonts w:ascii="Nunito" w:eastAsia="Nunito" w:hAnsi="Nunito" w:cs="Nunito"/>
                <w:b/>
                <w:bCs/>
                <w:sz w:val="20"/>
                <w:szCs w:val="20"/>
              </w:rPr>
              <w:t>Jun - Sept 2026</w:t>
            </w:r>
          </w:p>
        </w:tc>
        <w:tc>
          <w:tcPr>
            <w:tcW w:w="3008" w:type="dxa"/>
            <w:tcMar>
              <w:top w:w="100" w:type="dxa"/>
              <w:left w:w="100" w:type="dxa"/>
              <w:bottom w:w="100" w:type="dxa"/>
              <w:right w:w="100" w:type="dxa"/>
            </w:tcMar>
          </w:tcPr>
          <w:p w14:paraId="088D1ED7" w14:textId="77777777" w:rsidR="00983439" w:rsidRDefault="00000000">
            <w:pPr>
              <w:spacing w:before="200"/>
              <w:jc w:val="center"/>
              <w:rPr>
                <w:rFonts w:ascii="Nunito" w:eastAsia="Nunito" w:hAnsi="Nunito" w:cs="Nunito"/>
                <w:b/>
                <w:bCs/>
                <w:sz w:val="20"/>
                <w:szCs w:val="20"/>
              </w:rPr>
            </w:pPr>
            <w:r>
              <w:rPr>
                <w:rFonts w:ascii="Nunito" w:eastAsia="Nunito" w:hAnsi="Nunito" w:cs="Nunito"/>
                <w:b/>
                <w:bCs/>
                <w:sz w:val="20"/>
                <w:szCs w:val="20"/>
              </w:rPr>
              <w:t>Oct 2026 - May 2027</w:t>
            </w:r>
          </w:p>
        </w:tc>
        <w:tc>
          <w:tcPr>
            <w:tcW w:w="3008" w:type="dxa"/>
            <w:tcMar>
              <w:top w:w="100" w:type="dxa"/>
              <w:left w:w="100" w:type="dxa"/>
              <w:bottom w:w="100" w:type="dxa"/>
              <w:right w:w="100" w:type="dxa"/>
            </w:tcMar>
          </w:tcPr>
          <w:p w14:paraId="28E4C2D2" w14:textId="77777777" w:rsidR="00983439" w:rsidRDefault="00000000">
            <w:pPr>
              <w:spacing w:before="200"/>
              <w:jc w:val="center"/>
              <w:rPr>
                <w:rFonts w:ascii="Nunito" w:eastAsia="Nunito" w:hAnsi="Nunito" w:cs="Nunito"/>
                <w:b/>
                <w:bCs/>
                <w:sz w:val="20"/>
                <w:szCs w:val="20"/>
              </w:rPr>
            </w:pPr>
            <w:r>
              <w:rPr>
                <w:rFonts w:ascii="Nunito" w:eastAsia="Nunito" w:hAnsi="Nunito" w:cs="Nunito"/>
                <w:b/>
                <w:bCs/>
                <w:sz w:val="20"/>
                <w:szCs w:val="20"/>
              </w:rPr>
              <w:t>Jun 2027 - Sept 2028</w:t>
            </w:r>
          </w:p>
        </w:tc>
      </w:tr>
      <w:tr w:rsidR="00983439" w14:paraId="54AFEB60" w14:textId="77777777">
        <w:tc>
          <w:tcPr>
            <w:tcW w:w="3008" w:type="dxa"/>
            <w:tcMar>
              <w:top w:w="100" w:type="dxa"/>
              <w:left w:w="100" w:type="dxa"/>
              <w:bottom w:w="100" w:type="dxa"/>
              <w:right w:w="100" w:type="dxa"/>
            </w:tcMar>
          </w:tcPr>
          <w:p w14:paraId="4B339F67" w14:textId="77777777" w:rsidR="00983439" w:rsidRDefault="00000000">
            <w:pPr>
              <w:rPr>
                <w:sz w:val="20"/>
                <w:szCs w:val="20"/>
              </w:rPr>
            </w:pPr>
            <w:r>
              <w:rPr>
                <w:sz w:val="20"/>
                <w:szCs w:val="20"/>
              </w:rPr>
              <w:t>Partnership development</w:t>
            </w:r>
          </w:p>
        </w:tc>
        <w:tc>
          <w:tcPr>
            <w:tcW w:w="3008" w:type="dxa"/>
            <w:tcMar>
              <w:top w:w="100" w:type="dxa"/>
              <w:left w:w="100" w:type="dxa"/>
              <w:bottom w:w="100" w:type="dxa"/>
              <w:right w:w="100" w:type="dxa"/>
            </w:tcMar>
          </w:tcPr>
          <w:p w14:paraId="16770391" w14:textId="77777777" w:rsidR="00983439" w:rsidRDefault="00000000">
            <w:pPr>
              <w:rPr>
                <w:sz w:val="20"/>
                <w:szCs w:val="20"/>
              </w:rPr>
            </w:pPr>
            <w:r>
              <w:rPr>
                <w:sz w:val="20"/>
                <w:szCs w:val="20"/>
              </w:rPr>
              <w:t xml:space="preserve">    Digital service build</w:t>
            </w:r>
          </w:p>
        </w:tc>
        <w:tc>
          <w:tcPr>
            <w:tcW w:w="3008" w:type="dxa"/>
            <w:tcMar>
              <w:top w:w="100" w:type="dxa"/>
              <w:left w:w="100" w:type="dxa"/>
              <w:bottom w:w="100" w:type="dxa"/>
              <w:right w:w="100" w:type="dxa"/>
            </w:tcMar>
          </w:tcPr>
          <w:p w14:paraId="6ED0A0A6" w14:textId="77777777" w:rsidR="00983439" w:rsidRDefault="00000000">
            <w:pPr>
              <w:rPr>
                <w:sz w:val="20"/>
                <w:szCs w:val="20"/>
              </w:rPr>
            </w:pPr>
            <w:r>
              <w:rPr>
                <w:sz w:val="20"/>
                <w:szCs w:val="20"/>
              </w:rPr>
              <w:t xml:space="preserve">      Pilot and iteration</w:t>
            </w:r>
          </w:p>
        </w:tc>
      </w:tr>
    </w:tbl>
    <w:p w14:paraId="7BE5B171" w14:textId="77777777" w:rsidR="00983439" w:rsidRDefault="00983439"/>
    <w:p w14:paraId="35D527A6" w14:textId="77777777" w:rsidR="00983439" w:rsidRPr="00C41EDD" w:rsidRDefault="00000000">
      <w:pPr>
        <w:numPr>
          <w:ilvl w:val="0"/>
          <w:numId w:val="1"/>
        </w:numPr>
        <w:rPr>
          <w:sz w:val="20"/>
          <w:szCs w:val="20"/>
        </w:rPr>
      </w:pPr>
      <w:commentRangeStart w:id="5"/>
      <w:r w:rsidRPr="00C41EDD">
        <w:rPr>
          <w:sz w:val="20"/>
          <w:szCs w:val="20"/>
        </w:rPr>
        <w:t>https://www.nhsrho.org/wp-content/uploads/2023/05/Sickle-cell-digital-discovery-report-designing-better-acute-painful-sickle-cell-care-January-2023.pdf</w:t>
      </w:r>
      <w:commentRangeEnd w:id="5"/>
      <w:r w:rsidR="00A71C30" w:rsidRPr="00C41EDD">
        <w:rPr>
          <w:rStyle w:val="CommentReference"/>
          <w:sz w:val="20"/>
          <w:szCs w:val="20"/>
        </w:rPr>
        <w:commentReference w:id="5"/>
      </w:r>
    </w:p>
    <w:p w14:paraId="0EBC6153" w14:textId="448F334C" w:rsidR="00A71C30" w:rsidRPr="00C41EDD" w:rsidRDefault="00A71C30" w:rsidP="00F7530A">
      <w:pPr>
        <w:rPr>
          <w:color w:val="5F497A" w:themeColor="accent4" w:themeShade="BF"/>
          <w:sz w:val="22"/>
          <w:szCs w:val="22"/>
        </w:rPr>
      </w:pPr>
      <w:r w:rsidRPr="00C41EDD">
        <w:rPr>
          <w:color w:val="5F497A" w:themeColor="accent4" w:themeShade="BF"/>
          <w:sz w:val="22"/>
          <w:szCs w:val="22"/>
        </w:rPr>
        <w:lastRenderedPageBreak/>
        <w:t xml:space="preserve">Appendix </w:t>
      </w:r>
    </w:p>
    <w:p w14:paraId="517A19F9" w14:textId="5E3320A8" w:rsidR="00EC3915" w:rsidRPr="00C41EDD" w:rsidRDefault="00F7530A" w:rsidP="00EC3915">
      <w:pPr>
        <w:rPr>
          <w:color w:val="5F497A" w:themeColor="accent4" w:themeShade="BF"/>
          <w:sz w:val="20"/>
          <w:szCs w:val="20"/>
        </w:rPr>
      </w:pPr>
      <w:r w:rsidRPr="00C41EDD">
        <w:rPr>
          <w:color w:val="5F497A" w:themeColor="accent4" w:themeShade="BF"/>
          <w:sz w:val="20"/>
          <w:szCs w:val="20"/>
        </w:rPr>
        <w:t>A well-designed digital care plan, driven by patients and clinical specialists, has the potential to</w:t>
      </w:r>
      <w:r w:rsidR="00EC3915" w:rsidRPr="00C41EDD">
        <w:rPr>
          <w:color w:val="5F497A" w:themeColor="accent4" w:themeShade="BF"/>
          <w:sz w:val="20"/>
          <w:szCs w:val="20"/>
        </w:rPr>
        <w:t xml:space="preserve"> improve / transform</w:t>
      </w:r>
      <w:r w:rsidR="00C371D2" w:rsidRPr="00C41EDD">
        <w:rPr>
          <w:color w:val="5F497A" w:themeColor="accent4" w:themeShade="BF"/>
          <w:sz w:val="20"/>
          <w:szCs w:val="20"/>
        </w:rPr>
        <w:t xml:space="preserve"> sickle cell care</w:t>
      </w:r>
      <w:r w:rsidRPr="00C41EDD">
        <w:rPr>
          <w:color w:val="5F497A" w:themeColor="accent4" w:themeShade="BF"/>
          <w:sz w:val="20"/>
          <w:szCs w:val="20"/>
        </w:rPr>
        <w:t xml:space="preserve">: </w:t>
      </w:r>
    </w:p>
    <w:p w14:paraId="7A043027" w14:textId="58A1C7C8" w:rsidR="00F7530A" w:rsidRPr="00C41EDD" w:rsidRDefault="00F7530A" w:rsidP="00EC3915">
      <w:pPr>
        <w:rPr>
          <w:color w:val="5F497A" w:themeColor="accent4" w:themeShade="BF"/>
          <w:sz w:val="20"/>
          <w:szCs w:val="20"/>
        </w:rPr>
      </w:pPr>
      <w:r w:rsidRPr="00C41EDD">
        <w:rPr>
          <w:color w:val="5F497A" w:themeColor="accent4" w:themeShade="BF"/>
          <w:sz w:val="20"/>
          <w:szCs w:val="20"/>
        </w:rPr>
        <w:t>Patient safety &amp; clinical care</w:t>
      </w:r>
    </w:p>
    <w:p w14:paraId="2401BA97" w14:textId="77777777" w:rsidR="00B77B6E" w:rsidRPr="00C41EDD" w:rsidRDefault="00B77B6E" w:rsidP="00F7530A">
      <w:pPr>
        <w:numPr>
          <w:ilvl w:val="0"/>
          <w:numId w:val="2"/>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Clear care plan enabling: </w:t>
      </w:r>
    </w:p>
    <w:p w14:paraId="65B40B26" w14:textId="37223A27" w:rsidR="00B77B6E" w:rsidRPr="00C41EDD" w:rsidRDefault="00B77B6E" w:rsidP="00B77B6E">
      <w:pPr>
        <w:numPr>
          <w:ilvl w:val="1"/>
          <w:numId w:val="2"/>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F</w:t>
      </w:r>
      <w:r w:rsidR="00F7530A" w:rsidRPr="00C41EDD">
        <w:rPr>
          <w:color w:val="5F497A" w:themeColor="accent4" w:themeShade="BF"/>
          <w:sz w:val="20"/>
          <w:szCs w:val="20"/>
        </w:rPr>
        <w:t>aster, personalised analgesia during acute crisis</w:t>
      </w:r>
      <w:r w:rsidR="00A71C30" w:rsidRPr="00C41EDD">
        <w:rPr>
          <w:color w:val="5F497A" w:themeColor="accent4" w:themeShade="BF"/>
          <w:sz w:val="20"/>
          <w:szCs w:val="20"/>
        </w:rPr>
        <w:t>,</w:t>
      </w:r>
      <w:r w:rsidR="00F7530A" w:rsidRPr="00C41EDD">
        <w:rPr>
          <w:color w:val="5F497A" w:themeColor="accent4" w:themeShade="BF"/>
          <w:sz w:val="20"/>
          <w:szCs w:val="20"/>
        </w:rPr>
        <w:t xml:space="preserve"> eliminating the need to re-narrate history while in </w:t>
      </w:r>
      <w:r w:rsidR="00A71C30" w:rsidRPr="00C41EDD">
        <w:rPr>
          <w:color w:val="5F497A" w:themeColor="accent4" w:themeShade="BF"/>
          <w:sz w:val="20"/>
          <w:szCs w:val="20"/>
        </w:rPr>
        <w:t>severe pain and in vulnerable states</w:t>
      </w:r>
    </w:p>
    <w:p w14:paraId="6E701C47" w14:textId="32636F8A" w:rsidR="00F7530A" w:rsidRPr="00C41EDD" w:rsidRDefault="00B77B6E" w:rsidP="00B77B6E">
      <w:pPr>
        <w:numPr>
          <w:ilvl w:val="1"/>
          <w:numId w:val="2"/>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R</w:t>
      </w:r>
      <w:r w:rsidR="00F7530A" w:rsidRPr="00C41EDD">
        <w:rPr>
          <w:color w:val="5F497A" w:themeColor="accent4" w:themeShade="BF"/>
          <w:sz w:val="20"/>
          <w:szCs w:val="20"/>
        </w:rPr>
        <w:t xml:space="preserve">educed risk of medication </w:t>
      </w:r>
      <w:r w:rsidR="00A71C30" w:rsidRPr="00C41EDD">
        <w:rPr>
          <w:color w:val="5F497A" w:themeColor="accent4" w:themeShade="BF"/>
          <w:sz w:val="20"/>
          <w:szCs w:val="20"/>
        </w:rPr>
        <w:t xml:space="preserve">/ treatment </w:t>
      </w:r>
      <w:r w:rsidR="00F7530A" w:rsidRPr="00C41EDD">
        <w:rPr>
          <w:color w:val="5F497A" w:themeColor="accent4" w:themeShade="BF"/>
          <w:sz w:val="20"/>
          <w:szCs w:val="20"/>
        </w:rPr>
        <w:t>errors, particularly for patients managing sickle cell alongside other conditions</w:t>
      </w:r>
      <w:r w:rsidR="00A71C30" w:rsidRPr="00C41EDD">
        <w:rPr>
          <w:color w:val="5F497A" w:themeColor="accent4" w:themeShade="BF"/>
          <w:sz w:val="20"/>
          <w:szCs w:val="20"/>
        </w:rPr>
        <w:t xml:space="preserve"> or with acquired adverse reactions </w:t>
      </w:r>
    </w:p>
    <w:p w14:paraId="5DF9C67A" w14:textId="697DD030" w:rsidR="00F7530A" w:rsidRPr="00C41EDD" w:rsidRDefault="00F7530A" w:rsidP="00F7530A">
      <w:pPr>
        <w:numPr>
          <w:ilvl w:val="0"/>
          <w:numId w:val="2"/>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Formal documentation of treatment history, prior medication responses, and opioid tolerance thresholds</w:t>
      </w:r>
      <w:r w:rsidR="00A71C30" w:rsidRPr="00C41EDD">
        <w:rPr>
          <w:color w:val="5F497A" w:themeColor="accent4" w:themeShade="BF"/>
          <w:sz w:val="20"/>
          <w:szCs w:val="20"/>
        </w:rPr>
        <w:t>,</w:t>
      </w:r>
      <w:r w:rsidRPr="00C41EDD">
        <w:rPr>
          <w:color w:val="5F497A" w:themeColor="accent4" w:themeShade="BF"/>
          <w:sz w:val="20"/>
          <w:szCs w:val="20"/>
        </w:rPr>
        <w:t xml:space="preserve"> creating a clinical record that is harder to override </w:t>
      </w:r>
      <w:r w:rsidR="00A71C30" w:rsidRPr="00C41EDD">
        <w:rPr>
          <w:color w:val="5F497A" w:themeColor="accent4" w:themeShade="BF"/>
          <w:sz w:val="20"/>
          <w:szCs w:val="20"/>
        </w:rPr>
        <w:t>because of</w:t>
      </w:r>
      <w:r w:rsidRPr="00C41EDD">
        <w:rPr>
          <w:color w:val="5F497A" w:themeColor="accent4" w:themeShade="BF"/>
          <w:sz w:val="20"/>
          <w:szCs w:val="20"/>
        </w:rPr>
        <w:t xml:space="preserve"> bias or assumption</w:t>
      </w:r>
    </w:p>
    <w:p w14:paraId="52402BBB" w14:textId="161DEDE7" w:rsidR="00F7530A" w:rsidRPr="00C41EDD" w:rsidRDefault="00F7530A" w:rsidP="00F7530A">
      <w:pPr>
        <w:numPr>
          <w:ilvl w:val="0"/>
          <w:numId w:val="2"/>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Care </w:t>
      </w:r>
      <w:r w:rsidR="00A2707C" w:rsidRPr="00C41EDD">
        <w:rPr>
          <w:color w:val="5F497A" w:themeColor="accent4" w:themeShade="BF"/>
          <w:sz w:val="20"/>
          <w:szCs w:val="20"/>
        </w:rPr>
        <w:t>plans</w:t>
      </w:r>
      <w:r w:rsidRPr="00C41EDD">
        <w:rPr>
          <w:color w:val="5F497A" w:themeColor="accent4" w:themeShade="BF"/>
          <w:sz w:val="20"/>
          <w:szCs w:val="20"/>
        </w:rPr>
        <w:t xml:space="preserve"> accessible to 111</w:t>
      </w:r>
      <w:r w:rsidR="00C371D2" w:rsidRPr="00C41EDD">
        <w:rPr>
          <w:color w:val="5F497A" w:themeColor="accent4" w:themeShade="BF"/>
          <w:sz w:val="20"/>
          <w:szCs w:val="20"/>
        </w:rPr>
        <w:t xml:space="preserve"> </w:t>
      </w:r>
      <w:r w:rsidRPr="00C41EDD">
        <w:rPr>
          <w:color w:val="5F497A" w:themeColor="accent4" w:themeShade="BF"/>
          <w:sz w:val="20"/>
          <w:szCs w:val="20"/>
        </w:rPr>
        <w:t>/</w:t>
      </w:r>
      <w:r w:rsidR="00C371D2" w:rsidRPr="00C41EDD">
        <w:rPr>
          <w:color w:val="5F497A" w:themeColor="accent4" w:themeShade="BF"/>
          <w:sz w:val="20"/>
          <w:szCs w:val="20"/>
        </w:rPr>
        <w:t xml:space="preserve"> </w:t>
      </w:r>
      <w:r w:rsidRPr="00C41EDD">
        <w:rPr>
          <w:color w:val="5F497A" w:themeColor="accent4" w:themeShade="BF"/>
          <w:sz w:val="20"/>
          <w:szCs w:val="20"/>
        </w:rPr>
        <w:t>999, meaning pre-hospital response is also informed</w:t>
      </w:r>
    </w:p>
    <w:p w14:paraId="02DA96FA" w14:textId="5E5CFBE8" w:rsidR="00F7530A" w:rsidRPr="00C41EDD" w:rsidRDefault="00F7530A" w:rsidP="00F7530A">
      <w:pPr>
        <w:numPr>
          <w:ilvl w:val="0"/>
          <w:numId w:val="2"/>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Pregnancy and reproductive health flags, linking obstetric and haematology teams and</w:t>
      </w:r>
      <w:r w:rsidR="00B77B6E" w:rsidRPr="00C41EDD">
        <w:rPr>
          <w:color w:val="5F497A" w:themeColor="accent4" w:themeShade="BF"/>
          <w:sz w:val="20"/>
          <w:szCs w:val="20"/>
        </w:rPr>
        <w:t xml:space="preserve"> </w:t>
      </w:r>
      <w:r w:rsidRPr="00C41EDD">
        <w:rPr>
          <w:color w:val="5F497A" w:themeColor="accent4" w:themeShade="BF"/>
          <w:sz w:val="20"/>
          <w:szCs w:val="20"/>
        </w:rPr>
        <w:t>preventing contraindicated prescribing</w:t>
      </w:r>
    </w:p>
    <w:p w14:paraId="433BAC64" w14:textId="77777777" w:rsidR="00B77B6E" w:rsidRPr="00C41EDD" w:rsidRDefault="00B77B6E" w:rsidP="00B77B6E">
      <w:pPr>
        <w:numPr>
          <w:ilvl w:val="0"/>
          <w:numId w:val="2"/>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Ability to capture avoidance behaviour and associated patient safety risks – i.e., patients not seeking care due to previous traumatic or discriminatory encounters </w:t>
      </w:r>
    </w:p>
    <w:p w14:paraId="16DEB9D5" w14:textId="3FA38841" w:rsidR="00F7530A" w:rsidRPr="00C41EDD" w:rsidRDefault="00F7530A" w:rsidP="00F7530A">
      <w:p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Care continuity &amp; </w:t>
      </w:r>
      <w:r w:rsidR="00A2707C" w:rsidRPr="00C41EDD">
        <w:rPr>
          <w:color w:val="5F497A" w:themeColor="accent4" w:themeShade="BF"/>
          <w:sz w:val="20"/>
          <w:szCs w:val="20"/>
        </w:rPr>
        <w:t xml:space="preserve">coordination </w:t>
      </w:r>
    </w:p>
    <w:p w14:paraId="798BDF05" w14:textId="26FB46E6" w:rsidR="00F7530A" w:rsidRPr="00C41EDD" w:rsidRDefault="00EC3915" w:rsidP="00F7530A">
      <w:pPr>
        <w:numPr>
          <w:ilvl w:val="0"/>
          <w:numId w:val="3"/>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A</w:t>
      </w:r>
      <w:r w:rsidRPr="00C41EDD">
        <w:rPr>
          <w:color w:val="5F497A" w:themeColor="accent4" w:themeShade="BF"/>
          <w:sz w:val="20"/>
          <w:szCs w:val="20"/>
        </w:rPr>
        <w:t xml:space="preserve"> persistent, portable care plan that travels through transition </w:t>
      </w:r>
      <w:r w:rsidRPr="00C41EDD">
        <w:rPr>
          <w:color w:val="5F497A" w:themeColor="accent4" w:themeShade="BF"/>
          <w:sz w:val="20"/>
          <w:szCs w:val="20"/>
        </w:rPr>
        <w:t>allowing for an i</w:t>
      </w:r>
      <w:r w:rsidR="00F7530A" w:rsidRPr="00C41EDD">
        <w:rPr>
          <w:color w:val="5F497A" w:themeColor="accent4" w:themeShade="BF"/>
          <w:sz w:val="20"/>
          <w:szCs w:val="20"/>
        </w:rPr>
        <w:t>mproved handover between paediatric and adult services</w:t>
      </w:r>
      <w:r w:rsidRPr="00C41EDD">
        <w:rPr>
          <w:color w:val="5F497A" w:themeColor="accent4" w:themeShade="BF"/>
          <w:sz w:val="20"/>
          <w:szCs w:val="20"/>
        </w:rPr>
        <w:t xml:space="preserve"> </w:t>
      </w:r>
    </w:p>
    <w:p w14:paraId="05F7ADF8" w14:textId="77777777" w:rsidR="00F7530A" w:rsidRPr="00C41EDD" w:rsidRDefault="00F7530A" w:rsidP="00F7530A">
      <w:pPr>
        <w:numPr>
          <w:ilvl w:val="0"/>
          <w:numId w:val="3"/>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Reduced duplicate diagnostics when patients present at unfamiliar hospitals</w:t>
      </w:r>
    </w:p>
    <w:p w14:paraId="09D9ACD5" w14:textId="27BD3929" w:rsidR="00F7530A" w:rsidRPr="00C41EDD" w:rsidRDefault="00EC3915" w:rsidP="00F7530A">
      <w:pPr>
        <w:numPr>
          <w:ilvl w:val="0"/>
          <w:numId w:val="3"/>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Access to specialist approved care even in </w:t>
      </w:r>
      <w:r w:rsidR="00C371D2" w:rsidRPr="00C41EDD">
        <w:rPr>
          <w:color w:val="5F497A" w:themeColor="accent4" w:themeShade="BF"/>
          <w:sz w:val="20"/>
          <w:szCs w:val="20"/>
        </w:rPr>
        <w:t xml:space="preserve">non-specialist </w:t>
      </w:r>
      <w:r w:rsidRPr="00C41EDD">
        <w:rPr>
          <w:color w:val="5F497A" w:themeColor="accent4" w:themeShade="BF"/>
          <w:sz w:val="20"/>
          <w:szCs w:val="20"/>
        </w:rPr>
        <w:t xml:space="preserve">settings away from a patients’ home base – </w:t>
      </w:r>
      <w:r w:rsidR="00C371D2" w:rsidRPr="00C41EDD">
        <w:rPr>
          <w:color w:val="5F497A" w:themeColor="accent4" w:themeShade="BF"/>
          <w:sz w:val="20"/>
          <w:szCs w:val="20"/>
        </w:rPr>
        <w:t xml:space="preserve">i.e., </w:t>
      </w:r>
      <w:r w:rsidRPr="00C41EDD">
        <w:rPr>
          <w:color w:val="5F497A" w:themeColor="accent4" w:themeShade="BF"/>
          <w:sz w:val="20"/>
          <w:szCs w:val="20"/>
        </w:rPr>
        <w:t>patient-held summaries and pre-approved care plans can be accessed by hospitals</w:t>
      </w:r>
      <w:r w:rsidR="00A2707C" w:rsidRPr="00C41EDD">
        <w:rPr>
          <w:color w:val="5F497A" w:themeColor="accent4" w:themeShade="BF"/>
          <w:sz w:val="20"/>
          <w:szCs w:val="20"/>
        </w:rPr>
        <w:t xml:space="preserve"> </w:t>
      </w:r>
      <w:r w:rsidRPr="00C41EDD">
        <w:rPr>
          <w:color w:val="5F497A" w:themeColor="accent4" w:themeShade="BF"/>
          <w:sz w:val="20"/>
          <w:szCs w:val="20"/>
        </w:rPr>
        <w:t>without specialist sickle cell services (including abroad)</w:t>
      </w:r>
    </w:p>
    <w:p w14:paraId="535B64BC" w14:textId="666D0037" w:rsidR="00A2707C" w:rsidRPr="00C41EDD" w:rsidRDefault="00A2707C" w:rsidP="00A2707C">
      <w:pPr>
        <w:numPr>
          <w:ilvl w:val="0"/>
          <w:numId w:val="3"/>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Flags </w:t>
      </w:r>
      <w:r w:rsidRPr="00C41EDD">
        <w:rPr>
          <w:color w:val="5F497A" w:themeColor="accent4" w:themeShade="BF"/>
          <w:sz w:val="20"/>
          <w:szCs w:val="20"/>
        </w:rPr>
        <w:t xml:space="preserve">for </w:t>
      </w:r>
      <w:r w:rsidRPr="00C41EDD">
        <w:rPr>
          <w:color w:val="5F497A" w:themeColor="accent4" w:themeShade="BF"/>
          <w:sz w:val="20"/>
          <w:szCs w:val="20"/>
        </w:rPr>
        <w:t xml:space="preserve">unmet referral needs </w:t>
      </w:r>
      <w:r w:rsidRPr="00C41EDD">
        <w:rPr>
          <w:color w:val="5F497A" w:themeColor="accent4" w:themeShade="BF"/>
          <w:sz w:val="20"/>
          <w:szCs w:val="20"/>
        </w:rPr>
        <w:t>(e.g.,</w:t>
      </w:r>
      <w:r w:rsidRPr="00C41EDD">
        <w:rPr>
          <w:color w:val="5F497A" w:themeColor="accent4" w:themeShade="BF"/>
          <w:sz w:val="20"/>
          <w:szCs w:val="20"/>
        </w:rPr>
        <w:t xml:space="preserve"> pain specialists, psychology, social care, genetic counselling, obstetrics</w:t>
      </w:r>
      <w:r w:rsidRPr="00C41EDD">
        <w:rPr>
          <w:color w:val="5F497A" w:themeColor="accent4" w:themeShade="BF"/>
          <w:sz w:val="20"/>
          <w:szCs w:val="20"/>
        </w:rPr>
        <w:t>)</w:t>
      </w:r>
      <w:r w:rsidRPr="00C41EDD">
        <w:rPr>
          <w:color w:val="5F497A" w:themeColor="accent4" w:themeShade="BF"/>
          <w:sz w:val="20"/>
          <w:szCs w:val="20"/>
        </w:rPr>
        <w:t xml:space="preserve"> that would otherwise go unaddressed between acute episodes</w:t>
      </w:r>
    </w:p>
    <w:p w14:paraId="7937238A" w14:textId="3F8480E0" w:rsidR="00A2707C" w:rsidRPr="00C41EDD" w:rsidRDefault="00A2707C" w:rsidP="00A2707C">
      <w:pPr>
        <w:numPr>
          <w:ilvl w:val="0"/>
          <w:numId w:val="3"/>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Ability to p</w:t>
      </w:r>
      <w:r w:rsidRPr="00C41EDD">
        <w:rPr>
          <w:color w:val="5F497A" w:themeColor="accent4" w:themeShade="BF"/>
          <w:sz w:val="20"/>
          <w:szCs w:val="20"/>
        </w:rPr>
        <w:t>rompt review at appropriate intervals, reducing patients falling through gaps</w:t>
      </w:r>
      <w:r w:rsidRPr="00C41EDD">
        <w:rPr>
          <w:color w:val="5F497A" w:themeColor="accent4" w:themeShade="BF"/>
          <w:sz w:val="20"/>
          <w:szCs w:val="20"/>
        </w:rPr>
        <w:t xml:space="preserve"> and outdated care plans, while enabling </w:t>
      </w:r>
      <w:r w:rsidRPr="00C41EDD">
        <w:rPr>
          <w:color w:val="5F497A" w:themeColor="accent4" w:themeShade="BF"/>
          <w:sz w:val="20"/>
          <w:szCs w:val="20"/>
        </w:rPr>
        <w:t xml:space="preserve">proactive outreach </w:t>
      </w:r>
      <w:r w:rsidRPr="00C41EDD">
        <w:rPr>
          <w:color w:val="5F497A" w:themeColor="accent4" w:themeShade="BF"/>
          <w:sz w:val="20"/>
          <w:szCs w:val="20"/>
        </w:rPr>
        <w:t xml:space="preserve">/ prevention </w:t>
      </w:r>
      <w:r w:rsidRPr="00C41EDD">
        <w:rPr>
          <w:color w:val="5F497A" w:themeColor="accent4" w:themeShade="BF"/>
          <w:sz w:val="20"/>
          <w:szCs w:val="20"/>
        </w:rPr>
        <w:t>rather than reactive crisis-only contact</w:t>
      </w:r>
    </w:p>
    <w:p w14:paraId="7EC82185" w14:textId="78A469CF" w:rsidR="00F7530A" w:rsidRPr="00C41EDD" w:rsidRDefault="007101E7" w:rsidP="00F7530A">
      <w:p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A</w:t>
      </w:r>
      <w:r w:rsidR="00F7530A" w:rsidRPr="00C41EDD">
        <w:rPr>
          <w:color w:val="5F497A" w:themeColor="accent4" w:themeShade="BF"/>
          <w:sz w:val="20"/>
          <w:szCs w:val="20"/>
        </w:rPr>
        <w:t>ccountability</w:t>
      </w:r>
    </w:p>
    <w:p w14:paraId="64D836DC" w14:textId="5EA773EF" w:rsidR="007101E7" w:rsidRPr="00C41EDD" w:rsidRDefault="007101E7" w:rsidP="007101E7">
      <w:pPr>
        <w:numPr>
          <w:ilvl w:val="0"/>
          <w:numId w:val="4"/>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A documented, </w:t>
      </w:r>
      <w:r w:rsidRPr="00C41EDD">
        <w:rPr>
          <w:color w:val="5F497A" w:themeColor="accent4" w:themeShade="BF"/>
          <w:sz w:val="20"/>
          <w:szCs w:val="20"/>
        </w:rPr>
        <w:t xml:space="preserve">co-produced, </w:t>
      </w:r>
      <w:r w:rsidRPr="00C41EDD">
        <w:rPr>
          <w:color w:val="5F497A" w:themeColor="accent4" w:themeShade="BF"/>
          <w:sz w:val="20"/>
          <w:szCs w:val="20"/>
        </w:rPr>
        <w:t>portable record that can be used by patients to challenge inconsistent or substandard treatment</w:t>
      </w:r>
    </w:p>
    <w:p w14:paraId="55BD875D" w14:textId="77777777" w:rsidR="007101E7" w:rsidRPr="00C41EDD" w:rsidRDefault="007101E7" w:rsidP="007101E7">
      <w:pPr>
        <w:numPr>
          <w:ilvl w:val="0"/>
          <w:numId w:val="4"/>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A log of clinicians and staff involved in each care episode </w:t>
      </w:r>
    </w:p>
    <w:p w14:paraId="62FED4C6" w14:textId="1BF62CEF" w:rsidR="007101E7" w:rsidRPr="00C41EDD" w:rsidRDefault="007101E7" w:rsidP="007101E7">
      <w:pPr>
        <w:numPr>
          <w:ilvl w:val="0"/>
          <w:numId w:val="4"/>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Ability to see patterns of dismissal, delayed analgesia, or non-adherence to care </w:t>
      </w:r>
      <w:r w:rsidRPr="00C41EDD">
        <w:rPr>
          <w:color w:val="5F497A" w:themeColor="accent4" w:themeShade="BF"/>
          <w:sz w:val="20"/>
          <w:szCs w:val="20"/>
        </w:rPr>
        <w:t>plans</w:t>
      </w:r>
      <w:r w:rsidRPr="00C41EDD">
        <w:rPr>
          <w:color w:val="5F497A" w:themeColor="accent4" w:themeShade="BF"/>
          <w:sz w:val="20"/>
          <w:szCs w:val="20"/>
        </w:rPr>
        <w:t xml:space="preserve"> (at individual, organisational and systems level)</w:t>
      </w:r>
      <w:r w:rsidR="00A2707C" w:rsidRPr="00C41EDD">
        <w:rPr>
          <w:color w:val="5F497A" w:themeColor="accent4" w:themeShade="BF"/>
          <w:sz w:val="20"/>
          <w:szCs w:val="20"/>
        </w:rPr>
        <w:t xml:space="preserve"> </w:t>
      </w:r>
      <w:r w:rsidRPr="00C41EDD">
        <w:rPr>
          <w:color w:val="5F497A" w:themeColor="accent4" w:themeShade="BF"/>
          <w:sz w:val="20"/>
          <w:szCs w:val="20"/>
        </w:rPr>
        <w:t>enabling targeted intervention and training</w:t>
      </w:r>
      <w:r w:rsidR="00A2707C" w:rsidRPr="00C41EDD">
        <w:rPr>
          <w:color w:val="5F497A" w:themeColor="accent4" w:themeShade="BF"/>
          <w:sz w:val="20"/>
          <w:szCs w:val="20"/>
        </w:rPr>
        <w:t xml:space="preserve"> – compliance can be a performance measurement </w:t>
      </w:r>
      <w:r w:rsidRPr="00C41EDD">
        <w:rPr>
          <w:color w:val="5F497A" w:themeColor="accent4" w:themeShade="BF"/>
          <w:sz w:val="20"/>
          <w:szCs w:val="20"/>
        </w:rPr>
        <w:t xml:space="preserve"> </w:t>
      </w:r>
    </w:p>
    <w:p w14:paraId="311C9BCC" w14:textId="028DC781" w:rsidR="00F7530A" w:rsidRPr="00C41EDD" w:rsidRDefault="00C371D2" w:rsidP="007101E7">
      <w:pPr>
        <w:numPr>
          <w:ilvl w:val="0"/>
          <w:numId w:val="4"/>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Opportunity to enable p</w:t>
      </w:r>
      <w:r w:rsidR="00F7530A" w:rsidRPr="00C41EDD">
        <w:rPr>
          <w:color w:val="5F497A" w:themeColor="accent4" w:themeShade="BF"/>
          <w:sz w:val="20"/>
          <w:szCs w:val="20"/>
        </w:rPr>
        <w:t>atient feedback capture post-encounter</w:t>
      </w:r>
      <w:r w:rsidRPr="00C41EDD">
        <w:rPr>
          <w:color w:val="5F497A" w:themeColor="accent4" w:themeShade="BF"/>
          <w:sz w:val="20"/>
          <w:szCs w:val="20"/>
        </w:rPr>
        <w:t xml:space="preserve">, increasing accountability and </w:t>
      </w:r>
      <w:r w:rsidR="00F7530A" w:rsidRPr="00C41EDD">
        <w:rPr>
          <w:color w:val="5F497A" w:themeColor="accent4" w:themeShade="BF"/>
          <w:sz w:val="20"/>
          <w:szCs w:val="20"/>
        </w:rPr>
        <w:t xml:space="preserve">generating patient-reported experience data </w:t>
      </w:r>
      <w:r w:rsidRPr="00C41EDD">
        <w:rPr>
          <w:color w:val="5F497A" w:themeColor="accent4" w:themeShade="BF"/>
          <w:sz w:val="20"/>
          <w:szCs w:val="20"/>
        </w:rPr>
        <w:t xml:space="preserve">for commissioners, policymakers and providers </w:t>
      </w:r>
    </w:p>
    <w:p w14:paraId="3191A239" w14:textId="6169EEC9" w:rsidR="00F7530A" w:rsidRPr="00C41EDD" w:rsidRDefault="00F7530A" w:rsidP="00F7530A">
      <w:pPr>
        <w:numPr>
          <w:ilvl w:val="0"/>
          <w:numId w:val="4"/>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Formal document</w:t>
      </w:r>
      <w:r w:rsidR="00C371D2" w:rsidRPr="00C41EDD">
        <w:rPr>
          <w:color w:val="5F497A" w:themeColor="accent4" w:themeShade="BF"/>
          <w:sz w:val="20"/>
          <w:szCs w:val="20"/>
        </w:rPr>
        <w:t>ation of</w:t>
      </w:r>
      <w:r w:rsidRPr="00C41EDD">
        <w:rPr>
          <w:color w:val="5F497A" w:themeColor="accent4" w:themeShade="BF"/>
          <w:sz w:val="20"/>
          <w:szCs w:val="20"/>
        </w:rPr>
        <w:t xml:space="preserve"> carer roles, preferences, and emergency contacts</w:t>
      </w:r>
      <w:r w:rsidR="00B77B6E" w:rsidRPr="00C41EDD">
        <w:rPr>
          <w:color w:val="5F497A" w:themeColor="accent4" w:themeShade="BF"/>
          <w:sz w:val="20"/>
          <w:szCs w:val="20"/>
        </w:rPr>
        <w:t xml:space="preserve"> to </w:t>
      </w:r>
      <w:r w:rsidR="007101E7" w:rsidRPr="00C41EDD">
        <w:rPr>
          <w:color w:val="5F497A" w:themeColor="accent4" w:themeShade="BF"/>
          <w:sz w:val="20"/>
          <w:szCs w:val="20"/>
        </w:rPr>
        <w:t>legitimise</w:t>
      </w:r>
      <w:r w:rsidR="00B77B6E" w:rsidRPr="00C41EDD">
        <w:rPr>
          <w:color w:val="5F497A" w:themeColor="accent4" w:themeShade="BF"/>
          <w:sz w:val="20"/>
          <w:szCs w:val="20"/>
        </w:rPr>
        <w:t xml:space="preserve"> </w:t>
      </w:r>
      <w:r w:rsidRPr="00C41EDD">
        <w:rPr>
          <w:color w:val="5F497A" w:themeColor="accent4" w:themeShade="BF"/>
          <w:sz w:val="20"/>
          <w:szCs w:val="20"/>
        </w:rPr>
        <w:t xml:space="preserve">carer involvement </w:t>
      </w:r>
    </w:p>
    <w:p w14:paraId="32F4E57B" w14:textId="0875E09F" w:rsidR="00F7530A" w:rsidRPr="00C41EDD" w:rsidRDefault="00A2707C" w:rsidP="00F7530A">
      <w:p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Policy, practice</w:t>
      </w:r>
      <w:r w:rsidR="00F7530A" w:rsidRPr="00C41EDD">
        <w:rPr>
          <w:color w:val="5F497A" w:themeColor="accent4" w:themeShade="BF"/>
          <w:sz w:val="20"/>
          <w:szCs w:val="20"/>
        </w:rPr>
        <w:t xml:space="preserve"> &amp; </w:t>
      </w:r>
      <w:r w:rsidRPr="00C41EDD">
        <w:rPr>
          <w:color w:val="5F497A" w:themeColor="accent4" w:themeShade="BF"/>
          <w:sz w:val="20"/>
          <w:szCs w:val="20"/>
        </w:rPr>
        <w:t>research</w:t>
      </w:r>
    </w:p>
    <w:p w14:paraId="78145EC5" w14:textId="4BF8AA29" w:rsidR="00F7530A" w:rsidRPr="00C41EDD" w:rsidRDefault="00A2707C" w:rsidP="00F7530A">
      <w:pPr>
        <w:numPr>
          <w:ilvl w:val="0"/>
          <w:numId w:val="7"/>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 xml:space="preserve">More accurate </w:t>
      </w:r>
      <w:r w:rsidRPr="00C41EDD">
        <w:rPr>
          <w:color w:val="5F497A" w:themeColor="accent4" w:themeShade="BF"/>
          <w:sz w:val="20"/>
          <w:szCs w:val="20"/>
        </w:rPr>
        <w:t>needs assessment and capacity planning</w:t>
      </w:r>
      <w:r w:rsidRPr="00C41EDD">
        <w:rPr>
          <w:color w:val="5F497A" w:themeColor="accent4" w:themeShade="BF"/>
          <w:sz w:val="20"/>
          <w:szCs w:val="20"/>
        </w:rPr>
        <w:t xml:space="preserve"> due to r</w:t>
      </w:r>
      <w:r w:rsidR="00F7530A" w:rsidRPr="00C41EDD">
        <w:rPr>
          <w:color w:val="5F497A" w:themeColor="accent4" w:themeShade="BF"/>
          <w:sz w:val="20"/>
          <w:szCs w:val="20"/>
        </w:rPr>
        <w:t>eal-world data on crisis frequency, duration, and acuity per patient</w:t>
      </w:r>
    </w:p>
    <w:p w14:paraId="4084A985" w14:textId="2DFC52AD" w:rsidR="00F7530A" w:rsidRPr="00C41EDD" w:rsidRDefault="00F7530A" w:rsidP="00F7530A">
      <w:pPr>
        <w:numPr>
          <w:ilvl w:val="0"/>
          <w:numId w:val="7"/>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lastRenderedPageBreak/>
        <w:t xml:space="preserve">Identification of high-frequency attenders who may need </w:t>
      </w:r>
      <w:r w:rsidR="00940F1E" w:rsidRPr="00C41EDD">
        <w:rPr>
          <w:color w:val="5F497A" w:themeColor="accent4" w:themeShade="BF"/>
          <w:sz w:val="20"/>
          <w:szCs w:val="20"/>
        </w:rPr>
        <w:t xml:space="preserve">better condition control / disease management or </w:t>
      </w:r>
      <w:r w:rsidRPr="00C41EDD">
        <w:rPr>
          <w:color w:val="5F497A" w:themeColor="accent4" w:themeShade="BF"/>
          <w:sz w:val="20"/>
          <w:szCs w:val="20"/>
        </w:rPr>
        <w:t xml:space="preserve">escalated community support </w:t>
      </w:r>
    </w:p>
    <w:p w14:paraId="61739AE9" w14:textId="5295FCDB" w:rsidR="00F7530A" w:rsidRPr="00C41EDD" w:rsidRDefault="00F7530A" w:rsidP="00A71C30">
      <w:pPr>
        <w:numPr>
          <w:ilvl w:val="0"/>
          <w:numId w:val="7"/>
        </w:numPr>
        <w:spacing w:before="100" w:beforeAutospacing="1" w:after="100" w:afterAutospacing="1" w:line="240" w:lineRule="auto"/>
        <w:rPr>
          <w:color w:val="5F497A" w:themeColor="accent4" w:themeShade="BF"/>
          <w:sz w:val="20"/>
          <w:szCs w:val="20"/>
        </w:rPr>
      </w:pPr>
      <w:r w:rsidRPr="00C41EDD">
        <w:rPr>
          <w:color w:val="5F497A" w:themeColor="accent4" w:themeShade="BF"/>
          <w:sz w:val="20"/>
          <w:szCs w:val="20"/>
        </w:rPr>
        <w:t>Feeds into</w:t>
      </w:r>
      <w:r w:rsidR="00940F1E" w:rsidRPr="00C41EDD">
        <w:rPr>
          <w:color w:val="5F497A" w:themeColor="accent4" w:themeShade="BF"/>
          <w:sz w:val="20"/>
          <w:szCs w:val="20"/>
        </w:rPr>
        <w:t xml:space="preserve"> </w:t>
      </w:r>
      <w:r w:rsidR="00C41EDD" w:rsidRPr="00C41EDD">
        <w:rPr>
          <w:color w:val="5F497A" w:themeColor="accent4" w:themeShade="BF"/>
          <w:sz w:val="20"/>
          <w:szCs w:val="20"/>
        </w:rPr>
        <w:t>national registries</w:t>
      </w:r>
      <w:r w:rsidR="00940F1E" w:rsidRPr="00C41EDD">
        <w:rPr>
          <w:color w:val="5F497A" w:themeColor="accent4" w:themeShade="BF"/>
          <w:sz w:val="20"/>
          <w:szCs w:val="20"/>
        </w:rPr>
        <w:t xml:space="preserve">, </w:t>
      </w:r>
      <w:r w:rsidRPr="00C41EDD">
        <w:rPr>
          <w:color w:val="5F497A" w:themeColor="accent4" w:themeShade="BF"/>
          <w:sz w:val="20"/>
          <w:szCs w:val="20"/>
        </w:rPr>
        <w:t>near real-time dashboard</w:t>
      </w:r>
      <w:r w:rsidR="00940F1E" w:rsidRPr="00C41EDD">
        <w:rPr>
          <w:color w:val="5F497A" w:themeColor="accent4" w:themeShade="BF"/>
          <w:sz w:val="20"/>
          <w:szCs w:val="20"/>
        </w:rPr>
        <w:t>s and research datasets</w:t>
      </w:r>
      <w:r w:rsidRPr="00C41EDD">
        <w:rPr>
          <w:color w:val="5F497A" w:themeColor="accent4" w:themeShade="BF"/>
          <w:sz w:val="20"/>
          <w:szCs w:val="20"/>
        </w:rPr>
        <w:t xml:space="preserve"> </w:t>
      </w:r>
      <w:r w:rsidR="00940F1E" w:rsidRPr="00C41EDD">
        <w:rPr>
          <w:color w:val="5F497A" w:themeColor="accent4" w:themeShade="BF"/>
          <w:sz w:val="20"/>
          <w:szCs w:val="20"/>
        </w:rPr>
        <w:t xml:space="preserve">highlighting </w:t>
      </w:r>
      <w:r w:rsidRPr="00C41EDD">
        <w:rPr>
          <w:color w:val="5F497A" w:themeColor="accent4" w:themeShade="BF"/>
          <w:sz w:val="20"/>
          <w:szCs w:val="20"/>
        </w:rPr>
        <w:t>variation</w:t>
      </w:r>
      <w:r w:rsidR="00940F1E" w:rsidRPr="00C41EDD">
        <w:rPr>
          <w:color w:val="5F497A" w:themeColor="accent4" w:themeShade="BF"/>
          <w:sz w:val="20"/>
          <w:szCs w:val="20"/>
        </w:rPr>
        <w:t>s</w:t>
      </w:r>
      <w:r w:rsidRPr="00C41EDD">
        <w:rPr>
          <w:color w:val="5F497A" w:themeColor="accent4" w:themeShade="BF"/>
          <w:sz w:val="20"/>
          <w:szCs w:val="20"/>
        </w:rPr>
        <w:t xml:space="preserve"> in </w:t>
      </w:r>
      <w:r w:rsidR="00940F1E" w:rsidRPr="00C41EDD">
        <w:rPr>
          <w:color w:val="5F497A" w:themeColor="accent4" w:themeShade="BF"/>
          <w:sz w:val="20"/>
          <w:szCs w:val="20"/>
        </w:rPr>
        <w:t xml:space="preserve">demand, service provision, treatment availability, patient </w:t>
      </w:r>
      <w:r w:rsidRPr="00C41EDD">
        <w:rPr>
          <w:color w:val="5F497A" w:themeColor="accent4" w:themeShade="BF"/>
          <w:sz w:val="20"/>
          <w:szCs w:val="20"/>
        </w:rPr>
        <w:t>outcomes</w:t>
      </w:r>
      <w:r w:rsidR="00940F1E" w:rsidRPr="00C41EDD">
        <w:rPr>
          <w:color w:val="5F497A" w:themeColor="accent4" w:themeShade="BF"/>
          <w:sz w:val="20"/>
          <w:szCs w:val="20"/>
        </w:rPr>
        <w:t>,</w:t>
      </w:r>
      <w:r w:rsidRPr="00C41EDD">
        <w:rPr>
          <w:color w:val="5F497A" w:themeColor="accent4" w:themeShade="BF"/>
          <w:sz w:val="20"/>
          <w:szCs w:val="20"/>
        </w:rPr>
        <w:t xml:space="preserve"> </w:t>
      </w:r>
      <w:r w:rsidR="00940F1E" w:rsidRPr="00C41EDD">
        <w:rPr>
          <w:color w:val="5F497A" w:themeColor="accent4" w:themeShade="BF"/>
          <w:sz w:val="20"/>
          <w:szCs w:val="20"/>
        </w:rPr>
        <w:t>and disease burden (by geography, socioeconomic status and other demographics</w:t>
      </w:r>
      <w:r w:rsidR="00C41EDD" w:rsidRPr="00C41EDD">
        <w:rPr>
          <w:color w:val="5F497A" w:themeColor="accent4" w:themeShade="BF"/>
          <w:sz w:val="20"/>
          <w:szCs w:val="20"/>
        </w:rPr>
        <w:t>)</w:t>
      </w:r>
      <w:r w:rsidR="00940F1E" w:rsidRPr="00C41EDD">
        <w:rPr>
          <w:color w:val="5F497A" w:themeColor="accent4" w:themeShade="BF"/>
          <w:sz w:val="20"/>
          <w:szCs w:val="20"/>
        </w:rPr>
        <w:t xml:space="preserve"> </w:t>
      </w:r>
      <w:r w:rsidR="00C41EDD" w:rsidRPr="00C41EDD">
        <w:rPr>
          <w:color w:val="5F497A" w:themeColor="accent4" w:themeShade="BF"/>
          <w:sz w:val="20"/>
          <w:szCs w:val="20"/>
        </w:rPr>
        <w:t>–</w:t>
      </w:r>
      <w:r w:rsidR="00940F1E" w:rsidRPr="00C41EDD">
        <w:rPr>
          <w:color w:val="5F497A" w:themeColor="accent4" w:themeShade="BF"/>
          <w:sz w:val="20"/>
          <w:szCs w:val="20"/>
        </w:rPr>
        <w:t xml:space="preserve"> </w:t>
      </w:r>
      <w:r w:rsidR="00C41EDD" w:rsidRPr="00C41EDD">
        <w:rPr>
          <w:color w:val="5F497A" w:themeColor="accent4" w:themeShade="BF"/>
          <w:sz w:val="20"/>
          <w:szCs w:val="20"/>
        </w:rPr>
        <w:t>beneficial for service commissioning, innovation,</w:t>
      </w:r>
      <w:r w:rsidR="00C41EDD">
        <w:rPr>
          <w:color w:val="5F497A" w:themeColor="accent4" w:themeShade="BF"/>
          <w:sz w:val="20"/>
          <w:szCs w:val="20"/>
        </w:rPr>
        <w:t xml:space="preserve"> workforce planning and training, </w:t>
      </w:r>
      <w:r w:rsidR="00C41EDD" w:rsidRPr="00C41EDD">
        <w:rPr>
          <w:color w:val="5F497A" w:themeColor="accent4" w:themeShade="BF"/>
          <w:sz w:val="20"/>
          <w:szCs w:val="20"/>
        </w:rPr>
        <w:t>systems strengthening and advocacy efforts</w:t>
      </w:r>
    </w:p>
    <w:sectPr w:rsidR="00F7530A" w:rsidRPr="00C41EDD">
      <w:headerReference w:type="default" r:id="rId11"/>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ainab Garba-Sani" w:date="2026-06-13T17:27:00Z" w:initials="ZGS">
    <w:p w14:paraId="21C8445D" w14:textId="77777777" w:rsidR="00F7530A" w:rsidRDefault="00F7530A" w:rsidP="00F7530A">
      <w:r>
        <w:rPr>
          <w:rStyle w:val="CommentReference"/>
        </w:rPr>
        <w:annotationRef/>
      </w:r>
      <w:r>
        <w:rPr>
          <w:sz w:val="20"/>
          <w:szCs w:val="20"/>
        </w:rPr>
        <w:t>See Appendix for some ideas...</w:t>
      </w:r>
    </w:p>
  </w:comment>
  <w:comment w:id="5" w:author="Zainab Garba-Sani" w:date="2026-06-13T17:28:00Z" w:initials="ZGS">
    <w:p w14:paraId="0463861E" w14:textId="77777777" w:rsidR="00A71C30" w:rsidRDefault="00A71C30" w:rsidP="00A71C30">
      <w:r>
        <w:rPr>
          <w:rStyle w:val="CommentReference"/>
        </w:rPr>
        <w:annotationRef/>
      </w:r>
      <w:r>
        <w:rPr>
          <w:sz w:val="20"/>
          <w:szCs w:val="20"/>
        </w:rPr>
        <w:t xml:space="preserve">Worth including the No One's Listening Report too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C8445D" w15:done="0"/>
  <w15:commentEx w15:paraId="046386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EE0FF9" w16cex:dateUtc="2026-06-13T16:27:00Z"/>
  <w16cex:commentExtensible w16cex:durableId="504A9DF2" w16cex:dateUtc="2026-06-13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C8445D" w16cid:durableId="66EE0FF9"/>
  <w16cid:commentId w16cid:paraId="0463861E" w16cid:durableId="504A9D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5963B" w14:textId="77777777" w:rsidR="00955126" w:rsidRDefault="00955126">
      <w:pPr>
        <w:spacing w:after="0" w:line="240" w:lineRule="auto"/>
      </w:pPr>
      <w:r>
        <w:separator/>
      </w:r>
    </w:p>
  </w:endnote>
  <w:endnote w:type="continuationSeparator" w:id="0">
    <w:p w14:paraId="1572A98D" w14:textId="77777777" w:rsidR="00955126" w:rsidRDefault="00955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730F97B-429C-DD40-97F6-5376D5ECC96C}"/>
  </w:font>
  <w:font w:name="Times New Roman">
    <w:panose1 w:val="02020603050405020304"/>
    <w:charset w:val="00"/>
    <w:family w:val="roman"/>
    <w:pitch w:val="variable"/>
    <w:sig w:usb0="E0002EFF" w:usb1="C000785B" w:usb2="00000009" w:usb3="00000000" w:csb0="000001FF" w:csb1="00000000"/>
    <w:embedRegular r:id="rId2" w:fontKey="{5A09F3CE-A107-B441-8988-21426C281539}"/>
    <w:embedBold r:id="rId3" w:fontKey="{6EC20765-D98E-E146-9D2A-8C317C3A3057}"/>
  </w:font>
  <w:font w:name="Courier New">
    <w:panose1 w:val="02070309020205020404"/>
    <w:charset w:val="00"/>
    <w:family w:val="modern"/>
    <w:pitch w:val="fixed"/>
    <w:sig w:usb0="E0002EFF" w:usb1="C0007843" w:usb2="00000009" w:usb3="00000000" w:csb0="000001FF" w:csb1="00000000"/>
    <w:embedRegular r:id="rId4" w:fontKey="{4EFB53B0-F205-D248-B857-29EF02CB162E}"/>
  </w:font>
  <w:font w:name="Wingdings">
    <w:panose1 w:val="05000000000000000000"/>
    <w:charset w:val="02"/>
    <w:family w:val="auto"/>
    <w:pitch w:val="variable"/>
    <w:sig w:usb0="00000000" w:usb1="10000000" w:usb2="00000000" w:usb3="00000000" w:csb0="80000000" w:csb1="00000000"/>
    <w:embedRegular r:id="rId5" w:fontKey="{AF32E8FA-C8A7-B648-B25A-8A728B3E96F9}"/>
  </w:font>
  <w:font w:name="Nunito Light">
    <w:panose1 w:val="00000000000000000000"/>
    <w:charset w:val="4D"/>
    <w:family w:val="auto"/>
    <w:pitch w:val="variable"/>
    <w:sig w:usb0="A00002FF" w:usb1="5000204B" w:usb2="00000000" w:usb3="00000000" w:csb0="00000197" w:csb1="00000000"/>
    <w:embedRegular r:id="rId6" w:fontKey="{D568EF99-BB38-F545-BB5E-02165238332A}"/>
    <w:embedBold r:id="rId7" w:fontKey="{7E5E2046-C9CC-344F-93F8-3D106832562B}"/>
  </w:font>
  <w:font w:name="Lato Black">
    <w:panose1 w:val="020F0502020204030203"/>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embedItalic r:id="rId8" w:fontKey="{C01CC1CA-C9A8-B44D-BDD0-01B4A6FF33A5}"/>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0002AFF" w:usb1="C000247B" w:usb2="00000009" w:usb3="00000000" w:csb0="000001FF" w:csb1="00000000"/>
    <w:embedRegular r:id="rId9" w:fontKey="{587E25E9-DED4-F74A-BB52-0F868A25F373}"/>
  </w:font>
  <w:font w:name="Cambria">
    <w:panose1 w:val="02040503050406030204"/>
    <w:charset w:val="00"/>
    <w:family w:val="roman"/>
    <w:notTrueType/>
    <w:pitch w:val="default"/>
    <w:embedRegular r:id="rId10" w:fontKey="{8205A0D8-11EA-3640-8D45-5047E51EB7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BF200" w14:textId="77777777" w:rsidR="00955126" w:rsidRDefault="00955126">
      <w:pPr>
        <w:spacing w:after="0" w:line="240" w:lineRule="auto"/>
      </w:pPr>
      <w:r>
        <w:separator/>
      </w:r>
    </w:p>
  </w:footnote>
  <w:footnote w:type="continuationSeparator" w:id="0">
    <w:p w14:paraId="04366CBC" w14:textId="77777777" w:rsidR="00955126" w:rsidRDefault="00955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5708" w14:textId="77777777" w:rsidR="00983439" w:rsidRDefault="00983439">
    <w:pPr>
      <w:pStyle w:val="Heading1"/>
      <w:keepNext w:val="0"/>
      <w:keepLines w:val="0"/>
      <w:pBdr>
        <w:top w:val="none" w:sz="0" w:space="0" w:color="000000"/>
        <w:left w:val="none" w:sz="0" w:space="0" w:color="000000"/>
        <w:right w:val="none" w:sz="0" w:space="0" w:color="000000"/>
      </w:pBdr>
      <w:shd w:val="clear" w:color="auto" w:fill="FFFFFF"/>
      <w:tabs>
        <w:tab w:val="center" w:pos="4513"/>
        <w:tab w:val="right" w:pos="9026"/>
      </w:tabs>
      <w:spacing w:before="0" w:after="120" w:line="240" w:lineRule="auto"/>
    </w:pPr>
    <w:bookmarkStart w:id="6" w:name="_5yopnaai470c" w:colFirst="0" w:colLast="0"/>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0E4"/>
    <w:multiLevelType w:val="multilevel"/>
    <w:tmpl w:val="C0B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26D8"/>
    <w:multiLevelType w:val="multilevel"/>
    <w:tmpl w:val="AD1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56A52"/>
    <w:multiLevelType w:val="multilevel"/>
    <w:tmpl w:val="26FAC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D573E"/>
    <w:multiLevelType w:val="multilevel"/>
    <w:tmpl w:val="5A04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D5850"/>
    <w:multiLevelType w:val="multilevel"/>
    <w:tmpl w:val="7AC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516F4"/>
    <w:multiLevelType w:val="multilevel"/>
    <w:tmpl w:val="93F0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C7395"/>
    <w:multiLevelType w:val="multilevel"/>
    <w:tmpl w:val="C8608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E606B8B"/>
    <w:multiLevelType w:val="multilevel"/>
    <w:tmpl w:val="1E8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531D7"/>
    <w:multiLevelType w:val="multilevel"/>
    <w:tmpl w:val="732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40671">
    <w:abstractNumId w:val="6"/>
  </w:num>
  <w:num w:numId="2" w16cid:durableId="1027364575">
    <w:abstractNumId w:val="5"/>
  </w:num>
  <w:num w:numId="3" w16cid:durableId="1229150757">
    <w:abstractNumId w:val="0"/>
  </w:num>
  <w:num w:numId="4" w16cid:durableId="150223079">
    <w:abstractNumId w:val="2"/>
  </w:num>
  <w:num w:numId="5" w16cid:durableId="1519998894">
    <w:abstractNumId w:val="4"/>
  </w:num>
  <w:num w:numId="6" w16cid:durableId="2084915314">
    <w:abstractNumId w:val="1"/>
  </w:num>
  <w:num w:numId="7" w16cid:durableId="696543773">
    <w:abstractNumId w:val="8"/>
  </w:num>
  <w:num w:numId="8" w16cid:durableId="1444106468">
    <w:abstractNumId w:val="3"/>
  </w:num>
  <w:num w:numId="9" w16cid:durableId="178326535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inab Garba-Sani">
    <w15:presenceInfo w15:providerId="None" w15:userId="Zainab Garba-Sa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439"/>
    <w:rsid w:val="007101E7"/>
    <w:rsid w:val="00940F1E"/>
    <w:rsid w:val="00955126"/>
    <w:rsid w:val="00982B52"/>
    <w:rsid w:val="00983439"/>
    <w:rsid w:val="00A2707C"/>
    <w:rsid w:val="00A71C30"/>
    <w:rsid w:val="00B77B6E"/>
    <w:rsid w:val="00C371D2"/>
    <w:rsid w:val="00C41EDD"/>
    <w:rsid w:val="00EC3915"/>
    <w:rsid w:val="00F7530A"/>
    <w:rsid w:val="00FD30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E6BC"/>
  <w15:docId w15:val="{CF886028-4BCE-864C-B803-C0877DACD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Light" w:eastAsia="Nunito Light" w:hAnsi="Nunito Light" w:cs="Nunito Light"/>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Lato Black" w:eastAsia="Lato Black" w:hAnsi="Lato Black" w:cs="Lato Black"/>
      <w:color w:val="3D3381"/>
      <w:sz w:val="56"/>
      <w:szCs w:val="56"/>
    </w:rPr>
  </w:style>
  <w:style w:type="paragraph" w:styleId="Heading2">
    <w:name w:val="heading 2"/>
    <w:basedOn w:val="Normal"/>
    <w:next w:val="Normal"/>
    <w:uiPriority w:val="9"/>
    <w:unhideWhenUsed/>
    <w:qFormat/>
    <w:pPr>
      <w:keepNext/>
      <w:keepLines/>
      <w:spacing w:before="360" w:after="80"/>
      <w:outlineLvl w:val="1"/>
    </w:pPr>
    <w:rPr>
      <w:rFonts w:ascii="Lato Black" w:eastAsia="Lato Black" w:hAnsi="Lato Black" w:cs="Lato Black"/>
      <w:color w:val="3D3381"/>
      <w:sz w:val="44"/>
      <w:szCs w:val="44"/>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Revision">
    <w:name w:val="Revision"/>
    <w:hidden/>
    <w:uiPriority w:val="99"/>
    <w:semiHidden/>
    <w:rsid w:val="00FD300E"/>
    <w:pPr>
      <w:spacing w:after="0" w:line="240" w:lineRule="auto"/>
    </w:pPr>
  </w:style>
  <w:style w:type="character" w:styleId="CommentReference">
    <w:name w:val="annotation reference"/>
    <w:basedOn w:val="DefaultParagraphFont"/>
    <w:uiPriority w:val="99"/>
    <w:semiHidden/>
    <w:unhideWhenUsed/>
    <w:rsid w:val="00F7530A"/>
    <w:rPr>
      <w:sz w:val="16"/>
      <w:szCs w:val="16"/>
    </w:rPr>
  </w:style>
  <w:style w:type="paragraph" w:styleId="CommentText">
    <w:name w:val="annotation text"/>
    <w:basedOn w:val="Normal"/>
    <w:link w:val="CommentTextChar"/>
    <w:uiPriority w:val="99"/>
    <w:semiHidden/>
    <w:unhideWhenUsed/>
    <w:rsid w:val="00F7530A"/>
    <w:pPr>
      <w:spacing w:line="240" w:lineRule="auto"/>
    </w:pPr>
    <w:rPr>
      <w:sz w:val="20"/>
      <w:szCs w:val="20"/>
    </w:rPr>
  </w:style>
  <w:style w:type="character" w:customStyle="1" w:styleId="CommentTextChar">
    <w:name w:val="Comment Text Char"/>
    <w:basedOn w:val="DefaultParagraphFont"/>
    <w:link w:val="CommentText"/>
    <w:uiPriority w:val="99"/>
    <w:semiHidden/>
    <w:rsid w:val="00F7530A"/>
    <w:rPr>
      <w:sz w:val="20"/>
      <w:szCs w:val="20"/>
    </w:rPr>
  </w:style>
  <w:style w:type="paragraph" w:styleId="CommentSubject">
    <w:name w:val="annotation subject"/>
    <w:basedOn w:val="CommentText"/>
    <w:next w:val="CommentText"/>
    <w:link w:val="CommentSubjectChar"/>
    <w:uiPriority w:val="99"/>
    <w:semiHidden/>
    <w:unhideWhenUsed/>
    <w:rsid w:val="00F7530A"/>
    <w:rPr>
      <w:b/>
      <w:bCs/>
    </w:rPr>
  </w:style>
  <w:style w:type="character" w:customStyle="1" w:styleId="CommentSubjectChar">
    <w:name w:val="Comment Subject Char"/>
    <w:basedOn w:val="CommentTextChar"/>
    <w:link w:val="CommentSubject"/>
    <w:uiPriority w:val="99"/>
    <w:semiHidden/>
    <w:rsid w:val="00F7530A"/>
    <w:rPr>
      <w:b/>
      <w:bCs/>
      <w:sz w:val="20"/>
      <w:szCs w:val="20"/>
    </w:rPr>
  </w:style>
  <w:style w:type="paragraph" w:customStyle="1" w:styleId="font-claude-response-body">
    <w:name w:val="font-claude-response-body"/>
    <w:basedOn w:val="Normal"/>
    <w:rsid w:val="00F7530A"/>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F7530A"/>
    <w:rPr>
      <w:b/>
      <w:bCs/>
    </w:rPr>
  </w:style>
  <w:style w:type="character" w:styleId="Hyperlink">
    <w:name w:val="Hyperlink"/>
    <w:basedOn w:val="DefaultParagraphFont"/>
    <w:uiPriority w:val="99"/>
    <w:unhideWhenUsed/>
    <w:rsid w:val="00F7530A"/>
    <w:rPr>
      <w:color w:val="0000FF" w:themeColor="hyperlink"/>
      <w:u w:val="single"/>
    </w:rPr>
  </w:style>
  <w:style w:type="character" w:styleId="UnresolvedMention">
    <w:name w:val="Unresolved Mention"/>
    <w:basedOn w:val="DefaultParagraphFont"/>
    <w:uiPriority w:val="99"/>
    <w:semiHidden/>
    <w:unhideWhenUsed/>
    <w:rsid w:val="00F7530A"/>
    <w:rPr>
      <w:color w:val="605E5C"/>
      <w:shd w:val="clear" w:color="auto" w:fill="E1DFDD"/>
    </w:rPr>
  </w:style>
  <w:style w:type="paragraph" w:styleId="ListParagraph">
    <w:name w:val="List Paragraph"/>
    <w:basedOn w:val="Normal"/>
    <w:uiPriority w:val="34"/>
    <w:qFormat/>
    <w:rsid w:val="00EC39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Zainab Garba-Sani</cp:lastModifiedBy>
  <cp:revision>3</cp:revision>
  <dcterms:created xsi:type="dcterms:W3CDTF">2026-06-13T17:21:00Z</dcterms:created>
  <dcterms:modified xsi:type="dcterms:W3CDTF">2026-06-14T23:19:00Z</dcterms:modified>
</cp:coreProperties>
</file>