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400"/>
        <w:ind w:hanging="0" w:left="0" w:right="0"/>
        <w:jc w:val="right"/>
        <w:rPr/>
      </w:pPr>
      <w:r>
        <w:rPr/>
        <w:drawing>
          <wp:inline distT="0" distB="0" distL="0" distR="0">
            <wp:extent cx="2190750" cy="638175"/>
            <wp:effectExtent l="0" t="0" r="0" b="0"/>
            <wp:docPr id="1" name="Image1" descr="NHS Race and Health Observ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NHS Race and Health Observatory"/>
                    <pic:cNvPicPr>
                      <a:picLocks noChangeAspect="1" noChangeArrowheads="1"/>
                    </pic:cNvPicPr>
                  </pic:nvPicPr>
                  <pic:blipFill>
                    <a:blip r:embed="rId2"/>
                    <a:stretch>
                      <a:fillRect/>
                    </a:stretch>
                  </pic:blipFill>
                  <pic:spPr bwMode="auto">
                    <a:xfrm>
                      <a:off x="0" y="0"/>
                      <a:ext cx="2190750" cy="638175"/>
                    </a:xfrm>
                    <a:prstGeom prst="rect">
                      <a:avLst/>
                    </a:prstGeom>
                    <a:noFill/>
                  </pic:spPr>
                </pic:pic>
              </a:graphicData>
            </a:graphic>
          </wp:inline>
        </w:drawing>
      </w:r>
    </w:p>
    <w:p>
      <w:pPr>
        <w:pStyle w:val="BodyText"/>
        <w:bidi w:val="0"/>
        <w:spacing w:before="0" w:after="400"/>
        <w:jc w:val="right"/>
        <w:rPr/>
      </w:pPr>
      <w:r>
        <w:rPr/>
        <w:t>2nd Floor</w:t>
        <w:br/>
        <w:t>18 Smith Square</w:t>
        <w:br/>
        <w:t>Westminster</w:t>
        <w:br/>
        <w:t>London</w:t>
        <w:br/>
        <w:t>SW1P 3HZ</w:t>
        <w:br/>
        <w:t>Tel 0113 306 3000</w:t>
      </w:r>
    </w:p>
    <w:p>
      <w:pPr>
        <w:pStyle w:val="BodyText"/>
        <w:bidi w:val="0"/>
        <w:spacing w:before="0" w:after="400"/>
        <w:jc w:val="right"/>
        <w:rPr/>
      </w:pPr>
      <w:r>
        <w:rPr/>
        <w:t>Chair: Dame Marie Gabriel DBE</w:t>
        <w:br/>
        <w:t>Chief Executive: Prof Habib Naqvi MBE</w:t>
      </w:r>
    </w:p>
    <w:p>
      <w:pPr>
        <w:pStyle w:val="Heading1"/>
        <w:bidi w:val="0"/>
        <w:jc w:val="left"/>
        <w:rPr/>
      </w:pPr>
      <w:r>
        <w:rPr/>
        <w:t>Memorandum of Understanding</w:t>
      </w:r>
    </w:p>
    <w:p>
      <w:pPr>
        <w:pStyle w:val="Heading3"/>
        <w:bidi w:val="0"/>
        <w:jc w:val="left"/>
        <w:rPr/>
      </w:pPr>
      <w:r>
        <w:rPr/>
        <w:t>Personalised digital care plans for acute painful sickle cell care episodes</w:t>
      </w:r>
    </w:p>
    <w:p>
      <w:pPr>
        <w:pStyle w:val="BodyText"/>
        <w:bidi w:val="0"/>
        <w:jc w:val="left"/>
        <w:rPr/>
      </w:pPr>
      <w:r>
        <w:rPr>
          <w:rStyle w:val="Strong"/>
        </w:rPr>
        <w:t>Dated:</w:t>
      </w:r>
      <w:r>
        <w:rPr/>
        <w:t xml:space="preserve"> [to be completed on signature]</w:t>
      </w:r>
    </w:p>
    <w:p>
      <w:pPr>
        <w:pStyle w:val="BodyText"/>
        <w:bidi w:val="0"/>
        <w:jc w:val="left"/>
        <w:rPr/>
      </w:pPr>
      <w:r>
        <w:rPr>
          <w:rStyle w:val="Strong"/>
        </w:rPr>
        <w:t>Between:</w:t>
      </w:r>
    </w:p>
    <w:p>
      <w:pPr>
        <w:pStyle w:val="BodyText"/>
        <w:numPr>
          <w:ilvl w:val="0"/>
          <w:numId w:val="1"/>
        </w:numPr>
        <w:tabs>
          <w:tab w:val="clear" w:pos="1134"/>
          <w:tab w:val="left" w:pos="709" w:leader="none"/>
        </w:tabs>
        <w:bidi w:val="0"/>
        <w:spacing w:before="0" w:after="0"/>
        <w:ind w:hanging="283" w:left="709"/>
        <w:jc w:val="left"/>
        <w:rPr/>
      </w:pPr>
      <w:r>
        <w:rPr>
          <w:rStyle w:val="Strong"/>
        </w:rPr>
        <w:t>The NHS Confederation</w:t>
      </w:r>
      <w:r>
        <w:rPr/>
        <w:t xml:space="preserve"> of 2nd Floor, 18 Smith Square, London, England, SW1P 3HZ (company no. 04358614), acting through the </w:t>
      </w:r>
      <w:r>
        <w:rPr>
          <w:rStyle w:val="Strong"/>
        </w:rPr>
        <w:t>NHS Race &amp; Health Observatory</w:t>
      </w:r>
      <w:r>
        <w:rPr/>
        <w:t xml:space="preserve"> ("the Observatory"), including its successors and assigns; and</w:t>
      </w:r>
    </w:p>
    <w:p>
      <w:pPr>
        <w:pStyle w:val="BodyText"/>
        <w:numPr>
          <w:ilvl w:val="0"/>
          <w:numId w:val="1"/>
        </w:numPr>
        <w:tabs>
          <w:tab w:val="clear" w:pos="1134"/>
          <w:tab w:val="left" w:pos="709" w:leader="none"/>
        </w:tabs>
        <w:bidi w:val="0"/>
        <w:ind w:hanging="283" w:left="709"/>
        <w:jc w:val="left"/>
        <w:rPr/>
      </w:pPr>
      <w:r>
        <w:rPr>
          <w:rStyle w:val="Strong"/>
        </w:rPr>
        <w:t>[PARTNER TRUST]</w:t>
      </w:r>
      <w:r>
        <w:rPr/>
        <w:t xml:space="preserve"> ("the Trust").</w:t>
      </w:r>
    </w:p>
    <w:p>
      <w:pPr>
        <w:pStyle w:val="BodyText"/>
        <w:bidi w:val="0"/>
        <w:jc w:val="left"/>
        <w:rPr/>
      </w:pPr>
      <w:r>
        <w:rPr/>
        <w:t>each a "party" and together the "parties".</w:t>
      </w:r>
    </w:p>
    <w:p>
      <w:pPr>
        <w:pStyle w:val="BodyText"/>
        <w:bidi w:val="0"/>
        <w:jc w:val="left"/>
        <w:rPr/>
      </w:pPr>
      <w:r>
        <w:rPr/>
        <w:t xml:space="preserve">This Memorandum of Understanding ("MOU") sets out the terms that will govern the partnership. Save where expressly stated, this MOU is </w:t>
      </w:r>
      <w:r>
        <w:rPr>
          <w:rStyle w:val="Strong"/>
        </w:rPr>
        <w:t>not intended to be legally binding</w:t>
      </w:r>
      <w:r>
        <w:rPr/>
        <w:t>.</w:t>
      </w:r>
    </w:p>
    <w:p>
      <w:pPr>
        <w:pStyle w:val="HorizontalLine"/>
        <w:bidi w:val="0"/>
        <w:jc w:val="left"/>
        <w:rPr/>
      </w:pPr>
      <w:r>
        <w:rPr/>
      </w:r>
    </w:p>
    <w:p>
      <w:pPr>
        <w:pStyle w:val="Heading2"/>
        <w:bidi w:val="0"/>
        <w:jc w:val="left"/>
        <w:rPr/>
      </w:pPr>
      <w:r>
        <w:rPr/>
        <w:t>Background</w:t>
      </w:r>
    </w:p>
    <w:p>
      <w:pPr>
        <w:pStyle w:val="BodyText"/>
        <w:bidi w:val="0"/>
        <w:jc w:val="left"/>
        <w:rPr/>
      </w:pPr>
      <w:r>
        <w:rPr/>
        <w:t>People with sickle cell disease do not reliably receive timely analgesia during acute painful episodes in the NHS, and too often experience poor care, a failure that is both a patient-safety risk and an expression of structural inequality in the system.</w:t>
      </w:r>
    </w:p>
    <w:p>
      <w:pPr>
        <w:pStyle w:val="BodyText"/>
        <w:bidi w:val="0"/>
        <w:jc w:val="left"/>
        <w:rPr/>
      </w:pPr>
      <w:r>
        <w:rPr/>
        <w:t>In research carried out by the Observatory in 2022–23, in collaboration with University Hospitals Bristol and Weston NHS Foundation Trust, personalised digital care plans were shown to hold promise for improving access to, experience of, and accountability of care, but have not been widely tested or adopted. A functional prototype of the service has since been built and is available openly (github.com/drcjar/digital-sickle).</w:t>
      </w:r>
    </w:p>
    <w:p>
      <w:pPr>
        <w:pStyle w:val="BodyText"/>
        <w:bidi w:val="0"/>
        <w:jc w:val="left"/>
        <w:rPr/>
      </w:pPr>
      <w:r>
        <w:rPr/>
        <w:t>The parties will collaborate to deliver the pilot of this digital care plan as an intervention to improve the safety, timeliness and equity of acute sickle cell care.</w:t>
      </w:r>
    </w:p>
    <w:p>
      <w:pPr>
        <w:pStyle w:val="Heading2"/>
        <w:bidi w:val="0"/>
        <w:jc w:val="left"/>
        <w:rPr/>
      </w:pPr>
      <w:r>
        <w:rPr/>
        <w:t>1. Purpose, scope and key objectives</w:t>
      </w:r>
    </w:p>
    <w:p>
      <w:pPr>
        <w:pStyle w:val="BodyText"/>
        <w:bidi w:val="0"/>
        <w:jc w:val="left"/>
        <w:rPr/>
      </w:pPr>
      <w:r>
        <w:rPr/>
        <w:t>1.1 The Observatory's Digital Sickle Cell programme is commissioning the build of a new digital service, informed by the Observatory's research, to provide personalised sickle cell care plans accessible to sickle cell services, patients, and clinicians in acute care settings.</w:t>
      </w:r>
    </w:p>
    <w:p>
      <w:pPr>
        <w:pStyle w:val="BodyText"/>
        <w:bidi w:val="0"/>
        <w:jc w:val="left"/>
        <w:rPr/>
      </w:pPr>
      <w:r>
        <w:rPr/>
        <w:t>1.2 The Observatory will select a delivery partner to build the service, using mainstream approaches to digital delivery that work well outside the NHS, in order to develop the service at pace and in the open.</w:t>
      </w:r>
    </w:p>
    <w:p>
      <w:pPr>
        <w:pStyle w:val="BodyText"/>
        <w:bidi w:val="0"/>
        <w:jc w:val="left"/>
        <w:rPr/>
      </w:pPr>
      <w:r>
        <w:rPr/>
        <w:t>1.3 The pilot ("private beta") will, in collaboration with the Trust, invite selected patients to begin using the service and will test its effectiveness in improving care.</w:t>
      </w:r>
    </w:p>
    <w:p>
      <w:pPr>
        <w:pStyle w:val="BodyText"/>
        <w:bidi w:val="0"/>
        <w:jc w:val="left"/>
        <w:rPr/>
      </w:pPr>
      <w:r>
        <w:rPr/>
        <w:t xml:space="preserve">1.4 </w:t>
      </w:r>
      <w:r>
        <w:rPr>
          <w:rStyle w:val="Strong"/>
        </w:rPr>
        <w:t>Indicative objectives and measures of success</w:t>
      </w:r>
      <w:r>
        <w:rPr/>
        <w:t xml:space="preserve"> (to be refined by the programme board):</w:t>
      </w:r>
    </w:p>
    <w:p>
      <w:pPr>
        <w:pStyle w:val="BodyText"/>
        <w:numPr>
          <w:ilvl w:val="0"/>
          <w:numId w:val="2"/>
        </w:numPr>
        <w:tabs>
          <w:tab w:val="clear" w:pos="1134"/>
          <w:tab w:val="left" w:pos="709" w:leader="none"/>
        </w:tabs>
        <w:bidi w:val="0"/>
        <w:spacing w:before="0" w:after="0"/>
        <w:ind w:hanging="283" w:left="709"/>
        <w:jc w:val="left"/>
        <w:rPr/>
      </w:pPr>
      <w:r>
        <w:rPr/>
        <w:t>improved compliance with the NICE standard of analgesia within 30 minutes of presentation;</w:t>
      </w:r>
    </w:p>
    <w:p>
      <w:pPr>
        <w:pStyle w:val="BodyText"/>
        <w:numPr>
          <w:ilvl w:val="0"/>
          <w:numId w:val="2"/>
        </w:numPr>
        <w:tabs>
          <w:tab w:val="clear" w:pos="1134"/>
          <w:tab w:val="left" w:pos="709" w:leader="none"/>
        </w:tabs>
        <w:bidi w:val="0"/>
        <w:spacing w:before="0" w:after="0"/>
        <w:ind w:hanging="283" w:left="709"/>
        <w:jc w:val="left"/>
        <w:rPr/>
      </w:pPr>
      <w:r>
        <w:rPr/>
        <w:t>improved patient-reported experience of acute care;</w:t>
      </w:r>
    </w:p>
    <w:p>
      <w:pPr>
        <w:pStyle w:val="BodyText"/>
        <w:numPr>
          <w:ilvl w:val="0"/>
          <w:numId w:val="2"/>
        </w:numPr>
        <w:tabs>
          <w:tab w:val="clear" w:pos="1134"/>
          <w:tab w:val="left" w:pos="709" w:leader="none"/>
        </w:tabs>
        <w:bidi w:val="0"/>
        <w:spacing w:before="0" w:after="0"/>
        <w:ind w:hanging="283" w:left="709"/>
        <w:jc w:val="left"/>
        <w:rPr/>
      </w:pPr>
      <w:r>
        <w:rPr/>
        <w:t>a documented, portable, co-produced care record accessible to authorised clinicians; and</w:t>
      </w:r>
    </w:p>
    <w:p>
      <w:pPr>
        <w:pStyle w:val="BodyText"/>
        <w:numPr>
          <w:ilvl w:val="0"/>
          <w:numId w:val="2"/>
        </w:numPr>
        <w:tabs>
          <w:tab w:val="clear" w:pos="1134"/>
          <w:tab w:val="left" w:pos="709" w:leader="none"/>
        </w:tabs>
        <w:bidi w:val="0"/>
        <w:ind w:hanging="283" w:left="709"/>
        <w:jc w:val="left"/>
        <w:rPr/>
      </w:pPr>
      <w:r>
        <w:rPr/>
        <w:t>evidence and learning to support wider NHS adoption.</w:t>
      </w:r>
    </w:p>
    <w:p>
      <w:pPr>
        <w:pStyle w:val="BodyText"/>
        <w:bidi w:val="0"/>
        <w:jc w:val="left"/>
        <w:rPr/>
      </w:pPr>
      <w:r>
        <w:rPr/>
        <w:t xml:space="preserve">1.5 </w:t>
      </w:r>
      <w:r>
        <w:rPr>
          <w:rStyle w:val="Strong"/>
        </w:rPr>
        <w:t>Match funding.</w:t>
      </w:r>
      <w:r>
        <w:rPr/>
        <w:t xml:space="preserve"> The Trust will provide match funding of </w:t>
      </w:r>
      <w:r>
        <w:rPr>
          <w:rStyle w:val="Strong"/>
        </w:rPr>
        <w:t>£200,000</w:t>
      </w:r>
      <w:r>
        <w:rPr/>
        <w:t xml:space="preserve"> and institutional support for the private beta. This funding will be paid to the Observatory, enabling a single institution to issue commercial contracts for delivery.</w:t>
      </w:r>
    </w:p>
    <w:p>
      <w:pPr>
        <w:pStyle w:val="Heading2"/>
        <w:bidi w:val="0"/>
        <w:jc w:val="left"/>
        <w:rPr/>
      </w:pPr>
      <w:r>
        <w:rPr/>
        <w:t>2. Duration</w:t>
      </w:r>
    </w:p>
    <w:p>
      <w:pPr>
        <w:pStyle w:val="BodyText"/>
        <w:bidi w:val="0"/>
        <w:jc w:val="left"/>
        <w:rPr/>
      </w:pPr>
      <w:r>
        <w:rPr/>
        <w:t xml:space="preserve">2.1 This MOU commences on the date of the last signature below and remains in force until </w:t>
      </w:r>
      <w:r>
        <w:rPr>
          <w:rStyle w:val="Strong"/>
        </w:rPr>
        <w:t>30 September 2028</w:t>
      </w:r>
      <w:r>
        <w:rPr/>
        <w:t>, subject to earlier termination in accordance with this MOU.</w:t>
      </w:r>
    </w:p>
    <w:p>
      <w:pPr>
        <w:pStyle w:val="BodyText"/>
        <w:bidi w:val="0"/>
        <w:jc w:val="left"/>
        <w:rPr/>
      </w:pPr>
      <w:r>
        <w:rPr/>
        <w:t xml:space="preserve">2.2 The MOU will be reviewed by the parties within </w:t>
      </w:r>
      <w:r>
        <w:rPr>
          <w:rStyle w:val="Strong"/>
        </w:rPr>
        <w:t>12 months</w:t>
      </w:r>
      <w:r>
        <w:rPr/>
        <w:t xml:space="preserve"> of commencement.</w:t>
      </w:r>
    </w:p>
    <w:p>
      <w:pPr>
        <w:pStyle w:val="BodyText"/>
        <w:bidi w:val="0"/>
        <w:jc w:val="left"/>
        <w:rPr/>
      </w:pPr>
      <w:r>
        <w:rPr/>
        <w:t>2.3 The MOU may be extended by agreement of all parties.</w:t>
      </w:r>
    </w:p>
    <w:p>
      <w:pPr>
        <w:pStyle w:val="Heading2"/>
        <w:bidi w:val="0"/>
        <w:jc w:val="left"/>
        <w:rPr/>
      </w:pPr>
      <w:r>
        <w:rPr/>
        <w:t>3. Financial arrangements</w:t>
      </w:r>
    </w:p>
    <w:p>
      <w:pPr>
        <w:pStyle w:val="BodyText"/>
        <w:bidi w:val="0"/>
        <w:jc w:val="left"/>
        <w:rPr/>
      </w:pPr>
      <w:r>
        <w:rPr/>
        <w:t xml:space="preserve">3.1 The Observatory will invoice the Trust for its match-funding contribution as follows: </w:t>
      </w:r>
      <w:r>
        <w:rPr>
          <w:rStyle w:val="Strong"/>
        </w:rPr>
        <w:t>50%</w:t>
      </w:r>
      <w:r>
        <w:rPr/>
        <w:t xml:space="preserve"> on award of the delivery tender, and </w:t>
      </w:r>
      <w:r>
        <w:rPr>
          <w:rStyle w:val="Strong"/>
        </w:rPr>
        <w:t>50%</w:t>
      </w:r>
      <w:r>
        <w:rPr/>
        <w:t xml:space="preserve"> on payment of the first major milestone of the delivery contract. Invoices are payable within 30 days.</w:t>
      </w:r>
    </w:p>
    <w:p>
      <w:pPr>
        <w:pStyle w:val="BodyText"/>
        <w:bidi w:val="0"/>
        <w:jc w:val="left"/>
        <w:rPr/>
      </w:pPr>
      <w:r>
        <w:rPr/>
        <w:t>3.2 Any financial commitments entered into under contracts signed to deliver the programme remain binding. Should a party seek to terminate this agreement early, it remains liable for its share of any work commissioned and undertaken for which payment is due (see clause 11).</w:t>
      </w:r>
    </w:p>
    <w:p>
      <w:pPr>
        <w:pStyle w:val="Heading2"/>
        <w:bidi w:val="0"/>
        <w:jc w:val="left"/>
        <w:rPr/>
      </w:pPr>
      <w:r>
        <w:rPr/>
        <w:t>4. Branding</w:t>
      </w:r>
    </w:p>
    <w:p>
      <w:pPr>
        <w:pStyle w:val="BodyText"/>
        <w:bidi w:val="0"/>
        <w:jc w:val="left"/>
        <w:rPr/>
      </w:pPr>
      <w:r>
        <w:rPr/>
        <w:t>4.1 The digital service requires careful design to maximise clinical impact; the role of the Observatory and delivery partners may not be the most effective core branding.</w:t>
      </w:r>
    </w:p>
    <w:p>
      <w:pPr>
        <w:pStyle w:val="BodyText"/>
        <w:bidi w:val="0"/>
        <w:jc w:val="left"/>
        <w:rPr/>
      </w:pPr>
      <w:r>
        <w:rPr/>
        <w:t>4.2 The service will be transparent about its sources of funding, support and governance, and will display the partners' logos and support in an appropriate manner, alongside other key supporters and stakeholders.</w:t>
      </w:r>
    </w:p>
    <w:p>
      <w:pPr>
        <w:pStyle w:val="Heading2"/>
        <w:bidi w:val="0"/>
        <w:jc w:val="left"/>
        <w:rPr/>
      </w:pPr>
      <w:r>
        <w:rPr/>
        <w:t>5. Governance</w:t>
      </w:r>
    </w:p>
    <w:p>
      <w:pPr>
        <w:pStyle w:val="BodyText"/>
        <w:bidi w:val="0"/>
        <w:jc w:val="left"/>
        <w:rPr/>
      </w:pPr>
      <w:r>
        <w:rPr/>
        <w:t xml:space="preserve">5.1 The Observatory will convene a </w:t>
      </w:r>
      <w:r>
        <w:rPr>
          <w:rStyle w:val="Strong"/>
        </w:rPr>
        <w:t>programme board</w:t>
      </w:r>
      <w:r>
        <w:rPr/>
        <w:t xml:space="preserve"> to oversee the programme.</w:t>
      </w:r>
    </w:p>
    <w:p>
      <w:pPr>
        <w:pStyle w:val="BodyText"/>
        <w:bidi w:val="0"/>
        <w:jc w:val="left"/>
        <w:rPr/>
      </w:pPr>
      <w:r>
        <w:rPr/>
        <w:t>5.2 Monthly minuted meetings of this board provide the core governance structure for delivery.</w:t>
      </w:r>
    </w:p>
    <w:p>
      <w:pPr>
        <w:pStyle w:val="BodyText"/>
        <w:bidi w:val="0"/>
        <w:jc w:val="left"/>
        <w:rPr/>
      </w:pPr>
      <w:r>
        <w:rPr/>
        <w:t>5.3 The board comprises representatives of the parties, the digital delivery partner, and members of the broader sickle cell community acting as patient representatives.</w:t>
      </w:r>
    </w:p>
    <w:p>
      <w:pPr>
        <w:pStyle w:val="Heading2"/>
        <w:bidi w:val="0"/>
        <w:jc w:val="left"/>
        <w:rPr/>
      </w:pPr>
      <w:r>
        <w:rPr/>
        <w:t>6. Roles and responsibilities</w:t>
      </w:r>
    </w:p>
    <w:p>
      <w:pPr>
        <w:pStyle w:val="BodyText"/>
        <w:bidi w:val="0"/>
        <w:jc w:val="left"/>
        <w:rPr/>
      </w:pPr>
      <w:r>
        <w:rPr/>
        <w:t xml:space="preserve">6.1 </w:t>
      </w:r>
      <w:r>
        <w:rPr>
          <w:rStyle w:val="Strong"/>
        </w:rPr>
        <w:t>The Observatory</w:t>
      </w:r>
      <w:r>
        <w:rPr/>
        <w:t xml:space="preserve"> leads the strategic direction of the programme; continues consultation with the sickle cell community, NHS England leadership and system stakeholders; conducts the commercial and programme-delivery work required to issue and manage the delivery tender; and provides the technical and legal infrastructure to launch the service.</w:t>
      </w:r>
    </w:p>
    <w:p>
      <w:pPr>
        <w:pStyle w:val="BodyText"/>
        <w:bidi w:val="0"/>
        <w:jc w:val="left"/>
        <w:rPr/>
      </w:pPr>
      <w:r>
        <w:rPr/>
        <w:t xml:space="preserve">6.2 </w:t>
      </w:r>
      <w:r>
        <w:rPr>
          <w:rStyle w:val="Strong"/>
        </w:rPr>
        <w:t>The Trust</w:t>
      </w:r>
      <w:r>
        <w:rPr/>
        <w:t xml:space="preserve"> provides a clinical setting in which the pilot can be operated and evaluated. This requires the support of key clinical staff, particularly in </w:t>
      </w:r>
      <w:r>
        <w:rPr>
          <w:rStyle w:val="Strong"/>
        </w:rPr>
        <w:t>Haematology</w:t>
      </w:r>
      <w:r>
        <w:rPr/>
        <w:t xml:space="preserve"> and </w:t>
      </w:r>
      <w:r>
        <w:rPr>
          <w:rStyle w:val="Strong"/>
        </w:rPr>
        <w:t>Accident &amp; Emergency</w:t>
      </w:r>
      <w:r>
        <w:rPr/>
        <w:t>, and is likely to require IT support to assist with integration and workflow optimisation, so as to minimise additional burden on clinical teams.</w:t>
      </w:r>
    </w:p>
    <w:p>
      <w:pPr>
        <w:pStyle w:val="BodyText"/>
        <w:bidi w:val="0"/>
        <w:jc w:val="left"/>
        <w:rPr/>
      </w:pPr>
      <w:r>
        <w:rPr/>
        <w:t xml:space="preserve">6.3 </w:t>
      </w:r>
      <w:r>
        <w:rPr>
          <w:rStyle w:val="Strong"/>
        </w:rPr>
        <w:t>The delivery partner</w:t>
      </w:r>
      <w:r>
        <w:rPr/>
        <w:t xml:space="preserve"> (once appointed) builds the production service to modern digital, accessibility, security and clinical-safety standards.</w:t>
      </w:r>
    </w:p>
    <w:p>
      <w:pPr>
        <w:pStyle w:val="Heading2"/>
        <w:bidi w:val="0"/>
        <w:jc w:val="left"/>
        <w:rPr/>
      </w:pPr>
      <w:r>
        <w:rPr/>
        <w:t>7. Data protection, information governance and clinical safety</w:t>
      </w:r>
    </w:p>
    <w:p>
      <w:pPr>
        <w:pStyle w:val="BodyText"/>
        <w:bidi w:val="0"/>
        <w:jc w:val="left"/>
        <w:rPr/>
      </w:pPr>
      <w:r>
        <w:rPr/>
        <w:t xml:space="preserve">7.1 </w:t>
      </w:r>
      <w:r>
        <w:rPr>
          <w:rStyle w:val="Emphasis"/>
        </w:rPr>
        <w:t>(This clause 7 reflects binding obligations the parties will give effect to through the delivery contracts.)</w:t>
      </w:r>
      <w:r>
        <w:rPr/>
        <w:t xml:space="preserve"> All parties will comply with the UK GDPR and the Data Protection Act 2018, and will process personal data in line with their organisational privacy notices.</w:t>
      </w:r>
    </w:p>
    <w:p>
      <w:pPr>
        <w:pStyle w:val="BodyText"/>
        <w:bidi w:val="0"/>
        <w:jc w:val="left"/>
        <w:rPr/>
      </w:pPr>
      <w:r>
        <w:rPr/>
        <w:t xml:space="preserve">7.2 Contracts entered into to deliver the programme will include data-protection provisions, and the programme will complete a </w:t>
      </w:r>
      <w:r>
        <w:rPr>
          <w:rStyle w:val="Strong"/>
        </w:rPr>
        <w:t>Data Protection Impact Assessment</w:t>
      </w:r>
      <w:r>
        <w:rPr/>
        <w:t xml:space="preserve"> and meet relevant NHS data-security standards before any patient data is processed in the pilot.</w:t>
      </w:r>
    </w:p>
    <w:p>
      <w:pPr>
        <w:pStyle w:val="BodyText"/>
        <w:bidi w:val="0"/>
        <w:jc w:val="left"/>
        <w:rPr/>
      </w:pPr>
      <w:r>
        <w:rPr/>
        <w:t>7.3 The service will be developed in accordance with applicable clinical-safety standards (DCB0129 / DCB0160), with a named Clinical Safety Officer.</w:t>
      </w:r>
    </w:p>
    <w:p>
      <w:pPr>
        <w:pStyle w:val="Heading2"/>
        <w:bidi w:val="0"/>
        <w:jc w:val="left"/>
        <w:rPr/>
      </w:pPr>
      <w:r>
        <w:rPr/>
        <w:t>8. Confidentiality</w:t>
      </w:r>
    </w:p>
    <w:p>
      <w:pPr>
        <w:pStyle w:val="BodyText"/>
        <w:bidi w:val="0"/>
        <w:jc w:val="left"/>
        <w:rPr/>
      </w:pPr>
      <w:r>
        <w:rPr/>
        <w:t xml:space="preserve">8.1 </w:t>
      </w:r>
      <w:r>
        <w:rPr>
          <w:rStyle w:val="Strong"/>
        </w:rPr>
        <w:t>This clause 8 is legally binding.</w:t>
      </w:r>
    </w:p>
    <w:p>
      <w:pPr>
        <w:pStyle w:val="BodyText"/>
        <w:bidi w:val="0"/>
        <w:jc w:val="left"/>
        <w:rPr/>
      </w:pPr>
      <w:r>
        <w:rPr/>
        <w:t>8.2 Each party undertakes not to disclose to any third party any confidential information concerning the business, affairs, customers, clients or suppliers of the other party.</w:t>
      </w:r>
    </w:p>
    <w:p>
      <w:pPr>
        <w:pStyle w:val="BodyText"/>
        <w:bidi w:val="0"/>
        <w:jc w:val="left"/>
        <w:rPr/>
      </w:pPr>
      <w:r>
        <w:rPr/>
        <w:t>8.3 A party may disclose the other's confidential information (a) to its employees, officers, representatives or advisers who need it to deliver the partnership, provided they comply with this clause; and (b) as required by law, court order, or any governmental or regulatory authority.</w:t>
      </w:r>
    </w:p>
    <w:p>
      <w:pPr>
        <w:pStyle w:val="BodyText"/>
        <w:bidi w:val="0"/>
        <w:jc w:val="left"/>
        <w:rPr/>
      </w:pPr>
      <w:r>
        <w:rPr/>
        <w:t>8.4 No party shall use the other's confidential information for any purpose other than delivery of the partnership.</w:t>
      </w:r>
    </w:p>
    <w:p>
      <w:pPr>
        <w:pStyle w:val="Heading2"/>
        <w:bidi w:val="0"/>
        <w:jc w:val="left"/>
        <w:rPr/>
      </w:pPr>
      <w:r>
        <w:rPr/>
        <w:t>9. Intellectual property</w:t>
      </w:r>
    </w:p>
    <w:p>
      <w:pPr>
        <w:pStyle w:val="BodyText"/>
        <w:bidi w:val="0"/>
        <w:jc w:val="left"/>
        <w:rPr/>
      </w:pPr>
      <w:r>
        <w:rPr/>
        <w:t xml:space="preserve">9.1 The parties intend that intellectual property created in the course of the project be </w:t>
      </w:r>
      <w:r>
        <w:rPr>
          <w:rStyle w:val="Strong"/>
        </w:rPr>
        <w:t>fundamentally public domain</w:t>
      </w:r>
      <w:r>
        <w:rPr/>
        <w:t>, to maximise adoption for the benefit of patients and the NHS.</w:t>
      </w:r>
    </w:p>
    <w:p>
      <w:pPr>
        <w:pStyle w:val="BodyText"/>
        <w:bidi w:val="0"/>
        <w:jc w:val="left"/>
        <w:rPr/>
      </w:pPr>
      <w:r>
        <w:rPr/>
        <w:t>9.2 Intellectual property rights created in the project shall vest in the lead organisation, which will publish them under a licence designed to maximise sharing and adoption rather than monetisation.</w:t>
      </w:r>
    </w:p>
    <w:p>
      <w:pPr>
        <w:pStyle w:val="BodyText"/>
        <w:bidi w:val="0"/>
        <w:jc w:val="left"/>
        <w:rPr/>
      </w:pPr>
      <w:r>
        <w:rPr/>
        <w:t>9.3 No party will acquire the pre-existing intellectual property rights of any other party.</w:t>
      </w:r>
    </w:p>
    <w:p>
      <w:pPr>
        <w:pStyle w:val="Heading2"/>
        <w:bidi w:val="0"/>
        <w:jc w:val="left"/>
        <w:rPr/>
      </w:pPr>
      <w:r>
        <w:rPr/>
        <w:t>10. Issues of mutual understanding</w:t>
      </w:r>
    </w:p>
    <w:p>
      <w:pPr>
        <w:pStyle w:val="BodyText"/>
        <w:bidi w:val="0"/>
        <w:jc w:val="left"/>
        <w:rPr/>
      </w:pPr>
      <w:r>
        <w:rPr/>
        <w:t>10.1 In delivering this MOU and the partnership, the parties agree to: acknowledge, respect and support each other's roles; work collaboratively on areas of common interest; signpost each other appropriately to ensure the best advice or resolution; and flag any sensitivities to each other in a timely manner.</w:t>
      </w:r>
    </w:p>
    <w:p>
      <w:pPr>
        <w:pStyle w:val="Heading2"/>
        <w:bidi w:val="0"/>
        <w:jc w:val="left"/>
        <w:rPr/>
      </w:pPr>
      <w:r>
        <w:rPr/>
        <w:t>11. Termination</w:t>
      </w:r>
    </w:p>
    <w:p>
      <w:pPr>
        <w:pStyle w:val="BodyText"/>
        <w:bidi w:val="0"/>
        <w:jc w:val="left"/>
        <w:rPr/>
      </w:pPr>
      <w:r>
        <w:rPr/>
        <w:t>11.1 If a party materially breaches the agreement, becomes insolvent, or is subject to a change of control, the other party may terminate the MOU.</w:t>
      </w:r>
    </w:p>
    <w:p>
      <w:pPr>
        <w:pStyle w:val="BodyText"/>
        <w:bidi w:val="0"/>
        <w:jc w:val="left"/>
        <w:rPr/>
      </w:pPr>
      <w:r>
        <w:rPr/>
        <w:t xml:space="preserve">11.2 A party may terminate the MOU on </w:t>
      </w:r>
      <w:r>
        <w:rPr>
          <w:rStyle w:val="Strong"/>
        </w:rPr>
        <w:t>60 days'</w:t>
      </w:r>
      <w:r>
        <w:rPr/>
        <w:t xml:space="preserve"> written notice. The other parties may continue to deliver work agreed before the effective termination date. Outstanding financial matters will be settled in accordance with clause 3.</w:t>
      </w:r>
    </w:p>
    <w:p>
      <w:pPr>
        <w:pStyle w:val="Heading2"/>
        <w:bidi w:val="0"/>
        <w:jc w:val="left"/>
        <w:rPr/>
      </w:pPr>
      <w:r>
        <w:rPr/>
        <w:t>12. Dispute resolution</w:t>
      </w:r>
    </w:p>
    <w:p>
      <w:pPr>
        <w:pStyle w:val="BodyText"/>
        <w:bidi w:val="0"/>
        <w:jc w:val="left"/>
        <w:rPr/>
      </w:pPr>
      <w:r>
        <w:rPr/>
        <w:t>12.1 If a disagreement arises, the parties will cooperate fully and use best endeavours to resolve it. Disputes will be taken first to the organisational leads; if unresolved, to a senior representative of each party; and, if still unresolved, to the chief executive or chair of each party.</w:t>
      </w:r>
    </w:p>
    <w:p>
      <w:pPr>
        <w:pStyle w:val="HorizontalLine"/>
        <w:bidi w:val="0"/>
        <w:jc w:val="left"/>
        <w:rPr/>
      </w:pPr>
      <w:r>
        <w:rPr/>
      </w:r>
    </w:p>
    <w:p>
      <w:pPr>
        <w:pStyle w:val="BodyText"/>
        <w:bidi w:val="0"/>
        <w:jc w:val="left"/>
        <w:rPr/>
      </w:pPr>
      <w:r>
        <w:rPr/>
        <w:t>Each party confirms its agreement to the terms of this MOU.</w:t>
      </w:r>
    </w:p>
    <w:p>
      <w:pPr>
        <w:pStyle w:val="BodyText"/>
        <w:bidi w:val="0"/>
        <w:jc w:val="left"/>
        <w:rPr/>
      </w:pPr>
      <w:r>
        <w:rPr>
          <w:rStyle w:val="Strong"/>
        </w:rPr>
        <w:t>Signed for and on behalf of the NHS Confederation (NHS Race &amp; Health Observatory)</w:t>
      </w:r>
    </w:p>
    <w:p>
      <w:pPr>
        <w:pStyle w:val="BodyText"/>
        <w:bidi w:val="0"/>
        <w:jc w:val="left"/>
        <w:rPr/>
      </w:pPr>
      <w:r>
        <w:rPr/>
        <w:t>Name: ………………………………… Position: ………………………………… Date: ……………………</w:t>
      </w:r>
    </w:p>
    <w:p>
      <w:pPr>
        <w:pStyle w:val="BodyText"/>
        <w:bidi w:val="0"/>
        <w:jc w:val="left"/>
        <w:rPr/>
      </w:pPr>
      <w:r>
        <w:rPr>
          <w:rStyle w:val="Strong"/>
        </w:rPr>
        <w:t>Signed for and on behalf of [PARTNER TRUST]</w:t>
      </w:r>
    </w:p>
    <w:p>
      <w:pPr>
        <w:pStyle w:val="BodyText"/>
        <w:bidi w:val="0"/>
        <w:spacing w:before="0" w:after="160"/>
        <w:jc w:val="left"/>
        <w:rPr/>
      </w:pPr>
      <w:r>
        <w:rPr/>
        <w:t>Name: ………………………………… Position: ………………………………… Date: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Arial;Helvetica;sans-serif" w:hAnsi="Arial;Helvetica;sans-serif" w:eastAsia="Arial;Helvetica;sans-serif" w:cs="Arial;Helvetica;sans-serif"/>
      <w:color w:val="000000"/>
      <w:sz w:val="22"/>
      <w:szCs w:val="22"/>
      <w:lang w:val="en-US" w:eastAsia="zh-CN" w:bidi="hi-IN"/>
    </w:rPr>
  </w:style>
  <w:style w:type="paragraph" w:styleId="Heading1">
    <w:name w:val="heading 1"/>
    <w:basedOn w:val="Heading"/>
    <w:next w:val="BodyText"/>
    <w:qFormat/>
    <w:pPr>
      <w:spacing w:before="240" w:after="160"/>
    </w:pPr>
    <w:rPr>
      <w:rFonts w:ascii="Arial;Helvetica;sans-serif" w:hAnsi="Arial;Helvetica;sans-serif" w:eastAsia="Arial;Helvetica;sans-serif" w:cs="Arial;Helvetica;sans-serif"/>
      <w:b/>
      <w:bCs/>
      <w:color w:val="000000"/>
      <w:sz w:val="30"/>
      <w:szCs w:val="30"/>
    </w:rPr>
  </w:style>
  <w:style w:type="paragraph" w:styleId="Heading2">
    <w:name w:val="heading 2"/>
    <w:basedOn w:val="Heading"/>
    <w:next w:val="BodyText"/>
    <w:qFormat/>
    <w:pPr>
      <w:spacing w:before="280" w:after="80"/>
      <w:ind w:left="280" w:right="280"/>
      <w:outlineLvl w:val="1"/>
    </w:pPr>
    <w:rPr>
      <w:rFonts w:ascii="Arial;Helvetica;sans-serif" w:hAnsi="Arial;Helvetica;sans-serif" w:eastAsia="Arial;Helvetica;sans-serif" w:cs="Arial;Helvetica;sans-serif"/>
      <w:b/>
      <w:bCs/>
      <w:color w:val="000000"/>
      <w:sz w:val="24"/>
      <w:szCs w:val="24"/>
    </w:rPr>
  </w:style>
  <w:style w:type="paragraph" w:styleId="Heading3">
    <w:name w:val="heading 3"/>
    <w:basedOn w:val="Heading"/>
    <w:next w:val="BodyText"/>
    <w:qFormat/>
    <w:pPr>
      <w:spacing w:before="200" w:after="60"/>
      <w:ind w:left="200" w:right="200"/>
      <w:outlineLvl w:val="2"/>
    </w:pPr>
    <w:rPr>
      <w:rFonts w:ascii="Arial;Helvetica;sans-serif" w:hAnsi="Arial;Helvetica;sans-serif" w:eastAsia="Arial;Helvetica;sans-serif" w:cs="Arial;Helvetica;sans-serif"/>
      <w:b/>
      <w:bCs/>
      <w:color w:val="000000"/>
      <w:sz w:val="22"/>
      <w:szCs w:val="22"/>
    </w:rPr>
  </w:style>
  <w:style w:type="paragraph" w:styleId="Heading4">
    <w:name w:val="heading 4"/>
    <w:basedOn w:val="Heading"/>
    <w:next w:val="BodyText"/>
    <w:qFormat/>
    <w:pPr>
      <w:spacing w:before="160" w:after="40"/>
      <w:ind w:left="160" w:right="160"/>
      <w:outlineLvl w:val="3"/>
    </w:pPr>
    <w:rPr>
      <w:rFonts w:ascii="Arial;Helvetica;sans-serif" w:hAnsi="Arial;Helvetica;sans-serif" w:eastAsia="Arial;Helvetica;sans-serif" w:cs="Arial;Helvetica;sans-serif"/>
      <w:b/>
      <w:bCs/>
      <w:color w:val="000000"/>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CC"/>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0000CC"/>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rFonts w:ascii="Arial;Helvetica;sans-serif" w:hAnsi="Arial;Helvetica;sans-serif" w:eastAsia="Arial;Helvetica;sans-serif" w:cs="Arial;Helvetica;sans-serif"/>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pPr>
    <w:rPr>
      <w:rFonts w:ascii="Arial;Helvetica;sans-serif" w:hAnsi="Arial;Helvetica;sans-serif" w:eastAsia="Arial;Helvetica;sans-serif" w:cs="Arial;Helvetica;sans-serif"/>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0" w:color="999999"/>
      </w:pBdr>
      <w:spacing w:before="160" w:after="160"/>
      <w:ind w:hanging="0" w:left="160" w:right="160"/>
    </w:pPr>
    <w:rPr>
      <w:rFonts w:ascii="Arial;Helvetica;sans-serif" w:hAnsi="Arial;Helvetica;sans-serif" w:eastAsia="Arial;Helvetica;sans-serif" w:cs="Arial;Helvetica;sans-serif"/>
      <w:color w:val="222222"/>
    </w:rPr>
  </w:style>
  <w:style w:type="paragraph" w:styleId="TableHeading">
    <w:name w:val="Table Heading"/>
    <w:basedOn w:val="TableContents"/>
    <w:qFormat/>
    <w:pPr>
      <w:suppressLineNumbers/>
      <w:shd w:fill="F2F2F2" w:val="clear"/>
      <w:jc w:val="left"/>
    </w:pPr>
    <w:rPr>
      <w:rFonts w:ascii="Arial;Helvetica;sans-serif" w:hAnsi="Arial;Helvetica;sans-serif" w:eastAsia="Arial;Helvetica;sans-serif" w:cs="Arial;Helvetica;sans-serif"/>
      <w:b/>
      <w:b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