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0"/>
        <w:ind w:hanging="0" w:left="0" w:right="0"/>
        <w:jc w:val="left"/>
        <w:rPr>
          <w:bdr w:val="single" w:sz="18" w:space="6" w:color="3D3382"/>
        </w:rPr>
      </w:pPr>
      <w:r>
        <w:rPr>
          <w:bdr w:val="single" w:sz="18" w:space="6" w:color="3D3382"/>
        </w:rPr>
        <w:drawing>
          <wp:inline distT="0" distB="0" distL="0" distR="0">
            <wp:extent cx="2000250" cy="581025"/>
            <wp:effectExtent l="0" t="0" r="0" b="0"/>
            <wp:docPr id="1" name="Image1" descr="NHS Race and Health Observ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HS Race and Health Observator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0"/>
        <w:jc w:val="left"/>
        <w:rPr>
          <w:bdr w:val="single" w:sz="18" w:space="6" w:color="3D3382"/>
        </w:rPr>
      </w:pPr>
      <w:r>
        <w:rPr>
          <w:bdr w:val="single" w:sz="18" w:space="6" w:color="3D3382"/>
        </w:rPr>
        <w:t>DIGITAL SICKLE CELL PROGRAMME</w:t>
      </w:r>
    </w:p>
    <w:p>
      <w:pPr>
        <w:pStyle w:val="Heading1"/>
        <w:bidi w:val="0"/>
        <w:jc w:val="left"/>
        <w:rPr/>
      </w:pPr>
      <w:r>
        <w:rPr/>
        <w:t>Digital Care Plan for Sickle Cell</w:t>
      </w:r>
    </w:p>
    <w:p>
      <w:pPr>
        <w:pStyle w:val="Heading3"/>
        <w:bidi w:val="0"/>
        <w:jc w:val="left"/>
        <w:rPr/>
      </w:pPr>
      <w:r>
        <w:rPr/>
        <w:t>A partnership to make acute crisis care safer, faster and fairer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NHS Race &amp; Health Observatory is seeking one NHS acute trust to partner on the pilot of a personalised digital care plan for people with sickle cell disease during an acute painful crisis. A working prototype already exists — you can try it today.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problem</w:t>
      </w:r>
    </w:p>
    <w:p>
      <w:pPr>
        <w:pStyle w:val="BodyText"/>
        <w:bidi w:val="0"/>
        <w:jc w:val="left"/>
        <w:rPr/>
      </w:pPr>
      <w:r>
        <w:rPr/>
        <w:t xml:space="preserve">People with sickle cell disease do not reliably receive timely pain relief during an acute painful crisis. NICE guidance is unambiguous — analgesia should be offered </w:t>
      </w:r>
      <w:r>
        <w:rPr>
          <w:rStyle w:val="Strong"/>
        </w:rPr>
        <w:t>within 30 minutes</w:t>
      </w:r>
      <w:r>
        <w:rPr/>
        <w:t xml:space="preserve"> of arrival and the patient reviewed every 30 minutes thereafter (NICE CG143) — yet this standard is routinely missed. The 2021 All-Party Parliamentary Group inquiry </w:t>
      </w:r>
      <w:r>
        <w:rPr>
          <w:rStyle w:val="Emphasis"/>
        </w:rPr>
        <w:t>No One's Listening</w:t>
      </w:r>
      <w:r>
        <w:rPr/>
        <w:t xml:space="preserve"> documented </w:t>
      </w:r>
      <w:r>
        <w:rPr>
          <w:rStyle w:val="Strong"/>
        </w:rPr>
        <w:t>avoidable deaths and a pattern of substandard care</w:t>
      </w:r>
      <w:r>
        <w:rPr/>
        <w:t>, with patients facing delays, having their pain disbelieved, and being treated without dignity.</w:t>
      </w:r>
    </w:p>
    <w:p>
      <w:pPr>
        <w:pStyle w:val="BodyText"/>
        <w:bidi w:val="0"/>
        <w:jc w:val="left"/>
        <w:rPr/>
      </w:pPr>
      <w:r>
        <w:rPr/>
        <w:t xml:space="preserve">This is, at once, a </w:t>
      </w:r>
      <w:r>
        <w:rPr>
          <w:rStyle w:val="Strong"/>
        </w:rPr>
        <w:t>patient-safety failure</w:t>
      </w:r>
      <w:r>
        <w:rPr/>
        <w:t xml:space="preserve"> and a </w:t>
      </w:r>
      <w:r>
        <w:rPr>
          <w:rStyle w:val="Strong"/>
        </w:rPr>
        <w:t>health inequality</w:t>
      </w:r>
      <w:r>
        <w:rPr/>
        <w:t>: sickle cell disease overwhelmingly affects Black African and Caribbean communities, and the care gap is a measurable expression of structural racism in the system. Acting on it is core business for any board — under patient-safety and CQC duties, and under the health-inequalities duty in the Health and Care Act 2022.</w:t>
      </w:r>
    </w:p>
    <w:p>
      <w:pPr>
        <w:pStyle w:val="Heading2"/>
        <w:bidi w:val="0"/>
        <w:jc w:val="left"/>
        <w:rPr/>
      </w:pPr>
      <w:r>
        <w:rPr/>
        <w:t>What we are building — and what already exists</w:t>
      </w:r>
    </w:p>
    <w:p>
      <w:pPr>
        <w:pStyle w:val="BodyText"/>
        <w:bidi w:val="0"/>
        <w:jc w:val="left"/>
        <w:rPr/>
      </w:pPr>
      <w:r>
        <w:rPr/>
        <w:t xml:space="preserve">In 2022–23 the Observatory, with University Hospitals Bristol and Weston, ran discovery research into acute sickle cell care. It found that </w:t>
      </w:r>
      <w:r>
        <w:rPr>
          <w:rStyle w:val="Strong"/>
        </w:rPr>
        <w:t>personalised digital care plans</w:t>
      </w:r>
      <w:r>
        <w:rPr/>
        <w:t xml:space="preserve"> show real promise for improving access to, experience of, and accountability of care — but have not been widely tested or adopted.</w:t>
      </w:r>
    </w:p>
    <w:p>
      <w:pPr>
        <w:pStyle w:val="BodyText"/>
        <w:bidi w:val="0"/>
        <w:jc w:val="left"/>
        <w:rPr/>
      </w:pPr>
      <w:r>
        <w:rPr/>
        <w:t xml:space="preserve">We are now commissioning the build of that service: a personalised care plan, with an at-a-glance </w:t>
      </w:r>
      <w:r>
        <w:rPr>
          <w:rStyle w:val="Strong"/>
        </w:rPr>
        <w:t>acute crisis view</w:t>
      </w:r>
      <w:r>
        <w:rPr/>
        <w:t xml:space="preserve"> a clinician can act on in seconds — usual analgesia and opioid tolerance, allergies, the patient's baseline observations, escalation, named consultant, pregnancy flag and emergency contacts. It is accessible to clinicians, patients and their nominated carers.</w:t>
      </w:r>
    </w:p>
    <w:p>
      <w:pPr>
        <w:pStyle w:val="BodyText"/>
        <w:bidi w:val="0"/>
        <w:jc w:val="left"/>
        <w:rPr/>
      </w:pPr>
      <w:r>
        <w:rPr>
          <w:rStyle w:val="Strong"/>
        </w:rPr>
        <w:t>This is not a concept on paper.</w:t>
      </w:r>
      <w:r>
        <w:rPr/>
        <w:t xml:space="preserve"> A functional prototype and a project website are already live and open source: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Prototype (try it):</w:t>
      </w:r>
      <w:r>
        <w:rPr/>
        <w:t xml:space="preserve"> https://digital-sickle.carlreynolds.net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Project website:</w:t>
      </w:r>
      <w:r>
        <w:rPr/>
        <w:t xml:space="preserve"> https://carlreynolds.net/digital-sickle/</w:t>
      </w:r>
    </w:p>
    <w:p>
      <w:pPr>
        <w:pStyle w:val="BodyText"/>
        <w:bidi w:val="0"/>
        <w:jc w:val="left"/>
        <w:rPr/>
      </w:pPr>
      <w:r>
        <w:rPr/>
        <w:t>That existing build substantially de-risks delivery and shows exactly what your teams would be piloting.</w:t>
      </w:r>
    </w:p>
    <w:p>
      <w:pPr>
        <w:pStyle w:val="Heading2"/>
        <w:bidi w:val="0"/>
        <w:jc w:val="left"/>
        <w:rPr/>
      </w:pPr>
      <w:r>
        <w:rPr/>
        <w:t>Why partner with us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 on a known safety risk.</w:t>
      </w:r>
      <w:r>
        <w:rPr/>
        <w:t xml:space="preserve"> A clear, fast, personalised plan reduces delayed analgesia and</w:t>
      </w:r>
    </w:p>
    <w:p>
      <w:pPr>
        <w:pStyle w:val="BodyText"/>
        <w:bidi w:val="0"/>
        <w:jc w:val="left"/>
        <w:rPr/>
      </w:pPr>
      <w:r>
        <w:rPr/>
        <w:t>medication error in one of the highest-risk acute presentations your ED handles.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Demonstrable action on health inequalities.</w:t>
      </w:r>
      <w:r>
        <w:rPr/>
        <w:t xml:space="preserve"> A concrete, board-level response to a documented</w:t>
      </w:r>
    </w:p>
    <w:p>
      <w:pPr>
        <w:pStyle w:val="BodyText"/>
        <w:bidi w:val="0"/>
        <w:jc w:val="left"/>
        <w:rPr/>
      </w:pPr>
      <w:r>
        <w:rPr/>
        <w:t>failing — evidence for CQC, your health-inequalities duty, and your equality objectives.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Be the national first-mover.</w:t>
      </w:r>
      <w:r>
        <w:rPr/>
        <w:t xml:space="preserve"> The pilot trust will be the visible exemplar for a service</w:t>
      </w:r>
    </w:p>
    <w:p>
      <w:pPr>
        <w:pStyle w:val="BodyText"/>
        <w:bidi w:val="0"/>
        <w:jc w:val="left"/>
        <w:rPr/>
      </w:pPr>
      <w:r>
        <w:rPr/>
        <w:t>intended to spread across the NHS.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vendor lock-in.</w:t>
      </w:r>
      <w:r>
        <w:rPr/>
        <w:t xml:space="preserve"> The service is built in the open; the intellectual property is intended to</w:t>
      </w:r>
    </w:p>
    <w:p>
      <w:pPr>
        <w:pStyle w:val="BodyText"/>
        <w:bidi w:val="0"/>
        <w:jc w:val="left"/>
        <w:rPr/>
      </w:pPr>
      <w:r>
        <w:rPr/>
        <w:t xml:space="preserve">be </w:t>
      </w:r>
      <w:r>
        <w:rPr>
          <w:rStyle w:val="Strong"/>
        </w:rPr>
        <w:t>public domain</w:t>
      </w:r>
      <w:r>
        <w:rPr/>
        <w:t>, free for any trust to adopt. You help build a national asset, not a proprietary product.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Support your staff.</w:t>
      </w:r>
      <w:r>
        <w:rPr/>
        <w:t xml:space="preserve"> Clear, specialist-approved guidance is of particular help to emergency</w:t>
      </w:r>
    </w:p>
    <w:p>
      <w:pPr>
        <w:pStyle w:val="BodyText"/>
        <w:bidi w:val="0"/>
        <w:jc w:val="left"/>
        <w:rPr/>
      </w:pPr>
      <w:r>
        <w:rPr/>
        <w:t>department teams who may rarely manage sickle crises.</w:t>
      </w:r>
    </w:p>
    <w:p>
      <w:pPr>
        <w:pStyle w:val="Heading2"/>
        <w:bidi w:val="0"/>
        <w:jc w:val="left"/>
        <w:rPr/>
      </w:pPr>
      <w:r>
        <w:rPr/>
        <w:t>How this works with London's Universal Care Plan (UCP)</w:t>
      </w:r>
    </w:p>
    <w:p>
      <w:pPr>
        <w:pStyle w:val="BodyText"/>
        <w:bidi w:val="0"/>
        <w:jc w:val="left"/>
        <w:rPr/>
      </w:pPr>
      <w:r>
        <w:rPr/>
        <w:t xml:space="preserve">London's Universal Care Plan is welcome and important: it proves the model — most sickle cell patients in London now have a digital care plan their urgent-care teams use. This programme is designed to </w:t>
      </w:r>
      <w:r>
        <w:rPr>
          <w:rStyle w:val="Strong"/>
        </w:rPr>
        <w:t>complement and interoperate with that work, not compete with it.</w:t>
      </w:r>
      <w:r>
        <w:rPr/>
        <w:t xml:space="preserve"> What makes it distinct holds true whatever UCP's future footprint: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Open, not proprietary</w:t>
      </w:r>
      <w:r>
        <w:rPr/>
        <w:t xml:space="preserve"> — open-source with public-domain intellectual property, so any trust can</w:t>
      </w:r>
    </w:p>
    <w:p>
      <w:pPr>
        <w:pStyle w:val="BodyText"/>
        <w:bidi w:val="0"/>
        <w:jc w:val="left"/>
        <w:rPr/>
      </w:pPr>
      <w:r>
        <w:rPr/>
        <w:t>adopt it and connect it to existing records, with no licensing or vendor lock-in.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Purpose-built for the acute crisis, co-designed with patients</w:t>
      </w:r>
      <w:r>
        <w:rPr/>
        <w:t xml:space="preserve"> — an at-a-glance crisis view</w:t>
      </w:r>
    </w:p>
    <w:p>
      <w:pPr>
        <w:pStyle w:val="BodyText"/>
        <w:bidi w:val="0"/>
        <w:jc w:val="left"/>
        <w:rPr/>
      </w:pPr>
      <w:r>
        <w:rPr/>
        <w:t>built around the NICE 30-minute decision and patient dignity, not a module of a generalist tool.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Accountability by design</w:t>
      </w:r>
      <w:r>
        <w:rPr/>
        <w:t xml:space="preserve"> — a visible log of who accessed a plan and patient feedback to</w:t>
      </w:r>
    </w:p>
    <w:p>
      <w:pPr>
        <w:pStyle w:val="BodyText"/>
        <w:bidi w:val="0"/>
        <w:jc w:val="left"/>
        <w:rPr/>
      </w:pPr>
      <w:r>
        <w:rPr/>
        <w:t xml:space="preserve">challenge substandard care, directly answering the failings in </w:t>
      </w:r>
      <w:r>
        <w:rPr>
          <w:rStyle w:val="Emphasis"/>
        </w:rPr>
        <w:t>No One's Listening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UCP is, today, a London programme funded by London's integrated care boards; most of England has no equivalent. </w:t>
      </w:r>
      <w:r>
        <w:rPr>
          <w:rStyle w:val="Strong"/>
        </w:rPr>
        <w:t>Where UCP operates, this connects to it; where it does not, it provides the whole service.</w:t>
      </w:r>
      <w:r>
        <w:rPr/>
        <w:t xml:space="preserve"> Appendix A sets this out in full.</w:t>
      </w:r>
    </w:p>
    <w:p>
      <w:pPr>
        <w:pStyle w:val="Heading2"/>
        <w:bidi w:val="0"/>
        <w:jc w:val="left"/>
        <w:rPr/>
      </w:pPr>
      <w:r>
        <w:rPr/>
        <w:t>The ask</w:t>
      </w:r>
    </w:p>
    <w:p>
      <w:pPr>
        <w:pStyle w:val="BodyText"/>
        <w:bidi w:val="0"/>
        <w:jc w:val="left"/>
        <w:rPr/>
      </w:pPr>
      <w:r>
        <w:rPr/>
        <w:t>We are seeking a strategic partner that delivers sickle cell and acute care and can provide: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Match funding of £200,000</w:t>
      </w:r>
      <w:r>
        <w:rPr/>
        <w:t>, paid to the Observatory, which contracts for delivery; and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Institutional support</w:t>
      </w:r>
      <w:r>
        <w:rPr/>
        <w:t xml:space="preserve"> for a private beta — principally the engagement of clinical staff in</w:t>
      </w:r>
    </w:p>
    <w:p>
      <w:pPr>
        <w:pStyle w:val="BodyText"/>
        <w:bidi w:val="0"/>
        <w:jc w:val="left"/>
        <w:rPr/>
      </w:pPr>
      <w:r>
        <w:rPr>
          <w:rStyle w:val="Strong"/>
        </w:rPr>
        <w:t>Haematology</w:t>
      </w:r>
      <w:r>
        <w:rPr/>
        <w:t xml:space="preserve"> and </w:t>
      </w:r>
      <w:r>
        <w:rPr>
          <w:rStyle w:val="Strong"/>
        </w:rPr>
        <w:t>Accident &amp; Emergency</w:t>
      </w:r>
      <w:r>
        <w:rPr/>
        <w:t>, and IT support for workflow integration.</w:t>
      </w:r>
    </w:p>
    <w:p>
      <w:pPr>
        <w:pStyle w:val="BodyText"/>
        <w:bidi w:val="0"/>
        <w:jc w:val="left"/>
        <w:rPr/>
      </w:pPr>
      <w:r>
        <w:rPr/>
        <w:t xml:space="preserve">We would begin with a </w:t>
      </w:r>
      <w:r>
        <w:rPr>
          <w:rStyle w:val="Strong"/>
        </w:rPr>
        <w:t>Memorandum of Understanding</w:t>
      </w:r>
      <w:r>
        <w:rPr/>
        <w:t xml:space="preserve"> including a financial commitment, with payment falling due once we have awarded the delivery tender. The Observatory leads the programme, retains overall control, and conducts the procurement, commercial, technical and legal work.</w:t>
      </w:r>
    </w:p>
    <w:p>
      <w:pPr>
        <w:pStyle w:val="Heading2"/>
        <w:bidi w:val="0"/>
        <w:jc w:val="left"/>
        <w:rPr/>
      </w:pPr>
      <w:r>
        <w:rPr/>
        <w:t>Timeline</w:t>
      </w:r>
    </w:p>
    <w:tbl>
      <w:tblPr>
        <w:tblW w:w="91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5"/>
        <w:gridCol w:w="1922"/>
        <w:gridCol w:w="4933"/>
      </w:tblGrid>
      <w:tr>
        <w:trPr>
          <w:tblHeader w:val="true"/>
        </w:trPr>
        <w:tc>
          <w:tcPr>
            <w:tcW w:w="2295" w:type="dxa"/>
            <w:tcBorders/>
            <w:vAlign w:val="center"/>
          </w:tcPr>
          <w:p>
            <w:pPr>
              <w:pStyle w:val="TableHeading"/>
              <w:suppressLineNumbers/>
              <w:shd w:fill="F1EFF7" w:val="clear"/>
              <w:bidi w:val="0"/>
              <w:spacing w:before="0" w:after="120"/>
              <w:jc w:val="left"/>
              <w:rPr/>
            </w:pPr>
            <w:r>
              <w:rPr/>
              <w:t>Phase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Heading"/>
              <w:suppressLineNumbers/>
              <w:shd w:fill="F1EFF7" w:val="clear"/>
              <w:bidi w:val="0"/>
              <w:spacing w:before="0" w:after="120"/>
              <w:jc w:val="left"/>
              <w:rPr/>
            </w:pPr>
            <w:r>
              <w:rPr/>
              <w:t>Period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Heading"/>
              <w:suppressLineNumbers/>
              <w:shd w:fill="F1EFF7" w:val="clear"/>
              <w:bidi w:val="0"/>
              <w:spacing w:before="0" w:after="120"/>
              <w:jc w:val="left"/>
              <w:rPr/>
            </w:pPr>
            <w:r>
              <w:rPr/>
              <w:t>Focus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Partnership development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Jun – Sept 2026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MoU, appoint delivery partner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Digital service build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Oct 2026 – May 2027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Discovery, alpha, private-beta build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Pilot and iteration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Jun 2027 – Sept 2028</w:t>
            </w:r>
          </w:p>
        </w:tc>
        <w:tc>
          <w:tcPr>
            <w:tcW w:w="49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Private beta with selected patients; evaluate and iterate</w:t>
            </w:r>
          </w:p>
        </w:tc>
      </w:tr>
    </w:tbl>
    <w:p>
      <w:pPr>
        <w:pStyle w:val="Heading2"/>
        <w:bidi w:val="0"/>
        <w:jc w:val="left"/>
        <w:rPr/>
      </w:pPr>
      <w:r>
        <w:rPr/>
        <w:t>The proof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Working </w:t>
      </w:r>
      <w:r>
        <w:rPr>
          <w:rStyle w:val="Strong"/>
        </w:rPr>
        <w:t>prototype</w:t>
      </w:r>
      <w:r>
        <w:rPr/>
        <w:t xml:space="preserve"> and </w:t>
      </w:r>
      <w:r>
        <w:rPr>
          <w:rStyle w:val="Strong"/>
        </w:rPr>
        <w:t>website</w:t>
      </w:r>
      <w:r>
        <w:rPr/>
        <w:t xml:space="preserve"> (links above), with all code open at</w:t>
      </w:r>
    </w:p>
    <w:p>
      <w:pPr>
        <w:pStyle w:val="BodyText"/>
        <w:bidi w:val="0"/>
        <w:jc w:val="left"/>
        <w:rPr/>
      </w:pPr>
      <w:r>
        <w:rPr/>
        <w:t>github.com/drcjar/digital-sickle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Observatory &amp; Public Digital, </w:t>
      </w:r>
      <w:r>
        <w:rPr>
          <w:rStyle w:val="Emphasis"/>
        </w:rPr>
        <w:t>Sickle Cell Digital Discovery Report</w:t>
      </w:r>
      <w:r>
        <w:rPr/>
        <w:t xml:space="preserve"> (2023)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Emphasis"/>
        </w:rPr>
        <w:t>No One's Listening</w:t>
      </w:r>
      <w:r>
        <w:rPr/>
        <w:t>, APPG on Sickle Cell &amp; Thalassaemia (2021)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Telfer et al., </w:t>
      </w:r>
      <w:r>
        <w:rPr>
          <w:rStyle w:val="Emphasis"/>
        </w:rPr>
        <w:t>Blood Reviews</w:t>
      </w:r>
      <w:r>
        <w:rPr/>
        <w:t xml:space="preserve"> (2024); Tanabe et al., </w:t>
      </w:r>
      <w:r>
        <w:rPr>
          <w:rStyle w:val="Emphasis"/>
        </w:rPr>
        <w:t>Am J Hematol</w:t>
      </w:r>
      <w:r>
        <w:rPr/>
        <w:t xml:space="preserve"> (2018)</w:t>
      </w:r>
    </w:p>
    <w:p>
      <w:pPr>
        <w:pStyle w:val="Heading2"/>
        <w:bidi w:val="0"/>
        <w:jc w:val="left"/>
        <w:rPr/>
      </w:pPr>
      <w:r>
        <w:rPr/>
        <w:t>Next step</w:t>
      </w:r>
    </w:p>
    <w:p>
      <w:pPr>
        <w:pStyle w:val="BodyText"/>
        <w:bidi w:val="0"/>
        <w:jc w:val="left"/>
        <w:rPr/>
      </w:pPr>
      <w:r>
        <w:rPr/>
        <w:t xml:space="preserve">We would welcome a </w:t>
      </w:r>
      <w:r>
        <w:rPr>
          <w:rStyle w:val="Strong"/>
        </w:rPr>
        <w:t>30-minute conversation</w:t>
      </w:r>
      <w:r>
        <w:rPr/>
        <w:t xml:space="preserve"> with you and your haematology and emergency-care leads to discuss partnership.</w:t>
      </w:r>
    </w:p>
    <w:p>
      <w:pPr>
        <w:pStyle w:val="BodyText"/>
        <w:bidi w:val="0"/>
        <w:jc w:val="left"/>
        <w:rPr/>
      </w:pPr>
      <w:r>
        <w:rPr>
          <w:rStyle w:val="Strong"/>
        </w:rPr>
        <w:t>Dr Carl Reynolds</w:t>
      </w:r>
      <w:r>
        <w:rPr/>
        <w:t>, Clinical Advisor — carl.reynolds@nhsrho.org</w:t>
      </w:r>
    </w:p>
    <w:p>
      <w:pPr>
        <w:pStyle w:val="BodyText"/>
        <w:bidi w:val="0"/>
        <w:jc w:val="left"/>
        <w:rPr/>
      </w:pPr>
      <w:r>
        <w:rPr>
          <w:rStyle w:val="Strong"/>
        </w:rPr>
        <w:t>Professor Habib Naqvi MBE</w:t>
      </w:r>
      <w:r>
        <w:rPr/>
        <w:t>, Chief Executive, NHS Race &amp; Health Observatory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Appendix A — How this complements London's Universal Care Plan (UCP)</w:t>
      </w:r>
    </w:p>
    <w:p>
      <w:pPr>
        <w:pStyle w:val="BodyText"/>
        <w:bidi w:val="0"/>
        <w:jc w:val="left"/>
        <w:rPr/>
      </w:pPr>
      <w:r>
        <w:rPr/>
        <w:t xml:space="preserve">London's Universal Care Plan deserves real credit. Since sickle cell was added in March 2024 it has reached around </w:t>
      </w:r>
      <w:r>
        <w:rPr>
          <w:rStyle w:val="Strong"/>
        </w:rPr>
        <w:t>74% of the estimated 10,500 sickle cell patients in London</w:t>
      </w:r>
      <w:r>
        <w:rPr/>
        <w:t xml:space="preserve"> (more than 7,800 plans), and urgent-care use has risen sharply (about 3,400 views in a year, up from 570). UCP settles the question the Observatory's research first raised: </w:t>
      </w:r>
      <w:r>
        <w:rPr>
          <w:rStyle w:val="Strong"/>
        </w:rPr>
        <w:t>digital sickle cell care plans are adopted, used, and valued.</w:t>
      </w:r>
      <w:r>
        <w:rPr/>
        <w:t xml:space="preserve"> We treat UCP as a partner and a proof point, not a rival — and this programme is deliberately designed to interoperate with it.</w:t>
      </w:r>
    </w:p>
    <w:p>
      <w:pPr>
        <w:pStyle w:val="BodyText"/>
        <w:bidi w:val="0"/>
        <w:jc w:val="left"/>
        <w:rPr/>
      </w:pPr>
      <w:r>
        <w:rPr/>
        <w:t xml:space="preserve">What this programme adds is distinct, and — importantly — </w:t>
      </w:r>
      <w:r>
        <w:rPr>
          <w:rStyle w:val="Strong"/>
        </w:rPr>
        <w:t>holds true whatever UCP's footprint becomes</w:t>
      </w:r>
      <w:r>
        <w:rPr/>
        <w:t>:</w:t>
      </w:r>
    </w:p>
    <w:p>
      <w:pPr>
        <w:pStyle w:val="BodyText"/>
        <w:bidi w:val="0"/>
        <w:jc w:val="left"/>
        <w:rPr/>
      </w:pPr>
      <w:r>
        <w:rPr>
          <w:rStyle w:val="Strong"/>
        </w:rPr>
        <w:t>1. It is open, not proprietary.</w:t>
      </w:r>
      <w:r>
        <w:rPr/>
        <w:t xml:space="preserve"> UCP is delivered on a commercial platform (Better), funded by London's five integrated care boards. This service is </w:t>
      </w:r>
      <w:r>
        <w:rPr>
          <w:rStyle w:val="Strong"/>
        </w:rPr>
        <w:t>open-source, with public-domain intellectual property</w:t>
      </w:r>
      <w:r>
        <w:rPr/>
        <w:t xml:space="preserve"> — built once and adoptable by any trust or region without licensing or vendor lock-in, and designed to connect to existing shared records rather than replace them. Even if UCP were to extend nationally, an open, freely-adoptable, interoperable sickle-cell layer remains valuable — and complementary.</w:t>
      </w:r>
    </w:p>
    <w:p>
      <w:pPr>
        <w:pStyle w:val="BodyText"/>
        <w:bidi w:val="0"/>
        <w:jc w:val="left"/>
        <w:rPr/>
      </w:pPr>
      <w:r>
        <w:rPr>
          <w:rStyle w:val="Strong"/>
        </w:rPr>
        <w:t>2. It is purpose-built for the acute crisis and co-designed with patients.</w:t>
      </w:r>
      <w:r>
        <w:rPr/>
        <w:t xml:space="preserve"> UCP began in 2022 as an end-of-life and palliative-care planning tool; sickle cell is one module among many (alongside dementia, frailty and palliative care), with the pain plan held inside a generic "symptom management" section. We are designing </w:t>
      </w:r>
      <w:r>
        <w:rPr>
          <w:rStyle w:val="Strong"/>
        </w:rPr>
        <w:t>specifically for the acute painful crisis and the NICE 30-minute decision</w:t>
      </w:r>
      <w:r>
        <w:rPr/>
        <w:t xml:space="preserve"> — an at-a-glance crisis view co-produced with sickle cell patients and emergency and haematology clinicians, around the dignity and needs of a young population living with a lifelong condition.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3. It builds accountability into the product.</w:t>
      </w:r>
      <w:r>
        <w:rPr/>
        <w:t xml:space="preserve"> The failings exposed in </w:t>
      </w:r>
      <w:r>
        <w:rPr>
          <w:rStyle w:val="Emphasis"/>
        </w:rPr>
        <w:t>No One's Listening</w:t>
      </w:r>
      <w:r>
        <w:rPr/>
        <w:t xml:space="preserve"> were failings of accountability — patients dismissed and unheard. Beyond a shared clinical record, this service gives patients and their nominated carers a </w:t>
      </w:r>
      <w:r>
        <w:rPr>
          <w:rStyle w:val="Strong"/>
        </w:rPr>
        <w:t>visible log of who has accessed or changed their plan</w:t>
      </w:r>
      <w:r>
        <w:rPr/>
        <w:t xml:space="preserve">, structured </w:t>
      </w:r>
      <w:r>
        <w:rPr>
          <w:rStyle w:val="Strong"/>
        </w:rPr>
        <w:t>post-encounter feedback</w:t>
      </w:r>
      <w:r>
        <w:rPr/>
        <w:t>, and a co-produced, portable record they can use to challenge inconsistent or substandard care.</w:t>
      </w:r>
    </w:p>
    <w:p>
      <w:pPr>
        <w:pStyle w:val="BodyText"/>
        <w:bidi w:val="0"/>
        <w:jc w:val="left"/>
        <w:rPr/>
      </w:pPr>
      <w:r>
        <w:rPr>
          <w:rStyle w:val="Strong"/>
        </w:rPr>
        <w:t>4. It is built to be evaluated.</w:t>
      </w:r>
      <w:r>
        <w:rPr/>
        <w:t xml:space="preserve"> UCP reports adoption; this programme is designed to </w:t>
      </w:r>
      <w:r>
        <w:rPr>
          <w:rStyle w:val="Strong"/>
        </w:rPr>
        <w:t>test whether the service improves the 30-minute standard and patient experience</w:t>
      </w:r>
      <w:r>
        <w:rPr/>
        <w:t xml:space="preserve"> — generating the evidence of clinical and economic benefit that the literature currently finds inadequate (Telfer et al., 2024), and feeding national registries and dashboards.</w:t>
      </w:r>
    </w:p>
    <w:p>
      <w:pPr>
        <w:pStyle w:val="BodyText"/>
        <w:bidi w:val="0"/>
        <w:jc w:val="left"/>
        <w:rPr/>
      </w:pPr>
      <w:r>
        <w:rPr>
          <w:rStyle w:val="Strong"/>
        </w:rPr>
        <w:t>5. It is national and open from the outset.</w:t>
      </w:r>
      <w:r>
        <w:rPr/>
        <w:t xml:space="preserve"> UCP is, today, a London programme funded by London's ICBs (around 100,000 Londoners across all conditions; no national rollout announced, and out-of- London access via the National Record Locator is view-only — a patient's own GP cannot update it, nor can the patient via the NHS App). Most of England therefore has no equivalent. This programme is national and open by design: </w:t>
      </w:r>
      <w:r>
        <w:rPr>
          <w:rStyle w:val="Strong"/>
        </w:rPr>
        <w:t>where UCP operates, the two can interoperate and share open components; where it does not, this provides the whole service.</w:t>
      </w:r>
      <w:r>
        <w:rPr/>
        <w:t xml:space="preserve"> The aim is one all parties share — </w:t>
      </w:r>
      <w:r>
        <w:rPr>
          <w:rStyle w:val="Strong"/>
        </w:rPr>
        <w:t>that no patient's care depends on which city they fall ill in.</w:t>
      </w:r>
    </w:p>
    <w:p>
      <w:pPr>
        <w:pStyle w:val="Heading2"/>
        <w:bidi w:val="0"/>
        <w:jc w:val="left"/>
        <w:rPr/>
      </w:pPr>
      <w:r>
        <w:rPr/>
        <w:t>Appendix B — What a well-designed digital care plan can do</w:t>
      </w:r>
    </w:p>
    <w:p>
      <w:pPr>
        <w:pStyle w:val="BodyText"/>
        <w:bidi w:val="0"/>
        <w:jc w:val="left"/>
        <w:rPr/>
      </w:pPr>
      <w:r>
        <w:rPr/>
        <w:t>A care plan co-produced with patients and clinical specialists has the potential to improve, and in places transform, sickle cell care.</w:t>
      </w:r>
    </w:p>
    <w:p>
      <w:pPr>
        <w:pStyle w:val="Heading3"/>
        <w:bidi w:val="0"/>
        <w:jc w:val="left"/>
        <w:rPr/>
      </w:pPr>
      <w:r>
        <w:rPr/>
        <w:t>Patient safety &amp; clinical care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Faster, personalised analgesia during a crisis — removing the need to re-narrate a complex history</w:t>
      </w:r>
    </w:p>
    <w:p>
      <w:pPr>
        <w:pStyle w:val="BodyText"/>
        <w:bidi w:val="0"/>
        <w:jc w:val="left"/>
        <w:rPr/>
      </w:pPr>
      <w:r>
        <w:rPr/>
        <w:t>while in severe pain and a vulnerable state.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Reduced risk of medication and treatment error, particularly for patients managing sickle cell</w:t>
      </w:r>
    </w:p>
    <w:p>
      <w:pPr>
        <w:pStyle w:val="BodyText"/>
        <w:bidi w:val="0"/>
        <w:jc w:val="left"/>
        <w:rPr/>
      </w:pPr>
      <w:r>
        <w:rPr/>
        <w:t>alongside other conditions or with acquired adverse reactions.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Formal documentation of treatment history, prior medication responses and opioid-tolerance</w:t>
      </w:r>
    </w:p>
    <w:p>
      <w:pPr>
        <w:pStyle w:val="BodyText"/>
        <w:bidi w:val="0"/>
        <w:jc w:val="left"/>
        <w:rPr/>
      </w:pPr>
      <w:r>
        <w:rPr/>
        <w:t>thresholds — a clinical record that is harder to override through bias or assumption.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Plans accessible to 111 / 999, so the pre-hospital response is also informed.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Pregnancy and reproductive-health flags, linking obstetric and haematology teams and preventing</w:t>
      </w:r>
    </w:p>
    <w:p>
      <w:pPr>
        <w:pStyle w:val="BodyText"/>
        <w:bidi w:val="0"/>
        <w:jc w:val="left"/>
        <w:rPr/>
      </w:pPr>
      <w:r>
        <w:rPr/>
        <w:t>contraindicated prescribing.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The ability to capture avoidance behaviour and associated safety risk — patients not seeking care</w:t>
      </w:r>
    </w:p>
    <w:p>
      <w:pPr>
        <w:pStyle w:val="BodyText"/>
        <w:bidi w:val="0"/>
        <w:jc w:val="left"/>
        <w:rPr/>
      </w:pPr>
      <w:r>
        <w:rPr/>
        <w:t>after previous traumatic or discriminatory encounters.</w:t>
      </w:r>
    </w:p>
    <w:p>
      <w:pPr>
        <w:pStyle w:val="Heading3"/>
        <w:bidi w:val="0"/>
        <w:jc w:val="left"/>
        <w:rPr/>
      </w:pPr>
      <w:r>
        <w:rPr/>
        <w:t>Care continuity &amp; coordination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 persistent, portable plan that travels with the patient — improving handover from paediatric to</w:t>
      </w:r>
    </w:p>
    <w:p>
      <w:pPr>
        <w:pStyle w:val="BodyText"/>
        <w:bidi w:val="0"/>
        <w:jc w:val="left"/>
        <w:rPr/>
      </w:pPr>
      <w:r>
        <w:rPr/>
        <w:t>adult services, and supporting care in unfamiliar or non-specialist settings (including abroad).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Reduced duplicate diagnostics when patients present away from their home base.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Flags for unmet referral needs (pain specialists, psychology, social care, genetic counselling,</w:t>
      </w:r>
    </w:p>
    <w:p>
      <w:pPr>
        <w:pStyle w:val="BodyText"/>
        <w:bidi w:val="0"/>
        <w:jc w:val="left"/>
        <w:rPr/>
      </w:pPr>
      <w:r>
        <w:rPr/>
        <w:t>obstetrics) that would otherwise go unaddressed between episodes.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Prompts for timely review, reducing patients falling through gaps and enabling proactive outreach</w:t>
      </w:r>
    </w:p>
    <w:p>
      <w:pPr>
        <w:pStyle w:val="BodyText"/>
        <w:bidi w:val="0"/>
        <w:jc w:val="left"/>
        <w:rPr/>
      </w:pPr>
      <w:r>
        <w:rPr/>
        <w:t>rather than reactive, crisis-only contact.</w:t>
      </w:r>
    </w:p>
    <w:p>
      <w:pPr>
        <w:pStyle w:val="Heading3"/>
        <w:bidi w:val="0"/>
        <w:jc w:val="left"/>
        <w:rPr/>
      </w:pPr>
      <w:r>
        <w:rPr/>
        <w:t>Accountability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 documented, co-produced, portable record patients can use to challenge inconsistent or</w:t>
      </w:r>
    </w:p>
    <w:p>
      <w:pPr>
        <w:pStyle w:val="BodyText"/>
        <w:bidi w:val="0"/>
        <w:jc w:val="left"/>
        <w:rPr/>
      </w:pPr>
      <w:r>
        <w:rPr/>
        <w:t>substandard treatment.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log of the clinicians and staff involved in each episode.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Visibility of patterns of dismissal, delayed analgesia or non-adherence — at individual,</w:t>
      </w:r>
    </w:p>
    <w:p>
      <w:pPr>
        <w:pStyle w:val="BodyText"/>
        <w:bidi w:val="0"/>
        <w:jc w:val="left"/>
        <w:rPr/>
      </w:pPr>
      <w:r>
        <w:rPr/>
        <w:t>organisational and system level — enabling targeted intervention, training and performance measurement.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Post-encounter patient feedback, generating patient-reported experience data for commissioners,</w:t>
      </w:r>
    </w:p>
    <w:p>
      <w:pPr>
        <w:pStyle w:val="BodyText"/>
        <w:bidi w:val="0"/>
        <w:jc w:val="left"/>
        <w:rPr/>
      </w:pPr>
      <w:r>
        <w:rPr/>
        <w:t>policymakers and providers.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Formal documentation of carer roles, preferences and emergency contacts, legitimising carer</w:t>
      </w:r>
    </w:p>
    <w:p>
      <w:pPr>
        <w:pStyle w:val="BodyText"/>
        <w:bidi w:val="0"/>
        <w:jc w:val="left"/>
        <w:rPr/>
      </w:pPr>
      <w:r>
        <w:rPr/>
        <w:t>involvement.</w:t>
      </w:r>
    </w:p>
    <w:p>
      <w:pPr>
        <w:pStyle w:val="Heading3"/>
        <w:bidi w:val="0"/>
        <w:jc w:val="left"/>
        <w:rPr/>
      </w:pPr>
      <w:r>
        <w:rPr/>
        <w:t>Policy, practice &amp; research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More accurate needs assessment and capacity planning from real-world data on crisis frequency,</w:t>
      </w:r>
    </w:p>
    <w:p>
      <w:pPr>
        <w:pStyle w:val="BodyText"/>
        <w:bidi w:val="0"/>
        <w:jc w:val="left"/>
        <w:rPr/>
      </w:pPr>
      <w:r>
        <w:rPr/>
        <w:t>duration and acuity.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Identification of high-frequency attenders who may need better disease management or escalated</w:t>
      </w:r>
    </w:p>
    <w:p>
      <w:pPr>
        <w:pStyle w:val="BodyText"/>
        <w:bidi w:val="0"/>
        <w:jc w:val="left"/>
        <w:rPr/>
      </w:pPr>
      <w:r>
        <w:rPr/>
        <w:t>community support.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 feed into national registries, near-real-time dashboards and research datasets — highlighting</w:t>
      </w:r>
    </w:p>
    <w:p>
      <w:pPr>
        <w:pStyle w:val="BodyText"/>
        <w:bidi w:val="0"/>
        <w:jc w:val="left"/>
        <w:rPr/>
      </w:pPr>
      <w:r>
        <w:rPr/>
        <w:t>variation in demand, provision, treatment availability and outcomes (by geography, socioeconomic status and demographics) to support commissioning, workforce planning and advocacy.</w:t>
      </w:r>
    </w:p>
    <w:p>
      <w:pPr>
        <w:pStyle w:val="BodyText"/>
        <w:bidi w:val="0"/>
        <w:spacing w:before="360" w:after="120"/>
        <w:ind w:hanging="0" w:left="0" w:right="0"/>
        <w:jc w:val="left"/>
        <w:rPr>
          <w:color w:val="666666"/>
          <w:sz w:val="17"/>
          <w:bdr w:val="single" w:sz="2" w:space="5" w:color="CCCCCC"/>
        </w:rPr>
      </w:pPr>
      <w:r>
        <w:rPr>
          <w:color w:val="666666"/>
          <w:sz w:val="17"/>
          <w:bdr w:val="single" w:sz="2" w:space="5" w:color="CCCCCC"/>
        </w:rPr>
        <w:t>NHS Race &amp; Health Observatory · nhsrho.org · carl.reynolds@nhsrho.org · Developed in the open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Helvetica;sans-serif" w:hAnsi="Calibri;Helvetica;sans-serif" w:eastAsia="Calibri;Helvetica;sans-serif" w:cs="Calibri;Helvetica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2D2563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80" w:after="80"/>
      <w:ind w:left="280" w:right="280"/>
      <w:outlineLvl w:val="1"/>
    </w:pPr>
    <w:rPr>
      <w:rFonts w:ascii="Liberation Serif" w:hAnsi="Liberation Serif" w:eastAsia="Noto Serif CJK SC" w:cs="Noto Sans Devanagari"/>
      <w:b/>
      <w:bCs/>
      <w:color w:val="3D3382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00" w:after="60"/>
      <w:ind w:left="200" w:right="200"/>
      <w:outlineLvl w:val="2"/>
    </w:pPr>
    <w:rPr>
      <w:rFonts w:ascii="Liberation Serif" w:hAnsi="Liberation Serif" w:eastAsia="Noto Serif CJK SC" w:cs="Noto Sans Devanagari"/>
      <w:b/>
      <w:bCs/>
      <w:color w:val="3D3382"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160" w:after="40"/>
      <w:ind w:left="160" w:right="160"/>
      <w:outlineLvl w:val="3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21"/>
      <w:szCs w:val="21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10" w:color="3D3382"/>
      </w:pBdr>
      <w:spacing w:before="120" w:after="120"/>
      <w:ind w:hanging="0" w:left="120" w:right="120"/>
    </w:pPr>
    <w:rPr>
      <w:i/>
      <w:iCs/>
      <w:color w:val="333333"/>
    </w:rPr>
  </w:style>
  <w:style w:type="paragraph" w:styleId="TableHeading">
    <w:name w:val="Table Heading"/>
    <w:basedOn w:val="TableContents"/>
    <w:qFormat/>
    <w:pPr>
      <w:suppressLineNumbers/>
      <w:shd w:fill="F1EFF7" w:val="clear"/>
      <w:jc w:val="left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