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8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1"/>
        <w:gridCol w:w="3281"/>
      </w:tblGrid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t>2nd Floor</w:t>
              <w:br/>
              <w:t>18 Smith Square</w:t>
              <w:br/>
              <w:t>Westminster</w:t>
              <w:br/>
              <w:t>London  SW1P 3HZ</w:t>
              <w:br/>
              <w:t>Tel 0113 306 3000</w:t>
              <w:br/>
              <w:t>Chair: Dame Marie Gabriel DBE</w:t>
              <w:br/>
              <w:t>Chief Executive: Prof Habib Naqvi MBE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left"/>
              <w:rPr/>
            </w:pPr>
            <w:r>
              <w:rPr/>
              <w:drawing>
                <wp:inline distT="0" distB="0" distL="0" distR="0">
                  <wp:extent cx="2000250" cy="581025"/>
                  <wp:effectExtent l="0" t="0" r="0" b="0"/>
                  <wp:docPr id="1" name="Image1" descr="NHS Race and Health Observa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NHS Race and Health Observa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Digital Sickle Cell Care Plan</w:t>
      </w:r>
    </w:p>
    <w:p>
      <w:pPr>
        <w:pStyle w:val="Heading2sub"/>
        <w:bidi w:val="0"/>
        <w:jc w:val="left"/>
        <w:rPr/>
      </w:pPr>
      <w:r>
        <w:rPr/>
        <w:t>Board briefing: progress and a request for support</w:t>
      </w:r>
    </w:p>
    <w:p>
      <w:pPr>
        <w:pStyle w:val="BodyTextmeta"/>
        <w:bidi w:val="0"/>
        <w:jc w:val="left"/>
        <w:rPr/>
      </w:pPr>
      <w:r>
        <w:rPr>
          <w:rStyle w:val="Strong"/>
        </w:rPr>
        <w:t>To:</w:t>
      </w:r>
      <w:r>
        <w:rPr/>
        <w:t xml:space="preserve"> Board of the NHS Race &amp; Health Observatory    </w:t>
      </w:r>
      <w:r>
        <w:rPr>
          <w:rStyle w:val="Strong"/>
        </w:rPr>
        <w:t>From:</w:t>
      </w:r>
      <w:r>
        <w:rPr/>
        <w:t xml:space="preserve"> Dr Carl Reynolds, Clinical Advisor    </w:t>
      </w:r>
      <w:r>
        <w:rPr>
          <w:rStyle w:val="Strong"/>
        </w:rPr>
        <w:t>Date:</w:t>
      </w:r>
      <w:r>
        <w:rPr/>
        <w:t xml:space="preserve"> July 2026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>
          <w:rStyle w:val="Strong"/>
          <w:sz w:val="18"/>
          <w:bdr w:val="single" w:sz="18" w:space="8" w:color="330072"/>
          <w:shd w:fill="F2EEF8" w:val="clear"/>
        </w:rPr>
        <w:t>Recommendation.</w:t>
      </w:r>
      <w:r>
        <w:rPr>
          <w:sz w:val="18"/>
          <w:bdr w:val="single" w:sz="18" w:space="8" w:color="330072"/>
          <w:shd w:fill="F2EEF8" w:val="clear"/>
        </w:rPr>
        <w:t xml:space="preserve"> The Board is asked to (1) note the progress set out below; (2) approve the anticipated funding requirement of £300,000 to £600,000 for the initial phase; and (3) support the programme in securing an NHS acute trust partner and a Memorandum of Understanding.</w:t>
      </w:r>
    </w:p>
    <w:p>
      <w:pPr>
        <w:pStyle w:val="Heading3"/>
        <w:bidi w:val="0"/>
        <w:jc w:val="left"/>
        <w:rPr/>
      </w:pPr>
      <w:r>
        <w:rPr/>
        <w:t>Progress to date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Discovery research.</w:t>
      </w:r>
      <w:r>
        <w:rPr/>
        <w:t xml:space="preserve"> In 2022 to 2023, with Public Digital and University Hospitals Bristol and Weston, the Observatory ran digital discovery research into acute sickle cell care. The resulting </w:t>
      </w:r>
      <w:r>
        <w:rPr>
          <w:rStyle w:val="Emphasis"/>
        </w:rPr>
        <w:t>Sickle Cell Digital Discovery Report</w:t>
      </w:r>
      <w:r>
        <w:rPr/>
        <w:t xml:space="preserve"> (2023) recommended that </w:t>
      </w:r>
      <w:r>
        <w:rPr>
          <w:rStyle w:val="Strong"/>
        </w:rPr>
        <w:t>personalised digital care plans be explored further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Technical scoping.</w:t>
      </w:r>
      <w:r>
        <w:rPr/>
        <w:t xml:space="preserve"> Follow-on work was commissioned to understand the technical requirements of building a personalised digital sickle cell care plan.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Vertex partnership.</w:t>
      </w:r>
      <w:r>
        <w:rPr/>
        <w:t xml:space="preserve"> The partnership with Vertex Pharmaceuticals, which the Board previously supported, has secured </w:t>
      </w:r>
      <w:r>
        <w:rPr>
          <w:rStyle w:val="Strong"/>
        </w:rPr>
        <w:t>£60,000 of external funding to date</w:t>
      </w:r>
      <w:r>
        <w:rPr/>
        <w:t xml:space="preserve">, against a total request of approximately </w:t>
      </w:r>
      <w:r>
        <w:rPr>
          <w:rStyle w:val="Strong"/>
        </w:rPr>
        <w:t>£1 million</w:t>
      </w:r>
      <w:r>
        <w:rPr/>
        <w:t xml:space="preserve">. A progress report to Vertex is due on </w:t>
      </w:r>
      <w:r>
        <w:rPr>
          <w:rStyle w:val="Strong"/>
        </w:rPr>
        <w:t>8 August 2026</w:t>
      </w:r>
      <w:r>
        <w:rPr/>
        <w:t xml:space="preserve">, after which we will submit a further funding application. Vertex has no role in the design, content or delivery of the programme.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Prototype and website.</w:t>
      </w:r>
      <w:r>
        <w:rPr/>
        <w:t xml:space="preserve"> A functional, open-source </w:t>
      </w:r>
      <w:r>
        <w:rPr>
          <w:rStyle w:val="Strong"/>
        </w:rPr>
        <w:t>prototype</w:t>
      </w:r>
      <w:r>
        <w:rPr/>
        <w:t xml:space="preserve"> and a </w:t>
      </w:r>
      <w:r>
        <w:rPr>
          <w:rStyle w:val="Strong"/>
        </w:rPr>
        <w:t>project website</w:t>
      </w:r>
      <w:r>
        <w:rPr/>
        <w:t xml:space="preserve"> are live. This is a working service, not a concept on paper, and substantially de-risks delivery. Prototype: </w:t>
      </w:r>
      <w:hyperlink r:id="rId3">
        <w:r>
          <w:rPr>
            <w:rStyle w:val="Hyperlink"/>
          </w:rPr>
          <w:t>digital-sickle.carlreynolds.net</w:t>
        </w:r>
      </w:hyperlink>
      <w:r>
        <w:rPr/>
        <w:t xml:space="preserve"> · Website: </w:t>
      </w:r>
      <w:hyperlink r:id="rId4">
        <w:r>
          <w:rPr>
            <w:rStyle w:val="Hyperlink"/>
          </w:rPr>
          <w:t>carlreynolds.net/digital-sickle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Complementary to London's Universal Care Plan (UCP).</w:t>
      </w:r>
      <w:r>
        <w:rPr/>
        <w:t xml:space="preserve"> The service is designed to complement and interoperate with UCP, not compete with it: it is open-source with public-domain intellectual property, purpose-built for the acute painful crisis and the NICE 30-minute standard, builds accountability into the product, and provides the whole service across the majority of England where UCP does not operate.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Engagement.</w:t>
      </w:r>
      <w:r>
        <w:rPr/>
        <w:t xml:space="preserve"> We have engaged NHS England, the Royal College of Emergency Medicine, the National Haematology Pain Group, patients with lived experience, and other healthcare professionals. </w:t>
      </w:r>
    </w:p>
    <w:p>
      <w:pPr>
        <w:pStyle w:val="Heading3"/>
        <w:bidi w:val="0"/>
        <w:jc w:val="left"/>
        <w:rPr/>
      </w:pPr>
      <w:r>
        <w:rPr/>
        <w:t>Current position and next steps</w:t>
      </w:r>
    </w:p>
    <w:p>
      <w:pPr>
        <w:pStyle w:val="BodyText"/>
        <w:bidi w:val="0"/>
        <w:jc w:val="left"/>
        <w:rPr/>
      </w:pPr>
      <w:r>
        <w:rPr/>
        <w:t xml:space="preserve">We are now seeking one NHS acute trust to partner with us and sign a </w:t>
      </w:r>
      <w:r>
        <w:rPr>
          <w:rStyle w:val="Strong"/>
        </w:rPr>
        <w:t>Memorandum of Understanding</w:t>
      </w:r>
      <w:r>
        <w:rPr/>
        <w:t xml:space="preserve">; </w:t>
      </w:r>
      <w:r>
        <w:rPr>
          <w:rStyle w:val="Strong"/>
        </w:rPr>
        <w:t>Bristol, Manchester and Homerton</w:t>
      </w:r>
      <w:r>
        <w:rPr/>
        <w:t xml:space="preserve"> are our leading candidates. </w:t>
      </w:r>
      <w:r>
        <w:rPr>
          <w:rStyle w:val="Strong"/>
        </w:rPr>
        <w:t>We would welcome the Board's support in securing this partner.</w:t>
      </w:r>
      <w:r>
        <w:rPr/>
        <w:t xml:space="preserve"> With an MoU in place, we will run an </w:t>
      </w:r>
      <w:r>
        <w:rPr>
          <w:rStyle w:val="Strong"/>
        </w:rPr>
        <w:t>invitation to tender (ITT)</w:t>
      </w:r>
      <w:r>
        <w:rPr/>
        <w:t xml:space="preserve"> for a digital delivery partner. Softwire and dxw are strong candidates and have already been approached informally.</w:t>
      </w:r>
    </w:p>
    <w:p>
      <w:pPr>
        <w:pStyle w:val="Heading3"/>
        <w:bidi w:val="0"/>
        <w:jc w:val="left"/>
        <w:rPr/>
      </w:pPr>
      <w:r>
        <w:rPr/>
        <w:t>The ask</w:t>
      </w:r>
    </w:p>
    <w:p>
      <w:pPr>
        <w:pStyle w:val="BodyText"/>
        <w:bidi w:val="0"/>
        <w:spacing w:before="0" w:after="100"/>
        <w:jc w:val="left"/>
        <w:rPr/>
      </w:pPr>
      <w:r>
        <w:rPr/>
        <w:t xml:space="preserve">The budgetary requirement depends on confirmation of Vertex and NHS partner funding. The full project is costed at around </w:t>
      </w:r>
      <w:r>
        <w:rPr>
          <w:rStyle w:val="Strong"/>
        </w:rPr>
        <w:t>£600,000</w:t>
      </w:r>
      <w:r>
        <w:rPr/>
        <w:t xml:space="preserve">; a reduced </w:t>
      </w:r>
      <w:r>
        <w:rPr>
          <w:rStyle w:val="Strong"/>
        </w:rPr>
        <w:t>£300,000</w:t>
      </w:r>
      <w:r>
        <w:rPr/>
        <w:t xml:space="preserve"> scope is our contingency to deliver a smaller stand-alone service should Vertex or NHS partner funding fall short. Either way, this initial phase completes </w:t>
      </w:r>
      <w:r>
        <w:rPr>
          <w:rStyle w:val="Strong"/>
        </w:rPr>
        <w:t>before March 2027</w:t>
      </w:r>
      <w:r>
        <w:rPr/>
        <w:t xml:space="preserve"> and delivers a stand-alone, workable digital service.</w:t>
      </w:r>
    </w:p>
    <w:sectPr>
      <w:type w:val="nextPage"/>
      <w:pgSz w:w="11906" w:h="16838"/>
      <w:pgMar w:left="964" w:right="964" w:gutter="0" w:header="0" w:top="737" w:footer="0" w:bottom="737"/>
      <w:pgNumType w:fmt="decimal"/>
      <w:formProt w:val="false"/>
      <w:textDirection w:val="lrTb"/>
      <w:docGrid w:type="default" w:linePitch="600" w:charSpace="4177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7"/>
    </w:pPr>
    <w:rPr>
      <w:rFonts w:ascii="Arial;Helvetica;sans-serif" w:hAnsi="Arial;Helvetica;sans-serif" w:eastAsia="Arial;Helvetica;sans-serif" w:cs="Arial;Helvetica;sans-serif"/>
      <w:color w:val="212121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0"/>
    </w:pPr>
    <w:rPr>
      <w:b/>
      <w:bCs/>
      <w:color w:val="000000"/>
      <w:sz w:val="31"/>
      <w:szCs w:val="31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40"/>
      <w:ind w:left="140" w:right="140"/>
      <w:outlineLvl w:val="2"/>
    </w:pPr>
    <w:rPr>
      <w:rFonts w:ascii="Liberation Serif" w:hAnsi="Liberation Serif" w:eastAsia="Noto Serif CJK SC" w:cs="Noto Sans Devanagari"/>
      <w:b/>
      <w:bCs/>
      <w:color w:val="000000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330072"/>
      <w:u w:val="none"/>
      <w:effect w:val="none"/>
    </w:rPr>
  </w:style>
  <w:style w:type="character" w:styleId="Strong">
    <w:name w:val="Strong"/>
    <w:qFormat/>
    <w:rPr>
      <w:b/>
      <w:bCs/>
      <w:color w:val="00000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strike w:val="false"/>
      <w:dstrike w:val="false"/>
      <w:color w:val="330072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2sub">
    <w:name w:val="Heading 2.sub"/>
    <w:basedOn w:val="Heading2"/>
    <w:qFormat/>
    <w:pPr>
      <w:spacing w:before="200" w:after="120"/>
      <w:ind w:hanging="0" w:left="0"/>
      <w:outlineLvl w:val="9"/>
    </w:pPr>
    <w:rPr>
      <w:color w:val="330072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meta">
    <w:name w:val="Body Text.meta"/>
    <w:basedOn w:val="BodyText"/>
    <w:qFormat/>
    <w:pPr>
      <w:spacing w:before="0" w:after="100"/>
    </w:pPr>
    <w:rPr>
      <w:color w:val="333333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igital-sickle.carlreynolds.net/" TargetMode="External"/><Relationship Id="rId4" Type="http://schemas.openxmlformats.org/officeDocument/2006/relationships/hyperlink" Target="https://carlreynolds.net/digital-sickle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