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Nalp3 inflammasomes and cigarette smoke is thought to attenuate the innate immune response to asbestos through Nalp3 inflammasome suppression.</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together with smoking activates the NLRP3 inflammasome, NLRP3 inflammasome activation results in increased IL-1beta release, and IL-1beta release is a stimulus for increased MUC5b expression.</w:t>
      </w:r>
      <w:r>
        <w:t xml:space="preserve">[116]</w:t>
      </w:r>
      <w:r>
        <w:t xml:space="preserve">[126]</w:t>
      </w:r>
      <w:r>
        <w:t xml:space="preserve">[133]</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[134]</w:t>
      </w:r>
      <w:r>
        <w:t xml:space="preserve">[135]</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[136]</w:t>
      </w:r>
      <w:r>
        <w:t xml:space="preserve"> </w:t>
      </w:r>
      <w:r>
        <w:t xml:space="preserve">and rates have not yet peaked in the UK.</w:t>
      </w:r>
      <w:r>
        <w:t xml:space="preserve">[137]</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[138]</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1"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Testa2011"/>
    <w:p>
      <w:pPr>
        <w:pStyle w:val="Bibliography"/>
      </w:pPr>
      <w:r>
        <w:t xml:space="preserve">134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2">
        <w:r>
          <w:rPr>
            <w:rStyle w:val="Hyperlink"/>
          </w:rPr>
          <w:t xml:space="preserve">10.1038/ng.912</w:t>
        </w:r>
      </w:hyperlink>
    </w:p>
    <w:bookmarkEnd w:id="333"/>
    <w:bookmarkStart w:id="335" w:name="ref-Emri2017"/>
    <w:p>
      <w:pPr>
        <w:pStyle w:val="Bibliography"/>
      </w:pPr>
      <w:r>
        <w:t xml:space="preserve">135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4">
        <w:r>
          <w:rPr>
            <w:rStyle w:val="Hyperlink"/>
          </w:rPr>
          <w:t xml:space="preserve">10.21037/atm.2017.04.06</w:t>
        </w:r>
      </w:hyperlink>
    </w:p>
    <w:bookmarkEnd w:id="335"/>
    <w:bookmarkStart w:id="337" w:name="ref-Harding2010"/>
    <w:p>
      <w:pPr>
        <w:pStyle w:val="Bibliography"/>
      </w:pPr>
      <w:r>
        <w:t xml:space="preserve">136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6">
        <w:r>
          <w:rPr>
            <w:rStyle w:val="Hyperlink"/>
          </w:rPr>
          <w:t xml:space="preserve">10.1002/ajim.20844</w:t>
        </w:r>
      </w:hyperlink>
    </w:p>
    <w:bookmarkEnd w:id="337"/>
    <w:bookmarkStart w:id="339" w:name="ref-HSE2019"/>
    <w:p>
      <w:pPr>
        <w:pStyle w:val="Bibliography"/>
      </w:pPr>
      <w:r>
        <w:t xml:space="preserve">137 H. This document is available from www.hse.gov.uk/statistics/page 1of 18Health and safety executiveasbestos-related diseasestatistics in great britain, 2019. HSE 30AD–10AD.</w:t>
      </w:r>
      <w:r>
        <w:t xml:space="preserve"> </w:t>
      </w:r>
      <w:hyperlink r:id="rId338">
        <w:r>
          <w:rPr>
            <w:rStyle w:val="Hyperlink"/>
          </w:rPr>
          <w:t xml:space="preserve">https://www.hse.gov.uk/statistics/causdis/asbestos-related-disease.pdf</w:t>
        </w:r>
      </w:hyperlink>
    </w:p>
    <w:bookmarkEnd w:id="339"/>
    <w:bookmarkStart w:id="340" w:name="ref-Allen2017"/>
    <w:p>
      <w:pPr>
        <w:pStyle w:val="Bibliography"/>
      </w:pPr>
      <w:r>
        <w:t xml:space="preserve">138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6"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2"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4"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8"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6"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2"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4"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8"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2020-02-13T16:54:22Z</dcterms:created>
  <dcterms:modified xsi:type="dcterms:W3CDTF">2020-02-13T16:54:22Z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