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at high or medium risk for asbestos exposure was common for both cases (67%) and controls (63%) and the difference in the proportion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w:t>
      </w:r>
      <w:r>
        <w:t xml:space="preserve"> </w:t>
      </w:r>
      <w:r>
        <w:t xml:space="preserve">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In an unplanned secondary analysis we also found a significant association self reported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and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NLRP3 inflammasome.</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activates the NLRP3 inflammasome and results in increased IL-1beta release (as does smoking), and IL-1beta release is a potent stimulus for increased MUC5b expression.</w:t>
      </w:r>
      <w:r>
        <w:t xml:space="preserve">[116]</w:t>
      </w:r>
      <w:r>
        <w:t xml:space="preserve">[126]</w:t>
      </w:r>
      <w:r>
        <w:t xml:space="preserve">[133]</w:t>
      </w:r>
      <w:r>
        <w:t xml:space="preserve">[134]</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[135]</w:t>
      </w:r>
      <w:r>
        <w:t xml:space="preserve">[136]</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[137]</w:t>
      </w:r>
      <w:r>
        <w:t xml:space="preserve"> </w:t>
      </w:r>
      <w:r>
        <w:t xml:space="preserve">and rates have not yet peaked in the UK.</w:t>
      </w:r>
      <w:r>
        <w:t xml:space="preserve">[138]</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[139]</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Compact"/>
        <w:numPr>
          <w:numId w:val="1008"/>
          <w:ilvl w:val="0"/>
        </w:numPr>
      </w:pPr>
      <w:r>
        <w:t xml:space="preserve">summary of what found</w:t>
      </w:r>
    </w:p>
    <w:p>
      <w:pPr>
        <w:pStyle w:val="Compact"/>
        <w:numPr>
          <w:numId w:val="1009"/>
          <w:ilvl w:val="0"/>
        </w:numPr>
      </w:pPr>
      <w:r>
        <w:t xml:space="preserve">cases and controls heavily asbestos exposed; no significant IPF-asbestos association</w:t>
      </w:r>
    </w:p>
    <w:p>
      <w:pPr>
        <w:pStyle w:val="Compact"/>
        <w:numPr>
          <w:numId w:val="1009"/>
          <w:ilvl w:val="0"/>
        </w:numPr>
      </w:pPr>
      <w:r>
        <w:t xml:space="preserve">(association with stone dust)</w:t>
      </w:r>
    </w:p>
    <w:p>
      <w:pPr>
        <w:pStyle w:val="Compact"/>
        <w:numPr>
          <w:numId w:val="1009"/>
          <w:ilvl w:val="0"/>
        </w:numPr>
      </w:pPr>
      <w:r>
        <w:t xml:space="preserve">association between asbestos exposure and MRC dyspnoea independent of case and smoking status</w:t>
      </w:r>
    </w:p>
    <w:p>
      <w:pPr>
        <w:pStyle w:val="Compact"/>
        <w:numPr>
          <w:numId w:val="1009"/>
          <w:ilvl w:val="0"/>
        </w:numPr>
      </w:pPr>
      <w:r>
        <w:t xml:space="preserve">asbestos exposure and smoking appear to interact to increase IPF risk in patients with the minor allele of the MUC5b promotor variant rs3570950; asbestos exposure alone and smoking alone do not</w:t>
      </w:r>
    </w:p>
    <w:p>
      <w:pPr>
        <w:pStyle w:val="Compact"/>
        <w:numPr>
          <w:numId w:val="1010"/>
          <w:ilvl w:val="0"/>
        </w:numPr>
      </w:pPr>
      <w:r>
        <w:t xml:space="preserve">importance</w:t>
      </w:r>
    </w:p>
    <w:p>
      <w:pPr>
        <w:pStyle w:val="Compact"/>
        <w:numPr>
          <w:numId w:val="1011"/>
          <w:ilvl w:val="0"/>
        </w:numPr>
      </w:pPr>
      <w:r>
        <w:t xml:space="preserve">IPF cases continue to rise; understanding why would help to inform prevention efforts</w:t>
      </w:r>
    </w:p>
    <w:p>
      <w:pPr>
        <w:pStyle w:val="Compact"/>
        <w:numPr>
          <w:numId w:val="1011"/>
          <w:ilvl w:val="0"/>
        </w:numPr>
      </w:pPr>
      <w:r>
        <w:t xml:space="preserve">globally many are still exposed to asbestos, silica, and smoking</w:t>
      </w:r>
    </w:p>
    <w:p>
      <w:pPr>
        <w:pStyle w:val="Compact"/>
        <w:numPr>
          <w:numId w:val="1011"/>
          <w:ilvl w:val="0"/>
        </w:numPr>
      </w:pPr>
      <w:r>
        <w:t xml:space="preserve">potentially an unmet need / unmeasured harm presented by asbestos exposed patients with dyspnoea but not diagnosed with IPF</w:t>
      </w:r>
    </w:p>
    <w:p>
      <w:pPr>
        <w:pStyle w:val="Compact"/>
        <w:numPr>
          <w:numId w:val="1011"/>
          <w:ilvl w:val="0"/>
        </w:numPr>
      </w:pPr>
      <w:r>
        <w:t xml:space="preserve">supports accumulating body of evidence for MUC5b driven pulmonary fibrosis endotype</w:t>
      </w:r>
    </w:p>
    <w:p>
      <w:pPr>
        <w:pStyle w:val="Compact"/>
        <w:numPr>
          <w:numId w:val="1012"/>
          <w:ilvl w:val="0"/>
        </w:numPr>
      </w:pPr>
      <w:r>
        <w:t xml:space="preserve">what others have done</w:t>
      </w:r>
    </w:p>
    <w:p>
      <w:pPr>
        <w:pStyle w:val="Compact"/>
        <w:numPr>
          <w:numId w:val="1013"/>
          <w:ilvl w:val="0"/>
        </w:numPr>
      </w:pPr>
      <w:r>
        <w:t xml:space="preserve">lots of poor quality case control studies, heterogeneity, methodlogical issues esp around selection, small numbers</w:t>
      </w:r>
    </w:p>
    <w:p>
      <w:pPr>
        <w:pStyle w:val="Compact"/>
        <w:numPr>
          <w:numId w:val="1013"/>
          <w:ilvl w:val="0"/>
        </w:numPr>
      </w:pPr>
      <w:r>
        <w:t xml:space="preserve">metal, wood, stone come out on meta-analysis. asbestos does not not. however methodolgical issues around measurement (and selection), small numbers, and failure to look at interaction might explain</w:t>
      </w:r>
    </w:p>
    <w:p>
      <w:pPr>
        <w:pStyle w:val="Compact"/>
        <w:numPr>
          <w:numId w:val="1013"/>
          <w:ilvl w:val="0"/>
        </w:numPr>
      </w:pPr>
      <w:r>
        <w:t xml:space="preserve">toxicology and work on genetic risk factors for IPF, RA-ILD, silicosis, asbestosis</w:t>
      </w:r>
    </w:p>
    <w:p>
      <w:pPr>
        <w:numPr>
          <w:numId w:val="1014"/>
          <w:ilvl w:val="0"/>
        </w:numPr>
      </w:pPr>
      <w:r>
        <w:t xml:space="preserve">limitations e.g response rates</w:t>
      </w:r>
    </w:p>
    <w:p>
      <w:pPr>
        <w:numPr>
          <w:numId w:val="1014"/>
          <w:ilvl w:val="0"/>
        </w:numPr>
      </w:pPr>
      <w:r>
        <w:t xml:space="preserve">strengths: big, properly powered, blinded, asbestos assessment, genetics</w:t>
      </w:r>
    </w:p>
    <w:p>
      <w:pPr>
        <w:numPr>
          <w:numId w:val="1014"/>
          <w:ilvl w:val="0"/>
        </w:numPr>
      </w:pPr>
      <w:r>
        <w:t xml:space="preserve">smoking and asbestos</w:t>
      </w:r>
    </w:p>
    <w:p>
      <w:pPr>
        <w:numPr>
          <w:numId w:val="1014"/>
          <w:ilvl w:val="0"/>
        </w:numPr>
      </w:pPr>
      <w:r>
        <w:t xml:space="preserve">what we should do next</w:t>
      </w:r>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at high or medium risk for asbestos exposure was common for both cases (67%) and controls (63%) and the difference in the proportion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w:t>
      </w:r>
      <w:r>
        <w:t xml:space="preserve"> </w:t>
      </w:r>
      <w:r>
        <w:t xml:space="preserve">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In an unplanned secondary analysis we also found a significant association self reported occupational exposure to stone dust and IPF, OR 2.9(1.3-6.7; 0.01).</w:t>
      </w:r>
    </w:p>
    <w:p>
      <w:pPr>
        <w:pStyle w:val="BodyText"/>
      </w:pPr>
      <w:r>
        <w:t xml:space="preserve">?Previous studies have found case control studies of IPF have found XYZ. X have looked at asbestos exposure. However they are limited by ABC.</w:t>
      </w:r>
    </w:p>
    <w:p>
      <w:pPr>
        <w:pStyle w:val="BodyText"/>
      </w:pPr>
      <w:r>
        <w:t xml:space="preserve">In common with numerous previous studies we found MUC5b rs3570950 to be strongly associated with disease in a risk allele dose-dependant fashion. We found no evidence of interaction between asbestos exposure and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15"/>
          <w:ilvl w:val="0"/>
        </w:numPr>
      </w:pPr>
      <w:r>
        <w:t xml:space="preserve">Asbestos exposure is not an important cause of IPF</w:t>
      </w:r>
    </w:p>
    <w:p>
      <w:pPr>
        <w:pStyle w:val="Compact"/>
        <w:numPr>
          <w:numId w:val="1015"/>
          <w:ilvl w:val="0"/>
        </w:numPr>
      </w:pPr>
      <w:r>
        <w:t xml:space="preserve">Asbestos exposure is only an important cause in concert with other environmental or genetic exposures</w:t>
      </w:r>
    </w:p>
    <w:p>
      <w:pPr>
        <w:pStyle w:val="Compact"/>
        <w:numPr>
          <w:numId w:val="1015"/>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(?add paul part 1 asbestosis down, part 2 up)</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NLRP3 inflammasome.</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activates the NLRP3 inflammasome and results in increased IL-1beta release (as does smoking), and IL-1beta release is a potent stimulus for increased MUC5b expression.</w:t>
      </w:r>
      <w:r>
        <w:t xml:space="preserve">[116]</w:t>
      </w:r>
      <w:r>
        <w:t xml:space="preserve">[126]</w:t>
      </w:r>
      <w:r>
        <w:t xml:space="preserve">[133]</w:t>
      </w:r>
      <w:r>
        <w:t xml:space="preserve">[134]</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[135]</w:t>
      </w:r>
      <w:r>
        <w:t xml:space="preserve">[136]</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[137]</w:t>
      </w:r>
      <w:r>
        <w:t xml:space="preserve"> </w:t>
      </w:r>
      <w:r>
        <w:t xml:space="preserve">and rates have not yet peaked in the UK.</w:t>
      </w:r>
      <w:r>
        <w:t xml:space="preserve">[138]</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[139]</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3"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Kuschner1996"/>
    <w:p>
      <w:pPr>
        <w:pStyle w:val="Bibliography"/>
      </w:pPr>
      <w:r>
        <w:t xml:space="preserve">134 Kuschner WG, D’Alessandro A, Wong H</w:t>
      </w:r>
      <w:r>
        <w:t xml:space="preserve"> </w:t>
      </w:r>
      <w:r>
        <w:rPr>
          <w:i/>
        </w:rPr>
        <w:t xml:space="preserve">et al.</w:t>
      </w:r>
      <w:r>
        <w:t xml:space="preserve"> </w:t>
      </w:r>
      <w:r>
        <w:t xml:space="preserve">Dose-dependent cigarette smoking-related inflammatory responses in healthy adults.</w:t>
      </w:r>
      <w:r>
        <w:t xml:space="preserve"> </w:t>
      </w:r>
      <w:r>
        <w:rPr>
          <w:i/>
        </w:rPr>
        <w:t xml:space="preserve">The European respiratory journal</w:t>
      </w:r>
      <w:r>
        <w:t xml:space="preserve"> </w:t>
      </w:r>
      <w:r>
        <w:t xml:space="preserve">1996;</w:t>
      </w:r>
      <w:r>
        <w:rPr>
          <w:b/>
        </w:rPr>
        <w:t xml:space="preserve">9</w:t>
      </w:r>
      <w:r>
        <w:t xml:space="preserve">:1989–94. doi:</w:t>
      </w:r>
      <w:hyperlink r:id="rId332">
        <w:r>
          <w:rPr>
            <w:rStyle w:val="Hyperlink"/>
          </w:rPr>
          <w:t xml:space="preserve">10.1183/09031936.96.09101989</w:t>
        </w:r>
      </w:hyperlink>
    </w:p>
    <w:bookmarkEnd w:id="333"/>
    <w:bookmarkStart w:id="335" w:name="ref-Testa2011"/>
    <w:p>
      <w:pPr>
        <w:pStyle w:val="Bibliography"/>
      </w:pPr>
      <w:r>
        <w:t xml:space="preserve">135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4">
        <w:r>
          <w:rPr>
            <w:rStyle w:val="Hyperlink"/>
          </w:rPr>
          <w:t xml:space="preserve">10.1038/ng.912</w:t>
        </w:r>
      </w:hyperlink>
    </w:p>
    <w:bookmarkEnd w:id="335"/>
    <w:bookmarkStart w:id="337" w:name="ref-Emri2017"/>
    <w:p>
      <w:pPr>
        <w:pStyle w:val="Bibliography"/>
      </w:pPr>
      <w:r>
        <w:t xml:space="preserve">136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6">
        <w:r>
          <w:rPr>
            <w:rStyle w:val="Hyperlink"/>
          </w:rPr>
          <w:t xml:space="preserve">10.21037/atm.2017.04.06</w:t>
        </w:r>
      </w:hyperlink>
    </w:p>
    <w:bookmarkEnd w:id="337"/>
    <w:bookmarkStart w:id="339" w:name="ref-Harding2010"/>
    <w:p>
      <w:pPr>
        <w:pStyle w:val="Bibliography"/>
      </w:pPr>
      <w:r>
        <w:t xml:space="preserve">137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8">
        <w:r>
          <w:rPr>
            <w:rStyle w:val="Hyperlink"/>
          </w:rPr>
          <w:t xml:space="preserve">10.1002/ajim.20844</w:t>
        </w:r>
      </w:hyperlink>
    </w:p>
    <w:bookmarkEnd w:id="339"/>
    <w:bookmarkStart w:id="341" w:name="ref-HSE2019"/>
    <w:p>
      <w:pPr>
        <w:pStyle w:val="Bibliography"/>
      </w:pPr>
      <w:r>
        <w:t xml:space="preserve">138 H. This document is available from www.hse.gov.uk/statistics/page 1of 18Health and safety executiveasbestos-related diseasestatistics in great britain, 2019. HSE</w:t>
      </w:r>
      <w:r>
        <w:t xml:space="preserve"> </w:t>
      </w:r>
      <w:hyperlink r:id="rId340">
        <w:r>
          <w:rPr>
            <w:rStyle w:val="Hyperlink"/>
          </w:rPr>
          <w:t xml:space="preserve">https://www.hse.gov.uk/statistics/causdis/asbestos-related-disease.pdf</w:t>
        </w:r>
      </w:hyperlink>
    </w:p>
    <w:bookmarkEnd w:id="341"/>
    <w:bookmarkStart w:id="342" w:name="ref-Allen2017"/>
    <w:p>
      <w:pPr>
        <w:pStyle w:val="Bibliography"/>
      </w:pPr>
      <w:r>
        <w:t xml:space="preserve">139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2"/>
    <w:bookmarkEnd w:id="3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2020-02-14T07:34:40Z</dcterms:created>
  <dcterms:modified xsi:type="dcterms:W3CDTF">2020-02-14T07:34:40Z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