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jpg" ContentType="image/jpeg"/>
  <Override PartName="/word/media/rId41.jpg" ContentType="image/jpeg"/>
  <Override PartName="/word/media/rId62.jpg" ContentType="image/jpe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partcipants, to Rupa and all of the principle investigators and their teams for making the study happen.</w:t>
      </w:r>
    </w:p>
    <w:p>
      <w:pPr>
        <w:pStyle w:val="Heading1"/>
      </w:pPr>
      <w:bookmarkStart w:id="22" w:name="list-of-figures"/>
      <w:r>
        <w:t xml:space="preserve">List of figures</w:t>
      </w:r>
      <w:bookmarkEnd w:id="22"/>
    </w:p>
    <w:p>
      <w:pPr>
        <w:pStyle w:val="FirstParagraph"/>
      </w:pPr>
      <w:r>
        <w:t xml:space="preserve">Figure 4.1 This is an example figure . . .</w:t>
      </w:r>
      <w:r>
        <w:t xml:space="preserve"> </w:t>
      </w:r>
      <w:r>
        <w:br/>
      </w:r>
      <w:r>
        <w:t xml:space="preserve">Figure x.x Short title of the figure . . .</w:t>
      </w:r>
      <w:r>
        <w:t xml:space="preserve"> </w:t>
      </w:r>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Heading1"/>
      </w:pPr>
      <w:bookmarkStart w:id="25" w:name="introduction-to-thesis"/>
      <w:r>
        <w:t xml:space="preserve">Introduction to thesis</w:t>
      </w:r>
      <w:bookmarkEnd w:id="25"/>
    </w:p>
    <w:p>
      <w:pPr>
        <w:pStyle w:val="Heading2"/>
      </w:pPr>
      <w:bookmarkStart w:id="26" w:name="Xb3397a27d26c8320505ac1394ef1cc23fe39a32"/>
      <w:r>
        <w:t xml:space="preserve">Occupational asbestos exposure as an underecognised cause of idiopathic pulmonary fibrosis</w:t>
      </w:r>
      <w:bookmarkEnd w:id="26"/>
    </w:p>
    <w:p>
      <w:pPr>
        <w:pStyle w:val="FirstParagraph"/>
      </w:pPr>
      <w:r>
        <w:t xml:space="preserve">Idiopathic pulmonary fibrosis (IPF) is a progressive, fibrotic lung disease which in 2012 was the recorded cause of death for c.4000 people in England and Wales. Its incidence, currently around 7.5/100,000 person-years, has increased by 5% pa since 2000.</w:t>
      </w:r>
      <w:r>
        <w:t xml:space="preserve">[1]</w:t>
      </w:r>
      <w:r>
        <w:t xml:space="preserve"> </w:t>
      </w:r>
      <w:r>
        <w:t xml:space="preserve">The pathophysiology of IPF is complex, the outcome of host susceptibility factors, epithelial injury, and a dysregulated repair process. Several gene polymorphisms which result in a vulnerable alveolar epithelium have been characterized; they include abnormalities in mucin genes (eg MUC5B), surfactant protein genes, and telomerase genes (eg TERT and TERC).</w:t>
      </w:r>
      <w:r>
        <w:t xml:space="preserve">[2]</w:t>
      </w:r>
      <w:r>
        <w:t xml:space="preserve">[3]</w:t>
      </w:r>
      <w:r>
        <w:t xml:space="preserve">[4]</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[3]</w:t>
      </w:r>
      <w:r>
        <w:t xml:space="preserve"> </w:t>
      </w:r>
      <w:r>
        <w:t xml:space="preserve">The prognosis is poor, with a median survival of three years.</w:t>
      </w:r>
      <w:r>
        <w:t xml:space="preserve">[5]</w:t>
      </w:r>
      <w:r>
        <w:t xml:space="preserve">[6]</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[7]</w:t>
      </w:r>
      <w:r>
        <w:t xml:space="preserve"> </w:t>
      </w:r>
      <w:r>
        <w:t xml:space="preserve">Clinical, radiological and histopathological findings in asbestosis and IPF are similar</w:t>
      </w:r>
      <w:r>
        <w:t xml:space="preserve">[8]</w:t>
      </w:r>
      <w:r>
        <w:t xml:space="preserve">[9]</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[10]</w:t>
      </w:r>
      <w:r>
        <w:t xml:space="preserve">[11]</w:t>
      </w:r>
      <w:r>
        <w:t xml:space="preserve">[12]</w:t>
      </w:r>
      <w:r>
        <w:t xml:space="preserve">[13]</w:t>
      </w:r>
    </w:p>
    <w:p>
      <w:pPr>
        <w:pStyle w:val="BodyText"/>
      </w:pPr>
      <w:r>
        <w:t xml:space="preserve">Identification of occupational asbestos fibre exposure as an under-recognised cause of IPF is important to improve our understanding of the aetio-pathophysiology of IPF and the accuracy of prognostic information. It would have implications for compensation and impact on the current restrictions on individual treatment. Importantly, it would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Brief reviews of asbestos exposure assessment and genetic suceptibility in IPF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 (?include navaratum case control jobs data that was shared)</w:t>
      </w:r>
    </w:p>
    <w:p>
      <w:pPr>
        <w:pStyle w:val="Heading2"/>
      </w:pPr>
      <w:bookmarkStart w:id="29" w:name="outline-of-thesis"/>
      <w:r>
        <w:t xml:space="preserve">Outline of thesis</w:t>
      </w:r>
      <w:bookmarkEnd w:id="29"/>
    </w:p>
    <w:p>
      <w:pPr>
        <w:pStyle w:val="FirstParagraph"/>
      </w:pPr>
      <w:r>
        <w:t xml:space="preserve">This chapter (Chapter 1) describes the problem studied, aims and objectives, and approach. Chapter 2 is a literature review and meta-analysis of IPF case-control studies that report on occupational exposure. Chapter 3 is an analysis of IPF and asbestos related disease mortality data. Chapter 4 is a review of asbestos exposure assessment methodology. Chapter 5 is a review of genetic suceptibility in IPF. Chapter 6 describes the idiopathic pulmonary fibrosis job exposures study including</w:t>
      </w:r>
      <w:r>
        <w:t xml:space="preserve"> </w:t>
      </w:r>
      <w:r>
        <w:t xml:space="preserve">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[14]</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[15]</w:t>
      </w:r>
      <w:r>
        <w:t xml:space="preserve"> </w:t>
      </w:r>
      <w:r>
        <w:t xml:space="preserve">Studying specific occupational exposures also presents its own challenges; co-exposure is common, occupational hygeine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[3]</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bronchioalveolar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[16]</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[17]</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[18]</w:t>
      </w:r>
    </w:p>
    <w:p>
      <w:pPr>
        <w:pStyle w:val="BodyText"/>
      </w:pPr>
      <w:r>
        <w:t xml:space="preserve">Gulati and Redlich’s (2015) review of exposures causing usual interstitial pneumonia highlights that asbestosis may appear indistinguishable from IPF and summarises previous case-control studies but did not pool studies to perform a meta-analysis.</w:t>
      </w:r>
      <w:r>
        <w:t xml:space="preserve">[19]</w:t>
      </w:r>
    </w:p>
    <w:p>
      <w:pPr>
        <w:pStyle w:val="BodyText"/>
      </w:pPr>
      <w:r>
        <w:t xml:space="preserve">I sought to identify and meta-analyze all IPF case-control studies dealing with occupational exposures.</w:t>
      </w:r>
    </w:p>
    <w:p>
      <w:pPr>
        <w:pStyle w:val="Heading2"/>
      </w:pPr>
      <w:bookmarkStart w:id="32" w:name="method"/>
      <w:r>
        <w:t xml:space="preserve">Method</w:t>
      </w:r>
      <w:bookmarkEnd w:id="32"/>
    </w:p>
    <w:p>
      <w:pPr>
        <w:pStyle w:val="FirstParagraph"/>
      </w:pPr>
      <w:r>
        <w:t xml:space="preserve">Pubmed, embase, and google scholar search engines were searched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When a relevant papers was identified papers referenced and papers citing the paper were reviewed. Medline ranker</w:t>
      </w:r>
      <w:r>
        <w:t xml:space="preserve">[20]</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[21]</w:t>
      </w:r>
      <w:r>
        <w:t xml:space="preserve"> </w:t>
      </w:r>
      <w:r>
        <w:t xml:space="preserve">were also used.</w:t>
      </w:r>
    </w:p>
    <w:p>
      <w:pPr>
        <w:pStyle w:val="BodyText"/>
      </w:pPr>
      <w:r>
        <w:t xml:space="preserve">Two investigators independently reviewed and abstracted data for five exposure categories</w:t>
      </w:r>
      <w:r>
        <w:t xml:space="preserve"> </w:t>
      </w:r>
      <w:r>
        <w:t xml:space="preserve">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We calculated PAF as follows: PAF=pc(OR - 1)/OR, where pc is the proportion of cases exposed and OR is the risk estimate.</w:t>
      </w:r>
    </w:p>
    <w:p>
      <w:pPr>
        <w:pStyle w:val="BodyText"/>
      </w:pPr>
      <w:r>
        <w:t xml:space="preserve">We calculated pooled OR and pooled PAF for occupational exposures using fixed effects models and random effects models in Stata. When there was results of the models differed substantively, we used the results of the fixed effects model, which were more conservative.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We found (as of May 2017) 15 case-control studies looking at occupational exposures in IPF the most recent review article covers only eight of them. Associations with metal, wood, silica, and agricultural dust were reported.</w:t>
      </w:r>
      <w:r>
        <w:t xml:space="preserve"> </w:t>
      </w:r>
      <w:r>
        <w:t xml:space="preserve">[22]</w:t>
      </w:r>
      <w:r>
        <w:t xml:space="preserve"> </w:t>
      </w:r>
      <w:r>
        <w:t xml:space="preserve">[23]</w:t>
      </w:r>
      <w:r>
        <w:t xml:space="preserve"> </w:t>
      </w:r>
      <w:r>
        <w:t xml:space="preserve">[24]</w:t>
      </w:r>
      <w:r>
        <w:t xml:space="preserve"> </w:t>
      </w:r>
      <w:r>
        <w:t xml:space="preserve">[25]</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p>
    <w:p>
      <w:pPr>
        <w:pStyle w:val="BodyText"/>
      </w:pPr>
      <w:r>
        <w:t xml:space="preserve">40 risk estimates from 12 publications (1326 IPF cases in total) were used (Table 3.1)</w:t>
      </w:r>
      <w:r>
        <w:t xml:space="preserve">[22]</w:t>
      </w:r>
      <w:r>
        <w:t xml:space="preserve"> </w:t>
      </w:r>
      <w:r>
        <w:t xml:space="preserve">[24]</w:t>
      </w:r>
      <w:r>
        <w:t xml:space="preserve"> </w:t>
      </w:r>
      <w:r>
        <w:t xml:space="preserve">[25]</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[36]</w:t>
      </w:r>
    </w:p>
    <w:p>
      <w:pPr>
        <w:pStyle w:val="BodyText"/>
      </w:pPr>
      <w:r>
        <w:t xml:space="preserve">Three studies were not used, one because data was not collected on the proportion of cases with specific occupational exposures</w:t>
      </w:r>
      <w:r>
        <w:t xml:space="preserve">[23]</w:t>
      </w:r>
      <w:r>
        <w:t xml:space="preserve">, one because of methodological differences in exposure assignment</w:t>
      </w:r>
      <w:r>
        <w:t xml:space="preserve">[30]</w:t>
      </w:r>
      <w:r>
        <w:t xml:space="preserve">, and one because if reported data for pulmonary fibrosis rather than IPF.</w:t>
      </w:r>
      <w:r>
        <w:t xml:space="preserve">[35]</w:t>
      </w:r>
    </w:p>
    <w:p>
      <w:pPr>
        <w:pStyle w:val="BodyText"/>
      </w:pPr>
      <w:r>
        <w:t xml:space="preserve">Each exposure category was assessed with 6-11 risk estimates (Table 3.2).</w:t>
      </w:r>
    </w:p>
    <w:p>
      <w:pPr>
        <w:pStyle w:val="Heading2"/>
      </w:pPr>
      <w:bookmarkStart w:id="34" w:name="discussion"/>
      <w:r>
        <w:t xml:space="preserve">Discussion</w:t>
      </w:r>
      <w:bookmarkEnd w:id="34"/>
    </w:p>
    <w:p>
      <w:pPr>
        <w:pStyle w:val="FirstParagraph"/>
      </w:pPr>
      <w:r>
        <w:t xml:space="preserve">Our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would permit remidiation and prevention.</w:t>
      </w:r>
    </w:p>
    <w:p>
      <w:pPr>
        <w:pStyle w:val="BodyText"/>
      </w:pPr>
      <w:r>
        <w:t xml:space="preserve">Associations between IPF and wood, metal, and agricultural dust were previouly reported in a meta-analysis of six case-control studies by Taskar and Coultas.</w:t>
      </w:r>
      <w:r>
        <w:t xml:space="preserve"> </w:t>
      </w:r>
      <w:r>
        <w:t xml:space="preserve">[18]</w:t>
      </w:r>
      <w:r>
        <w:t xml:space="preserve"> </w:t>
      </w:r>
      <w:r>
        <w:t xml:space="preserve">While our findings are similar we found a smaller effect size for agricultural exposure and a large effect size for non-specific vapours, gases, dust, and fumes (VGDF), see Table 3.2.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[22]</w:t>
      </w:r>
      <w:r>
        <w:t xml:space="preserve"> </w:t>
      </w:r>
      <w:r>
        <w:t xml:space="preserve">[37]</w:t>
      </w:r>
      <w:r>
        <w:t xml:space="preserve"> </w:t>
      </w:r>
      <w:r>
        <w:t xml:space="preserve">[26]</w:t>
      </w:r>
      <w:r>
        <w:t xml:space="preserve"> </w:t>
      </w:r>
      <w:r>
        <w:t xml:space="preserve">[29]</w:t>
      </w:r>
      <w:r>
        <w:t xml:space="preserve"> </w:t>
      </w:r>
      <w:r>
        <w:t xml:space="preserve">[32]</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[38]</w:t>
      </w:r>
      <w:r>
        <w:t xml:space="preserve"> </w:t>
      </w:r>
      <w:r>
        <w:t xml:space="preserve">This approach is vulnerable to non-responder bias. One study</w:t>
      </w:r>
      <w:r>
        <w:t xml:space="preserve">[27]</w:t>
      </w:r>
      <w:r>
        <w:t xml:space="preserve"> </w:t>
      </w:r>
      <w:r>
        <w:t xml:space="preserve">used</w:t>
      </w:r>
      <w:r>
        <w:t xml:space="preserve"> </w:t>
      </w:r>
      <w:r>
        <w:t xml:space="preserve">employee occupational records and death certificates from pension-fund records for a single company and was only able to locate the occupational records for 40% of cases and 38% of controls.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of self-reported exposures also means that studies are potentially vulnerable to confounding as a result of co-exposure. For example, several studies have described strong associations between metal work and IPF and specify sheet metal workers</w:t>
      </w:r>
      <w:r>
        <w:t xml:space="preserve">[23]</w:t>
      </w:r>
      <w:r>
        <w:t xml:space="preserve">[22]</w:t>
      </w:r>
      <w:r>
        <w:t xml:space="preserve">[27]</w:t>
      </w:r>
      <w:r>
        <w:t xml:space="preserve">, a group who are frequently exposed to dust containing asbestos fibres</w:t>
      </w:r>
      <w:r>
        <w:t xml:space="preserve">[39]</w:t>
      </w:r>
      <w:r>
        <w:t xml:space="preserve"> </w:t>
      </w:r>
      <w:r>
        <w:t xml:space="preserve">and who in a recent UK study, had the highest risk of mesothelioma.</w:t>
      </w:r>
      <w:r>
        <w:t xml:space="preserve">[40]</w:t>
      </w:r>
    </w:p>
    <w:p>
      <w:pPr>
        <w:pStyle w:val="BodyText"/>
      </w:pPr>
      <w:r>
        <w:t xml:space="preserve">Case definitions and sources for cases varied between studies. For example Scott (1990)</w:t>
      </w:r>
      <w:r>
        <w:t xml:space="preserve">[22]</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[23]</w:t>
      </w:r>
      <w:r>
        <w:t xml:space="preserve">[30]</w:t>
      </w:r>
      <w:r>
        <w:t xml:space="preserve">[29]</w:t>
      </w:r>
      <w:r>
        <w:t xml:space="preserve">[27]</w:t>
      </w:r>
      <w:r>
        <w:t xml:space="preserve"> </w:t>
      </w:r>
      <w:r>
        <w:t xml:space="preserve">to identify cases and one study</w:t>
      </w:r>
      <w:r>
        <w:t xml:space="preserve">[29]</w:t>
      </w:r>
      <w:r>
        <w:t xml:space="preserve"> </w:t>
      </w:r>
      <w:r>
        <w:t xml:space="preserve">used a national register of patients recieving oxygen therapy. Differences in</w:t>
      </w:r>
      <w:r>
        <w:t xml:space="preserve"> </w:t>
      </w:r>
      <w:r>
        <w:t xml:space="preserve">healthcare coverage and coding practices can result in selection bias.</w:t>
      </w:r>
      <w:r>
        <w:t xml:space="preserve">[41]</w:t>
      </w:r>
    </w:p>
    <w:p>
      <w:pPr>
        <w:pStyle w:val="Heading2"/>
      </w:pPr>
      <w:bookmarkStart w:id="35" w:name="conclusion"/>
      <w:r>
        <w:t xml:space="preserve">Conclusion</w:t>
      </w:r>
      <w:bookmarkEnd w:id="35"/>
    </w:p>
    <w:p>
      <w:pPr>
        <w:pStyle w:val="FirstParagraph"/>
      </w:pPr>
      <w:r>
        <w:t xml:space="preserve">The observed excess risk could represent disease misclassification of pneumoconiosis or hypersensitivity pneumonitis, but this is unlikely to fully explain the observed effects. Our analysis supports an etiologic role for occupational exposures in IPF, potentially explaining up to 23% of the burden of disease and highlighting a role for workplace exposure reduction in disease prevention.</w:t>
      </w:r>
    </w:p>
    <w:p>
      <w:pPr>
        <w:pStyle w:val="Heading1"/>
      </w:pPr>
      <w:bookmarkStart w:id="36" w:name="Xb5a6f031f22502178631092648decfff92a9ecb"/>
      <w:r>
        <w:t xml:space="preserve">Mortality analysis: do mortality trends support an occupational cause?</w:t>
      </w:r>
      <w:bookmarkEnd w:id="36"/>
    </w:p>
    <w:p>
      <w:pPr>
        <w:pStyle w:val="Heading2"/>
      </w:pPr>
      <w:bookmarkStart w:id="37" w:name="introduction-1"/>
      <w:r>
        <w:t xml:space="preserve">Introduction</w:t>
      </w:r>
      <w:bookmarkEnd w:id="37"/>
    </w:p>
    <w:p>
      <w:pPr>
        <w:pStyle w:val="FirstParagraph"/>
      </w:pPr>
      <w:r>
        <w:t xml:space="preserve">The incidence of Idiopathic pulmonary fibrosis (IPF) has been increasing at a rate of 5% per annum since 2000. 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It is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Our aim was to examine trends in IPF, Mesothelioma, and Asbestosis mortality data for evidence of cohort effect and association.</w:t>
      </w:r>
    </w:p>
    <w:p>
      <w:pPr>
        <w:pStyle w:val="Heading2"/>
      </w:pPr>
      <w:bookmarkStart w:id="38" w:name="method-1"/>
      <w:r>
        <w:t xml:space="preserve">Method</w:t>
      </w:r>
      <w:bookmarkEnd w:id="38"/>
    </w:p>
    <w:p>
      <w:pPr>
        <w:pStyle w:val="FirstParagraph"/>
      </w:pPr>
      <w:r>
        <w:t xml:space="preserve">Regional age and sex stratified mortality data for IPF, Mesothelioma, and Asbestosis were obtained for England and Wales from the Office of National Statistics for the period 1974–2012. Data were age-standardised and visualised using the Python Pandas data analysis library and matplotlib.</w:t>
      </w:r>
    </w:p>
    <w:p>
      <w:pPr>
        <w:pStyle w:val="Heading2"/>
      </w:pPr>
      <w:bookmarkStart w:id="39" w:name="results-1"/>
      <w:r>
        <w:t xml:space="preserve">Results</w:t>
      </w:r>
      <w:bookmarkEnd w:id="39"/>
    </w:p>
    <w:p>
      <w:pPr>
        <w:pStyle w:val="FirstParagraph"/>
      </w:pPr>
      <w:r>
        <w:t xml:space="preserve">IPF mortality continues to rise. Female:Male is approximately 1:1.6. There</w:t>
      </w:r>
      <w:r>
        <w:t xml:space="preserve"> </w:t>
      </w:r>
      <w:r>
        <w:t xml:space="preserve">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s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cohorts</w:t>
      </w:r>
      <w:r>
        <w:t xml:space="preserve"> </w:t>
      </w:r>
    </w:p>
    <w:p>
      <w:pPr>
        <w:pStyle w:val="Heading2"/>
      </w:pPr>
      <w:bookmarkStart w:id="42" w:name="discussion-1"/>
      <w:r>
        <w:t xml:space="preserve">Discussion</w:t>
      </w:r>
      <w:bookmarkEnd w:id="42"/>
    </w:p>
    <w:p>
      <w:pPr>
        <w:pStyle w:val="FirstParagraph"/>
      </w:pPr>
      <w:r>
        <w:t xml:space="preserve">icd coding chat</w:t>
      </w:r>
    </w:p>
    <w:p>
      <w:pPr>
        <w:pStyle w:val="BodyText"/>
      </w:pPr>
      <w:r>
        <w:t xml:space="preserve">This is the discussion. Duis ultrices tempor sem vitae convallis. Pellentesque lobortis risus ac nisi varius bibendum. Phasellus volutpat aliquam varius. Mauris vitae neque quis libero volutpat finibus. Nunc diam metus, imperdiet vitae leo sed, varius posuere orci.</w:t>
      </w:r>
    </w:p>
    <w:p>
      <w:pPr>
        <w:pStyle w:val="Heading2"/>
      </w:pPr>
      <w:bookmarkStart w:id="43" w:name="conclusion-1"/>
      <w:r>
        <w:t xml:space="preserve">Conclusion</w:t>
      </w:r>
      <w:bookmarkEnd w:id="43"/>
    </w:p>
    <w:p>
      <w:pPr>
        <w:pStyle w:val="FirstParagraph"/>
      </w:pPr>
      <w:r>
        <w:t xml:space="preserve">Conclusions: The birth cohort effect we observed is consistent with a proportion of IPF cases being due to an occupational or environmental exposure with latency and further research is needed.</w:t>
      </w:r>
    </w:p>
    <w:p>
      <w:pPr>
        <w:pStyle w:val="Heading1"/>
      </w:pPr>
      <w:bookmarkStart w:id="44" w:name="X5e265e46d71cac0202ab13d099f9baac84a6cb1"/>
      <w:r>
        <w:t xml:space="preserve">Historic asbestos exposure assessment: can it be done?</w:t>
      </w:r>
      <w:bookmarkEnd w:id="44"/>
    </w:p>
    <w:p>
      <w:pPr>
        <w:pStyle w:val="Heading2"/>
      </w:pPr>
      <w:bookmarkStart w:id="45" w:name="introduction-2"/>
      <w:r>
        <w:t xml:space="preserve">Introduction</w:t>
      </w:r>
      <w:bookmarkEnd w:id="45"/>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biopersistance of asbestos fibres is variable, counts are sensitive to techniques used, and establishing appropriate references ranges is challenging.</w:t>
      </w:r>
      <w:r>
        <w:t xml:space="preserve">[42]</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[43]</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[44]</w:t>
      </w:r>
      <w:r>
        <w:t xml:space="preserve">.</w:t>
      </w:r>
    </w:p>
    <w:p>
      <w:pPr>
        <w:pStyle w:val="BodyText"/>
      </w:pPr>
      <w:r>
        <w:t xml:space="preserve">Here we critically review different means of historic asbestos exposure assessment and consider their clinical and research utility.</w:t>
      </w:r>
    </w:p>
    <w:p>
      <w:pPr>
        <w:pStyle w:val="Heading2"/>
      </w:pPr>
      <w:bookmarkStart w:id="46" w:name="method-2"/>
      <w:r>
        <w:t xml:space="preserve">Method</w:t>
      </w:r>
      <w:bookmarkEnd w:id="46"/>
    </w:p>
    <w:p>
      <w:pPr>
        <w:pStyle w:val="FirstParagraph"/>
      </w:pPr>
      <w:r>
        <w:t xml:space="preserve">We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47" w:name="results-2"/>
      <w:r>
        <w:t xml:space="preserve">Results</w:t>
      </w:r>
      <w:bookmarkEnd w:id="47"/>
    </w:p>
    <w:p>
      <w:pPr>
        <w:pStyle w:val="Heading3"/>
      </w:pPr>
      <w:bookmarkStart w:id="48" w:name="lung-biopsy-and-bronchoalveolar-lavage"/>
      <w:r>
        <w:t xml:space="preserve">Lung biopsy and bronchoalveolar lavage</w:t>
      </w:r>
      <w:bookmarkEnd w:id="48"/>
    </w:p>
    <w:p>
      <w:pPr>
        <w:pStyle w:val="FirstParagraph"/>
      </w:pPr>
      <w:r>
        <w:t xml:space="preserve">The first report of fibrosis of the lung due to asbestos dust</w:t>
      </w:r>
      <w:r>
        <w:t xml:space="preserve">[45]</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[42]</w:t>
      </w:r>
    </w:p>
    <w:p>
      <w:pPr>
        <w:pStyle w:val="BodyText"/>
      </w:pPr>
      <w:r>
        <w:t xml:space="preserve">Despite this recent 2014 Helsinki guidelines</w:t>
      </w:r>
      <w:r>
        <w:t xml:space="preserve">[46]</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might be used to rule out the diagnosis. The shortcomings of such an approach highlighted above are also described by responses to the Helsinki guideline.</w:t>
      </w:r>
      <w:r>
        <w:t xml:space="preserve">[47]</w:t>
      </w:r>
      <w:r>
        <w:t xml:space="preserve">[48]</w:t>
      </w:r>
      <w:r>
        <w:t xml:space="preserve">[49]</w:t>
      </w:r>
    </w:p>
    <w:p>
      <w:pPr>
        <w:pStyle w:val="BodyText"/>
      </w:pPr>
      <w:r>
        <w:t xml:space="preserve">Lung biopsy carries significant health risks, particularly for patients who already have compromised lung function and it can not be justified solely on medico-legal grounds.</w:t>
      </w:r>
      <w:r>
        <w:t xml:space="preserve">[48]</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[40]</w:t>
      </w:r>
      <w:r>
        <w:t xml:space="preserve">[50]</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[51]</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broncheoalvelolar lavage sampling for asbestos fibre quantification.</w:t>
      </w:r>
      <w:r>
        <w:t xml:space="preserve">[52]</w:t>
      </w:r>
    </w:p>
    <w:p>
      <w:pPr>
        <w:pStyle w:val="Heading3"/>
      </w:pPr>
      <w:bookmarkStart w:id="49" w:name="historic-workplace-measurements"/>
      <w:r>
        <w:t xml:space="preserve">Historic workplace measurements</w:t>
      </w:r>
      <w:bookmarkEnd w:id="49"/>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[53]</w:t>
      </w:r>
      <w:r>
        <w:t xml:space="preserve">, and EV@LUTIL</w:t>
      </w:r>
      <w:r>
        <w:t xml:space="preserve">[54]</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[55]</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[56]</w:t>
      </w:r>
    </w:p>
    <w:p>
      <w:pPr>
        <w:pStyle w:val="BodyText"/>
      </w:pPr>
      <w:r>
        <w:t xml:space="preserve">Where era and task specific workplace exposure data matching a particular patient occupational history is available and readily deniable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[57]</w:t>
      </w:r>
      <w:r>
        <w:t xml:space="preserve">[58]</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[59]</w:t>
      </w:r>
      <w:r>
        <w:t xml:space="preserve"> </w:t>
      </w:r>
      <w:r>
        <w:t xml:space="preserve">or skilled craftsmen.</w:t>
      </w:r>
      <w:r>
        <w:t xml:space="preserve">[60]</w:t>
      </w:r>
    </w:p>
    <w:p>
      <w:pPr>
        <w:pStyle w:val="Heading3"/>
      </w:pPr>
      <w:bookmarkStart w:id="50" w:name="exposure-reconstruction"/>
      <w:r>
        <w:t xml:space="preserve">Exposure reconstruction</w:t>
      </w:r>
      <w:bookmarkEnd w:id="50"/>
    </w:p>
    <w:p>
      <w:pPr>
        <w:pStyle w:val="FirstParagraph"/>
      </w:pPr>
      <w:r>
        <w:t xml:space="preserve">Sahmel et al</w:t>
      </w:r>
      <w:r>
        <w:t xml:space="preserve">[58]</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[58]</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1"/>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2" w:name="job-exposure-matrices"/>
      <w:r>
        <w:t xml:space="preserve">Job-exposure matrices</w:t>
      </w:r>
      <w:bookmarkEnd w:id="52"/>
    </w:p>
    <w:p>
      <w:pPr>
        <w:pStyle w:val="FirstParagraph"/>
      </w:pPr>
      <w:r>
        <w:t xml:space="preserve">Several job-exposure matrices that deal with asbestos have been reported. Pannett et al’s 1985 job-exposure matrix for use in population studies in England and Wales</w:t>
      </w:r>
      <w:r>
        <w:t xml:space="preserve">[61]</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[40]</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death certificates record occupation in addition to cause of death, the proportional mortality ratio for pleural mesothelioma (number of deaths due to pleural mesothelioma/total number of deaths) can serve as proxy for average asbestos exposure in a particular occupation. This approach has been validated in the same cohort by amphibole fibre counts.</w:t>
      </w:r>
      <w:r>
        <w:t xml:space="preserve">[50]</w:t>
      </w:r>
    </w:p>
    <w:p>
      <w:pPr>
        <w:pStyle w:val="BodyText"/>
      </w:pPr>
      <w:r>
        <w:t xml:space="preserve">DOM-JEM</w:t>
      </w:r>
      <w:r>
        <w:t xml:space="preserve">[62]</w:t>
      </w:r>
      <w:r>
        <w:t xml:space="preserve"> </w:t>
      </w:r>
      <w:r>
        <w:t xml:space="preserve">was developed for use in population based multi-centre lung cancer case-control study. It assigns job titles one of three categories of asbestos exposure (no exposure, low exposure, high exposure) based on the consensus of three independent expert raters. DOM-JEM showed poor agreement with expert assessment (</w:t>
      </w:r>
      <w:r>
        <w:t xml:space="preserve">) but less heterogeneity. In a study applying DOM-JEM to the Netherlands Cohort Study (NCS) DOM-JEM showed poor agreement with expert assessment (K = 0.29).</w:t>
      </w:r>
      <w:r>
        <w:t xml:space="preserve">[63]</w:t>
      </w:r>
    </w:p>
    <w:p>
      <w:pPr>
        <w:pStyle w:val="BodyText"/>
      </w:pPr>
      <w:r>
        <w:t xml:space="preserve">The Finish Information System on Occupational Exposure (FINJEM)</w:t>
      </w:r>
      <w:r>
        <w:t xml:space="preserve">[64]</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[63]</w:t>
      </w:r>
      <w:r>
        <w:t xml:space="preserve">[65]</w:t>
      </w:r>
    </w:p>
    <w:p>
      <w:pPr>
        <w:pStyle w:val="BodyText"/>
      </w:pPr>
      <w:r>
        <w:t xml:space="preserve">AsbJEM</w:t>
      </w:r>
      <w:r>
        <w:t xml:space="preserve">[66]</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p>
    <w:p>
      <w:pPr>
        <w:pStyle w:val="BodyText"/>
      </w:pPr>
      <w:r>
        <w:t xml:space="preserve">SYN-JEM</w:t>
      </w:r>
      <w:r>
        <w:t xml:space="preserve">[67]</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[68]</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 by disease status of a subject.</w:t>
      </w:r>
      <w:r>
        <w:t xml:space="preserve">[69]</w:t>
      </w:r>
      <w:r>
        <w:t xml:space="preserve">[70]</w:t>
      </w:r>
      <w:r>
        <w:t xml:space="preserve">[71]</w:t>
      </w:r>
    </w:p>
    <w:p>
      <w:pPr>
        <w:pStyle w:val="BodyText"/>
      </w:pPr>
      <w:r>
        <w:t xml:space="preserve">Orlowski et al</w:t>
      </w:r>
      <w:r>
        <w:t xml:space="preserve">[72]</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about the desirability of reusing an existing JEM vs developing a study specific JEM must be considered.</w:t>
      </w:r>
    </w:p>
    <w:p>
      <w:pPr>
        <w:pStyle w:val="Heading4"/>
      </w:pPr>
      <w:bookmarkStart w:id="53" w:name="exposure-modelling-approaches"/>
      <w:r>
        <w:t xml:space="preserve">Exposure modelling approaches</w:t>
      </w:r>
      <w:bookmarkEnd w:id="53"/>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[57]</w:t>
      </w:r>
    </w:p>
    <w:p>
      <w:pPr>
        <w:pStyle w:val="BodyText"/>
      </w:pPr>
      <w:r>
        <w:t xml:space="preserve">A common conceptual framework for this is the source-receptor model source receptor model</w:t>
      </w:r>
      <w:r>
        <w:t xml:space="preserve">[73]</w:t>
      </w:r>
      <w:r>
        <w:t xml:space="preserve">[57]</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[73]</w:t>
      </w:r>
      <w:r>
        <w:t xml:space="preserve">.</w:t>
      </w:r>
    </w:p>
    <w:p>
      <w:pPr>
        <w:pStyle w:val="BodyText"/>
      </w:pPr>
      <w:r>
        <w:t xml:space="preserve">In the hands of some hygienists assessment of historic asbestos exposure based on interview can correlate well with amphibole fibre counts.</w:t>
      </w:r>
      <w:r>
        <w:t xml:space="preserve">[74]</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[75]</w:t>
      </w:r>
      <w:r>
        <w:t xml:space="preserve"> </w:t>
      </w:r>
      <w:r>
        <w:t xml:space="preserve">and, for example, room size and ventilation have been empirically shown to affect the concentration of airborne chemical exposures.</w:t>
      </w:r>
      <w:r>
        <w:t xml:space="preserve">[76]</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[43]</w:t>
      </w:r>
    </w:p>
    <w:p>
      <w:pPr>
        <w:pStyle w:val="BodyText"/>
      </w:pPr>
      <w:r>
        <w:t xml:space="preserve">A quantified validated historic asbestos exposure model</w:t>
      </w:r>
      <w:r>
        <w:t xml:space="preserve">[68]</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that they must recall their exposure circumstances which due to the latency of asbestos related disease may have occurred over 30 years ago. The approach is also limited by the relatively small number of industry-specific data points used for validation,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4" w:name="self-reported-exposure"/>
      <w:r>
        <w:t xml:space="preserve">Self-reported exposure</w:t>
      </w:r>
      <w:bookmarkEnd w:id="54"/>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[77]</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[70]</w:t>
      </w:r>
      <w:r>
        <w:t xml:space="preserve">[75]</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[70]</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[70]</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5" w:name="discussion-2"/>
      <w:r>
        <w:t xml:space="preserve">Discussion</w:t>
      </w:r>
      <w:bookmarkEnd w:id="55"/>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[78]</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[71]</w:t>
      </w:r>
      <w:r>
        <w:t xml:space="preserve">[50]</w:t>
      </w:r>
      <w:r>
        <w:t xml:space="preserve"> </w:t>
      </w:r>
      <w:r>
        <w:t xml:space="preserve">Further and more generally, it is encouraging that estimates from explicit asbestos exposure modelling systems such as Cherrie et al’s</w:t>
      </w:r>
      <w:r>
        <w:t xml:space="preserve">[68]</w:t>
      </w:r>
      <w:r>
        <w:t xml:space="preserve">, show good correlation with measurement data.</w:t>
      </w:r>
    </w:p>
    <w:p>
      <w:pPr>
        <w:pStyle w:val="Heading2"/>
      </w:pPr>
      <w:bookmarkStart w:id="56" w:name="conclusion-2"/>
      <w:r>
        <w:t xml:space="preserve">Conclusion</w:t>
      </w:r>
      <w:bookmarkEnd w:id="56"/>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[57]</w:t>
      </w:r>
    </w:p>
    <w:p>
      <w:pPr>
        <w:pStyle w:val="Heading1"/>
      </w:pPr>
      <w:bookmarkStart w:id="57" w:name="muc5b-environmental-insult-ipf"/>
      <w:r>
        <w:t xml:space="preserve">MUC5b + environmental insult = IPF?</w:t>
      </w:r>
      <w:bookmarkEnd w:id="57"/>
    </w:p>
    <w:p>
      <w:pPr>
        <w:pStyle w:val="Heading2"/>
      </w:pPr>
      <w:bookmarkStart w:id="58" w:name="introduction-3"/>
      <w:r>
        <w:t xml:space="preserve">Introduction</w:t>
      </w:r>
      <w:bookmarkEnd w:id="58"/>
    </w:p>
    <w:p>
      <w:pPr>
        <w:pStyle w:val="Heading3"/>
      </w:pPr>
      <w:bookmarkStart w:id="59" w:name="Xa02557a6085d21ffefceae344fccdf48c8b1f12"/>
      <w:r>
        <w:t xml:space="preserve">Mucus, Mucins, MUC5b: structure, function and evolutionary importance</w:t>
      </w:r>
      <w:bookmarkEnd w:id="59"/>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 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to this task alone.</w:t>
      </w:r>
      <w:r>
        <w:t xml:space="preserve">[79]</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[80]</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[81]</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[79]</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[82]</w:t>
      </w:r>
      <w:r>
        <w:t xml:space="preserve">[83]</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[82]</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[79]</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[83]</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[84]</w:t>
      </w:r>
      <w:r>
        <w:t xml:space="preserve"> </w:t>
      </w:r>
      <w:r>
        <w:t xml:space="preserve">Mucin hypersecretion may increase the concentration of solids up to 15% resulting in viscous elastic mucus that is not easily cleared.</w:t>
      </w:r>
      <w:r>
        <w:t xml:space="preserve">[85]</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[86]</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CD4 cells, Natural killer T cell, Mast cell, Basophil cells, Eosinophil cells and Nuocyte cells.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[83]</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is expectorated or swallowed.</w:t>
      </w:r>
      <w:r>
        <w:t xml:space="preserve"> </w:t>
      </w:r>
      <w:r>
        <w:t xml:space="preserve">[85]</w:t>
      </w:r>
    </w:p>
    <w:p>
      <w:pPr>
        <w:pStyle w:val="Heading3"/>
      </w:pPr>
      <w:bookmarkStart w:id="60" w:name="muc5b-rs3570950-and-respiratory-disease"/>
      <w:r>
        <w:t xml:space="preserve">MUC5b rs3570950 and respiratory disease</w:t>
      </w:r>
      <w:bookmarkEnd w:id="60"/>
    </w:p>
    <w:p>
      <w:pPr>
        <w:pStyle w:val="FirstParagraph"/>
      </w:pPr>
      <w:r>
        <w:t xml:space="preserve">Expression and localisation of MUC5AC and MUC5B is different in patients with lung disease compared with health controls. MUC5AC expression is increased in asthma for example, while MUC5B expression is increased in COPD</w:t>
      </w:r>
      <w:r>
        <w:t xml:space="preserve">[87]</w:t>
      </w:r>
      <w:r>
        <w:t xml:space="preserve"> </w:t>
      </w:r>
      <w:r>
        <w:t xml:space="preserve">and IPF. In COPD MUC5b expression occurs in more proximal airways, whereas in IPF it localised to the bronchiole.</w:t>
      </w:r>
      <w:r>
        <w:t xml:space="preserve">[88]</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non-hispanic 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[89]</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erythmatosis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[90]</w:t>
      </w:r>
      <w:r>
        <w:t xml:space="preserve"> </w:t>
      </w:r>
      <w:r>
        <w:t xml:space="preserve">However, penetrance is low with up to 20% of non-Hispanic whites having a least one copy of the variant yet IPF occurring only rarely. The rs35705950 variant is a G-to-T transversion that occurs in an area of the MUC5B 5’ flanking region, a region which has characteristics of being an enhancer subject to epigenetic control via DNA methylation and histone modification.</w:t>
      </w:r>
      <w:r>
        <w:t xml:space="preserve">[88]</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[91]</w:t>
      </w:r>
      <w:r>
        <w:t xml:space="preserve"> </w:t>
      </w:r>
      <w:r>
        <w:t xml:space="preserve">In other words MUC5b expression likely a function of genetic and non-genetic factors.</w:t>
      </w:r>
      <w:r>
        <w:t xml:space="preserve">[90]</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[92]</w:t>
      </w:r>
      <w:r>
        <w:t xml:space="preserve"> </w:t>
      </w:r>
      <w:r>
        <w:t xml:space="preserve">It has also been found to not be associated with cutaenous systemic sclerois interstital lung disease (SSc-ILD), sarcoidosis, and myositis-ILD.</w:t>
      </w:r>
      <w:r>
        <w:t xml:space="preserve"> </w:t>
      </w:r>
      <w:r>
        <w:t xml:space="preserve">[93]</w:t>
      </w:r>
    </w:p>
    <w:p>
      <w:pPr>
        <w:pStyle w:val="Heading4"/>
      </w:pPr>
      <w:bookmarkStart w:id="61" w:name="X3ae568b580fce3721dd6887c84302dc33b1c9b7"/>
      <w:r>
        <w:t xml:space="preserve">Potential role in IPF pathogenesis (and normal function inc make the point penetrance low need something else too e.g occ exposure and bring in recent review and coal dust)</w:t>
      </w:r>
      <w:bookmarkEnd w:id="61"/>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[90]</w:t>
      </w:r>
      <w:r>
        <w:t xml:space="preserve"> </w:t>
      </w:r>
      <w:r>
        <w:t xml:space="preserve">In IPF patients distal airway MUC5b is expressed preferentially, compared with MUC5Ac. MUC5b also expressed in honeycomb cysts, a defining characteristic of the usual interstitial pneumonia CT pattern typically seen in IPF.</w:t>
      </w:r>
      <w:r>
        <w:t xml:space="preserve">[94]</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2"/>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leads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[90]</w:t>
      </w:r>
    </w:p>
    <w:p>
      <w:pPr>
        <w:pStyle w:val="FirstParagraph"/>
      </w:pPr>
      <w:r>
        <w:t xml:space="preserve">Muc5b has been studied in mice. A Mub5b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[95]</w:t>
      </w:r>
      <w:r>
        <w:t xml:space="preserve"> </w:t>
      </w:r>
      <w:r>
        <w:t xml:space="preserve">A transgenic muc5b mouse model of muc5b overexpression found that overexpression causes mucociliary dysfuction and enhances lung fibrosis on response to bleomycin.</w:t>
      </w:r>
      <w:r>
        <w:t xml:space="preserve">[96]</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[97]</w:t>
      </w:r>
      <w:r>
        <w:t xml:space="preserve">[98]</w:t>
      </w:r>
    </w:p>
    <w:p>
      <w:pPr>
        <w:pStyle w:val="Heading3"/>
      </w:pPr>
      <w:bookmarkStart w:id="63" w:name="infectionimmunity"/>
      <w:r>
        <w:t xml:space="preserve">infection/immunity</w:t>
      </w:r>
      <w:bookmarkEnd w:id="63"/>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[90]</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[86]</w:t>
      </w:r>
      <w:r>
        <w:t xml:space="preserve">[83]</w:t>
      </w:r>
      <w:r>
        <w:t xml:space="preserve"> </w:t>
      </w:r>
      <w:r>
        <w:t xml:space="preserve">A relation between the rs35705950 variant, disease risk, and infection is also supported by the observation that in a prospective study of 65 IPF patients have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[99]</w:t>
      </w:r>
      <w:r>
        <w:t xml:space="preserve"> </w:t>
      </w:r>
      <w:r>
        <w:t xml:space="preserve">These finding are consistent with observation that the rs35705950 variant is associated with improved survival in IPF</w:t>
      </w:r>
      <w:r>
        <w:t xml:space="preserve">[100]</w:t>
      </w:r>
      <w:r>
        <w:t xml:space="preserve"> </w:t>
      </w:r>
      <w:r>
        <w:t xml:space="preserve">and fewer acute respiratory disease events in the COPDGene cohort with interstitial features.</w:t>
      </w:r>
      <w:r>
        <w:t xml:space="preserve">[101]</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[102]</w:t>
      </w:r>
      <w:r>
        <w:t xml:space="preserve"> </w:t>
      </w:r>
      <w:r>
        <w:t xml:space="preserve">For example, it is known that the rs35705950 variant is associated with interstitial lung abnormalities</w:t>
      </w:r>
      <w:r>
        <w:t xml:space="preserve">[103]</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[104]</w:t>
      </w:r>
      <w:r>
        <w:t xml:space="preserve"> </w:t>
      </w:r>
      <w:r>
        <w:t xml:space="preserve">to prolong survival in IPF, from a small (N = 181) double blinded randomized controlled study which found reduced symptom burden and improved survival associated with cotrimoxazole</w:t>
      </w:r>
      <w:r>
        <w:t xml:space="preserve">[105]</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[106]</w:t>
      </w:r>
      <w:r>
        <w:t xml:space="preserve"> </w:t>
      </w:r>
      <w:r>
        <w:t xml:space="preserve">and, intriguingly, in a mouse bleomycin lung fibrosis model the absence of a microbiome protected against mortality.</w:t>
      </w:r>
      <w:r>
        <w:t xml:space="preserve">[97]</w:t>
      </w:r>
    </w:p>
    <w:p>
      <w:pPr>
        <w:pStyle w:val="Heading3"/>
      </w:pPr>
      <w:bookmarkStart w:id="64" w:name="inorganic-occupational-stimuli"/>
      <w:r>
        <w:t xml:space="preserve">inorganic occupational stimuli</w:t>
      </w:r>
      <w:bookmarkEnd w:id="64"/>
    </w:p>
    <w:p>
      <w:pPr>
        <w:pStyle w:val="FirstParagraph"/>
      </w:pPr>
      <w:r>
        <w:t xml:space="preserve">While the frequency of the disease associated allele at rs35705950 exceeds 10% in European populations(https://www.ncbi.nlm.nih.gov/snp/rs35705950), its penetrance is low. The median prevalence of IPF for men and women in Europe is approximately 3.75 per 100000 for the period 2001-2013</w:t>
      </w:r>
      <w:r>
        <w:t xml:space="preserve">[107]</w:t>
      </w:r>
      <w:r>
        <w:t xml:space="preserve">, other genetic and/or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[108]</w:t>
      </w:r>
      <w:r>
        <w:t xml:space="preserve"> </w:t>
      </w:r>
      <w:r>
        <w:t xml:space="preserve">Secretion of the inflammatory cytokine IL-1beta (which is also a stimulus for MUC5b expression) is elevated in alveolar macrophages of patients with ILD, including IPF, sarcoidosis, silicosis, RA-ILD, and asbestosis.</w:t>
      </w:r>
      <w:r>
        <w:t xml:space="preserve">[109]</w:t>
      </w:r>
      <w:r>
        <w:t xml:space="preserve">[110]</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[111]</w:t>
      </w:r>
      <w:r>
        <w:t xml:space="preserve"> </w:t>
      </w:r>
      <w:r>
        <w:t xml:space="preserve">Interestingly the NLRP3 inflammasome appears to be implicated, albeit with differing activation patterns</w:t>
      </w:r>
      <w:r>
        <w:t xml:space="preserve">[112]</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[113]</w:t>
      </w:r>
      <w:r>
        <w:t xml:space="preserve"> </w:t>
      </w:r>
      <w:r>
        <w:t xml:space="preserve">Occupational risk factors such as metal, wood, and stone dust exposure are well recognised in IPF, accounting for up to 8% of cases the basis of a meta-analysis of case-control data</w:t>
      </w:r>
      <w:r>
        <w:t xml:space="preserve">[114]</w:t>
      </w:r>
      <w:r>
        <w:t xml:space="preserve"> </w:t>
      </w:r>
      <w:r>
        <w:t xml:space="preserve">and its likely that innate immune system activation via the NLRP3 inflammasome and other means by occupational exposures mediates this risk.</w:t>
      </w:r>
    </w:p>
    <w:p>
      <w:pPr>
        <w:pStyle w:val="Heading2"/>
      </w:pPr>
      <w:bookmarkStart w:id="65" w:name="conclusion-3"/>
      <w:r>
        <w:t xml:space="preserve">Conclusion</w:t>
      </w:r>
      <w:bookmarkEnd w:id="65"/>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66" w:name="X429150dddd36ff95274a08eff63af676c0b9ba3"/>
      <w:r>
        <w:t xml:space="preserve">Idiopathic pulmonary fibrosis job exposures study (IPFJES): Is occupational asbestos exposure an under-regcognised cause of IPF?</w:t>
      </w:r>
      <w:bookmarkEnd w:id="66"/>
    </w:p>
    <w:p>
      <w:pPr>
        <w:pStyle w:val="Heading2"/>
      </w:pPr>
      <w:bookmarkStart w:id="67" w:name="introduction-4"/>
      <w:r>
        <w:t xml:space="preserve">Introduction</w:t>
      </w:r>
      <w:bookmarkEnd w:id="67"/>
    </w:p>
    <w:p>
      <w:pPr>
        <w:pStyle w:val="FirstParagraph"/>
      </w:pPr>
      <w:r>
        <w:t xml:space="preserve">My study will be a multi-centre, hospital-outpatient, incident case-control study. Participants will be recruited from a UK network of six confirmed centres. Cases will be men who present, between 07.2017 and 07.2019, with a new diagnosis of IPF consistent with standard criteria</w:t>
      </w:r>
      <w:r>
        <w:t xml:space="preserve">[115]</w:t>
      </w:r>
      <w:r>
        <w:t xml:space="preserve">; they will be identified monthly by the MDT coordinator of participating centres.</w:t>
      </w:r>
      <w:r>
        <w:t xml:space="preserve">[116]</w:t>
      </w:r>
    </w:p>
    <w:p>
      <w:pPr>
        <w:pStyle w:val="BodyText"/>
      </w:pPr>
      <w:r>
        <w:t xml:space="preserve">For each case, four controls, frequency-matched on age, will be randomly selected from incident outpatient attendances (not confined to respiratory) who do not have a diagnosis of IPF and are from the hospital as the case. Monthly lists of outpatient attendances will be obtained using the patient administration systems of participating centres. 120 cases and 480 controls will be recruited over two years with four participants enrolled and interviewed per day.</w:t>
      </w:r>
    </w:p>
    <w:p>
      <w:pPr>
        <w:pStyle w:val="BodyText"/>
      </w:pPr>
      <w:r>
        <w:t xml:space="preserve">Eligible participants will be contacted by telephone and invited to participate. An interviewer will collect data on demographics, lifetime occupational history, hobbies, family medical history, and smoking using a structured web-based questionnaire designed by us to collect lifetime occupational histories. This approach will facilitate coding, allow input validation, and permit questions to be tailored to pre-specified conditions. The questions will be developed in collaboration with an international expert in asbestos exposure measurement, Dr John Cherrie of the IOM. Participants will be invited to provide a venous blood sample for genetic analysis.</w:t>
      </w:r>
    </w:p>
    <w:p>
      <w:pPr>
        <w:pStyle w:val="BodyText"/>
      </w:pPr>
      <w:r>
        <w:t xml:space="preserve">Cases and controls will be genotyped using a panel of 15 pre-defined candidate susceptibility SNPs including rs35705950. Genotyping will be undertaken using Q-PCR and Taqman assays on DNA isolated from whole blood samples.</w:t>
      </w:r>
    </w:p>
    <w:p>
      <w:pPr>
        <w:pStyle w:val="BodyText"/>
      </w:pPr>
      <w:r>
        <w:t xml:space="preserve">For the primary analysis unconditional logistic regression will be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Prior data</w:t>
      </w:r>
      <w:r>
        <w:t xml:space="preserve">[40]</w:t>
      </w:r>
      <w:r>
        <w:t xml:space="preserve"> </w:t>
      </w:r>
      <w:r>
        <w:t xml:space="preserve">indicate that the probability of exposure among controls is 0.29. If the true OR for disease in exposed subjects relative to unexposed subjects is 2.0, I will need to recruit 94 case patients and 376 control patients to be able to reject the null hypothesis that this odds ratio equals 1 with</w:t>
      </w:r>
      <w:r>
        <w:t xml:space="preserve"> </w:t>
      </w:r>
      <w:r>
        <w:t xml:space="preserve"> </w:t>
      </w:r>
      <w:r>
        <w:t xml:space="preserve">and</w:t>
      </w:r>
      <w:r>
        <w:t xml:space="preserve"> </w:t>
      </w:r>
      <w:r>
        <w:t xml:space="preserve">[117]</w:t>
      </w:r>
      <w:r>
        <w:t xml:space="preserve">; my planned sample size sample size includes a margin for model stability and incomplete data.</w:t>
      </w:r>
      <w:r>
        <w:t xml:space="preserve">[118]</w:t>
      </w:r>
    </w:p>
    <w:p>
      <w:pPr>
        <w:pStyle w:val="BodyText"/>
      </w:pPr>
      <w:r>
        <w:t xml:space="preserve">Secondary (exploratory) analysis will investigate gene-environment interaction. The global minor allele frequency of MUC5B rs35705950 is 0.05.</w:t>
      </w:r>
      <w:r>
        <w:t xml:space="preserve">[119]</w:t>
      </w:r>
      <w:r>
        <w:t xml:space="preserve"> </w:t>
      </w:r>
      <w:r>
        <w:t xml:space="preserve">With an estimated prevalence of IPF of 20/100000</w:t>
      </w:r>
      <w:r>
        <w:t xml:space="preserve">[1]</w:t>
      </w:r>
      <w:r>
        <w:t xml:space="preserve"> </w:t>
      </w:r>
      <w:r>
        <w:t xml:space="preserve">and with ORs 2.0 for asbestos exposure and 6.8 for rs35705950</w:t>
      </w:r>
      <w:r>
        <w:t xml:space="preserve">[120]</w:t>
      </w:r>
      <w:r>
        <w:t xml:space="preserve">, 113 cases would be required to detect a minimum interaction OR of 4.0.</w:t>
      </w:r>
      <w:r>
        <w:t xml:space="preserve">[121]</w:t>
      </w:r>
      <w:r>
        <w:t xml:space="preserve"> </w:t>
      </w:r>
      <w:r>
        <w:t xml:space="preserve">While I acknowledge that this exploratory analysis will have the power to detect only a large effect size it seems a valuable opportunity to examine an unexplored area in IPF research.</w:t>
      </w:r>
    </w:p>
    <w:p>
      <w:pPr>
        <w:pStyle w:val="Heading2"/>
      </w:pPr>
      <w:bookmarkStart w:id="68" w:name="method-3"/>
      <w:r>
        <w:t xml:space="preserve">Method</w:t>
      </w:r>
      <w:bookmarkEnd w:id="68"/>
    </w:p>
    <w:p>
      <w:pPr>
        <w:pStyle w:val="FirstParagraph"/>
      </w:pPr>
      <w:r>
        <w:t xml:space="preserve">Genotyping</w:t>
      </w:r>
    </w:p>
    <w:p>
      <w:pPr>
        <w:pStyle w:val="BodyText"/>
      </w:pPr>
      <w:r>
        <w:t xml:space="preserve">Genotypes of the MUC5B SNP rs35705950 were determined using TaqMan assays (Life Technologies, Carlsbad, CA). Reactions were performed in 384-well plates, and fluorescence was read using an Applied Biosystems Viia7 Sequence Detection System.</w:t>
      </w:r>
    </w:p>
    <w:p>
      <w:pPr>
        <w:pStyle w:val="BodyText"/>
      </w:pPr>
      <w:r>
        <w:t xml:space="preserve">In tincidunt viverra dolor, ac pharetra tellus faucibus eget. Pellentesque tempor a enim nec venenatis. Morbi blandit magna imperdiet posuere auctor. Maecenas in maximus est.</w:t>
      </w:r>
    </w:p>
    <w:p>
      <w:pPr>
        <w:pStyle w:val="Heading2"/>
      </w:pPr>
      <w:bookmarkStart w:id="69" w:name="results-3"/>
      <w:r>
        <w:t xml:space="preserve">Results</w:t>
      </w:r>
      <w:bookmarkEnd w:id="69"/>
    </w:p>
    <w:p>
      <w:pPr>
        <w:pStyle w:val="FirstParagraph"/>
      </w:pPr>
      <w:r>
        <w:t xml:space="preserve">These are the results. Curabitur vulputate nisl non ante tincidunt tempor. Aenean porta nisi quam, sed ornare urna congue sed. Curabitur in sapien justo. Quisque pulvinar ullamcorper metus, eu varius mauris pellentesque et. In hac habitasse platea dictumst. Pellentesque nec porttitor libero. Duis et magna a massa lacinia cursus.</w:t>
      </w:r>
    </w:p>
    <w:p>
      <w:pPr>
        <w:pStyle w:val="Heading2"/>
      </w:pPr>
      <w:bookmarkStart w:id="70" w:name="discussion-3"/>
      <w:r>
        <w:t xml:space="preserve">Discussion</w:t>
      </w:r>
      <w:bookmarkEnd w:id="70"/>
    </w:p>
    <w:p>
      <w:pPr>
        <w:pStyle w:val="FirstParagraph"/>
      </w:pPr>
      <w:r>
        <w:t xml:space="preserve">possibility of missed chronic HP</w:t>
      </w:r>
      <w:r>
        <w:t xml:space="preserve"> </w:t>
      </w:r>
      <w:r>
        <w:t xml:space="preserve">[122]</w:t>
      </w:r>
    </w:p>
    <w:p>
      <w:pPr>
        <w:pStyle w:val="Heading2"/>
      </w:pPr>
      <w:bookmarkStart w:id="71" w:name="conclusion-4"/>
      <w:r>
        <w:t xml:space="preserve">Conclusion</w:t>
      </w:r>
      <w:bookmarkEnd w:id="71"/>
    </w:p>
    <w:p>
      <w:pPr>
        <w:pStyle w:val="FirstParagraph"/>
      </w:pPr>
      <w:r>
        <w:t xml:space="preserve">This is the conclusion to the chapter. Nulla sed condimentum lectus. Duis sed tempor erat, at cursus lacus. Nam vitae tempus arcu, id vestibulum sapien. Cum sociis natoque penatibus et magnis dis parturient montes, nascetur ridiculus mus.</w:t>
      </w:r>
    </w:p>
    <w:p>
      <w:pPr>
        <w:pStyle w:val="Heading1"/>
      </w:pPr>
      <w:bookmarkStart w:id="72" w:name="conclusion-5"/>
      <w:r>
        <w:t xml:space="preserve">Conclusion</w:t>
      </w:r>
      <w:bookmarkEnd w:id="72"/>
    </w:p>
    <w:p>
      <w:pPr>
        <w:pStyle w:val="Heading2"/>
      </w:pPr>
      <w:bookmarkStart w:id="73" w:name="thesis-summary"/>
      <w:r>
        <w:t xml:space="preserve">Thesis summary</w:t>
      </w:r>
      <w:bookmarkEnd w:id="73"/>
    </w:p>
    <w:p>
      <w:pPr>
        <w:pStyle w:val="FirstParagraph"/>
      </w:pPr>
      <w:r>
        <w:t xml:space="preserve">In summary, pellentesque habitant morbi tristique senectus et netus et malesuada fames ac turpis egestas. Nunc eleifend, ex a luctus porttitor, felis ex suscipit tellus, ut sollicitudin sapien purus in libero. Nulla blandit eget urna vel tempus. Praesent fringilla dui sapien, sit amet egestas leo sollicitudin at.</w:t>
      </w:r>
    </w:p>
    <w:p>
      <w:pPr>
        <w:pStyle w:val="Heading2"/>
      </w:pPr>
      <w:bookmarkStart w:id="74" w:name="future-work"/>
      <w:r>
        <w:t xml:space="preserve">Future work</w:t>
      </w:r>
      <w:bookmarkEnd w:id="74"/>
    </w:p>
    <w:p>
      <w:pPr>
        <w:pStyle w:val="FirstParagraph"/>
      </w:pPr>
      <w:r>
        <w:t xml:space="preserve">chronic hp</w:t>
      </w:r>
    </w:p>
    <w:p>
      <w:pPr>
        <w:pStyle w:val="Heading1"/>
      </w:pPr>
      <w:bookmarkStart w:id="75" w:name="appendix-1-ipf-epidemiology-code"/>
      <w:r>
        <w:t xml:space="preserve">Appendix 1: IPF epidemiology code</w:t>
      </w:r>
      <w:bookmarkEnd w:id="75"/>
    </w:p>
    <w:p>
      <w:pPr>
        <w:pStyle w:val="FirstParagraph"/>
      </w:pPr>
      <w:hyperlink r:id="rId76">
        <w:r>
          <w:rPr>
            <w:rStyle w:val="Hyperlink"/>
          </w:rPr>
          <w:t xml:space="preserve">IPF epidemiology</w:t>
        </w:r>
      </w:hyperlink>
    </w:p>
    <w:p>
      <w:pPr>
        <w:pStyle w:val="Heading1"/>
      </w:pPr>
      <w:bookmarkStart w:id="77" w:name="appendix-2-ipfjes-study-documentation"/>
      <w:r>
        <w:t xml:space="preserve">Appendix 2: IPFJES study documentation</w:t>
      </w:r>
      <w:bookmarkEnd w:id="77"/>
    </w:p>
    <w:p>
      <w:pPr>
        <w:pStyle w:val="FirstParagraph"/>
      </w:pPr>
      <w:hyperlink r:id="rId78">
        <w:r>
          <w:rPr>
            <w:rStyle w:val="Hyperlink"/>
          </w:rPr>
          <w:t xml:space="preserve">IPFJES study documentation</w:t>
        </w:r>
      </w:hyperlink>
    </w:p>
    <w:p>
      <w:pPr>
        <w:pStyle w:val="Heading1"/>
      </w:pPr>
      <w:bookmarkStart w:id="79" w:name="references"/>
      <w:r>
        <w:t xml:space="preserve">References</w:t>
      </w:r>
      <w:bookmarkEnd w:id="79"/>
    </w:p>
    <w:bookmarkStart w:id="277" w:name="refs"/>
    <w:bookmarkStart w:id="80"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80"/>
    <w:bookmarkStart w:id="82" w:name="ref-Maher2012"/>
    <w:p>
      <w:pPr>
        <w:pStyle w:val="Bibliography"/>
      </w:pPr>
      <w:r>
        <w:t xml:space="preserve">2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81">
        <w:r>
          <w:rPr>
            <w:rStyle w:val="Hyperlink"/>
          </w:rPr>
          <w:t xml:space="preserve">10.1016/j.ccm.2011.11.002</w:t>
        </w:r>
      </w:hyperlink>
    </w:p>
    <w:bookmarkEnd w:id="82"/>
    <w:bookmarkStart w:id="83" w:name="ref-Ley2013"/>
    <w:p>
      <w:pPr>
        <w:pStyle w:val="Bibliography"/>
      </w:pPr>
      <w:r>
        <w:t xml:space="preserve">3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83"/>
    <w:bookmarkStart w:id="84" w:name="ref-Spagnolo2014"/>
    <w:p>
      <w:pPr>
        <w:pStyle w:val="Bibliography"/>
      </w:pPr>
      <w:r>
        <w:t xml:space="preserve">4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84"/>
    <w:bookmarkStart w:id="85" w:name="ref-Hubbard1998"/>
    <w:p>
      <w:pPr>
        <w:pStyle w:val="Bibliography"/>
      </w:pPr>
      <w:r>
        <w:t xml:space="preserve">5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85"/>
    <w:bookmarkStart w:id="87" w:name="ref-Vancheri2010"/>
    <w:p>
      <w:pPr>
        <w:pStyle w:val="Bibliography"/>
      </w:pPr>
      <w:r>
        <w:t xml:space="preserve">6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86">
        <w:r>
          <w:rPr>
            <w:rStyle w:val="Hyperlink"/>
          </w:rPr>
          <w:t xml:space="preserve">10.1183/09031936.00077309</w:t>
        </w:r>
      </w:hyperlink>
    </w:p>
    <w:bookmarkEnd w:id="87"/>
    <w:bookmarkStart w:id="88" w:name="ref-Barber2015"/>
    <w:p>
      <w:pPr>
        <w:pStyle w:val="Bibliography"/>
      </w:pPr>
      <w:r>
        <w:t xml:space="preserve">7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88"/>
    <w:bookmarkStart w:id="90" w:name="ref-Corrin1985"/>
    <w:p>
      <w:pPr>
        <w:pStyle w:val="Bibliography"/>
      </w:pPr>
      <w:r>
        <w:t xml:space="preserve">8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89">
        <w:r>
          <w:rPr>
            <w:rStyle w:val="Hyperlink"/>
          </w:rPr>
          <w:t xml:space="preserve">10.1002/path.1711470206</w:t>
        </w:r>
      </w:hyperlink>
    </w:p>
    <w:bookmarkEnd w:id="90"/>
    <w:bookmarkStart w:id="92" w:name="ref-Copley2003"/>
    <w:p>
      <w:pPr>
        <w:pStyle w:val="Bibliography"/>
      </w:pPr>
      <w:r>
        <w:t xml:space="preserve">9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91">
        <w:r>
          <w:rPr>
            <w:rStyle w:val="Hyperlink"/>
          </w:rPr>
          <w:t xml:space="preserve">10.1148/radiol.2293020668</w:t>
        </w:r>
      </w:hyperlink>
    </w:p>
    <w:bookmarkEnd w:id="92"/>
    <w:bookmarkStart w:id="94" w:name="ref-Monso1990"/>
    <w:p>
      <w:pPr>
        <w:pStyle w:val="Bibliography"/>
      </w:pPr>
      <w:r>
        <w:t xml:space="preserve">10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93">
        <w:r>
          <w:rPr>
            <w:rStyle w:val="Hyperlink"/>
          </w:rPr>
          <w:t xml:space="preserve">10.1080/00039896.1990.9936714</w:t>
        </w:r>
      </w:hyperlink>
    </w:p>
    <w:bookmarkEnd w:id="94"/>
    <w:bookmarkStart w:id="95" w:name="ref-Monso1991"/>
    <w:p>
      <w:pPr>
        <w:pStyle w:val="Bibliography"/>
      </w:pPr>
      <w:r>
        <w:t xml:space="preserve">11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95"/>
    <w:bookmarkStart w:id="96" w:name="ref-Glazer2009"/>
    <w:p>
      <w:pPr>
        <w:pStyle w:val="Bibliography"/>
      </w:pPr>
      <w:r>
        <w:t xml:space="preserve">12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96"/>
    <w:bookmarkStart w:id="97" w:name="ref-Ghio2014"/>
    <w:p>
      <w:pPr>
        <w:pStyle w:val="Bibliography"/>
      </w:pPr>
      <w:r>
        <w:t xml:space="preserve">13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97"/>
    <w:bookmarkStart w:id="98" w:name="ref-Travis2013"/>
    <w:p>
      <w:pPr>
        <w:pStyle w:val="Bibliography"/>
      </w:pPr>
      <w:r>
        <w:t xml:space="preserve">14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98"/>
    <w:bookmarkStart w:id="99" w:name="ref-Reynolds2017"/>
    <w:p>
      <w:pPr>
        <w:pStyle w:val="Bibliography"/>
      </w:pPr>
      <w:r>
        <w:t xml:space="preserve">15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99"/>
    <w:bookmarkStart w:id="100" w:name="ref-Turner-Warwick1998"/>
    <w:p>
      <w:pPr>
        <w:pStyle w:val="Bibliography"/>
      </w:pPr>
      <w:r>
        <w:t xml:space="preserve">16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00"/>
    <w:bookmarkStart w:id="101" w:name="ref-Hubbard2001"/>
    <w:p>
      <w:pPr>
        <w:pStyle w:val="Bibliography"/>
      </w:pPr>
      <w:r>
        <w:t xml:space="preserve">17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01"/>
    <w:bookmarkStart w:id="102" w:name="ref-Taskar2006"/>
    <w:p>
      <w:pPr>
        <w:pStyle w:val="Bibliography"/>
      </w:pPr>
      <w:r>
        <w:t xml:space="preserve">18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02"/>
    <w:bookmarkStart w:id="104" w:name="ref-Gulati2015"/>
    <w:p>
      <w:pPr>
        <w:pStyle w:val="Bibliography"/>
      </w:pPr>
      <w:r>
        <w:t xml:space="preserve">19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03">
        <w:r>
          <w:rPr>
            <w:rStyle w:val="Hyperlink"/>
          </w:rPr>
          <w:t xml:space="preserve">10.1097/MCP.0000000000000144</w:t>
        </w:r>
      </w:hyperlink>
    </w:p>
    <w:bookmarkEnd w:id="104"/>
    <w:bookmarkStart w:id="106" w:name="ref-Fontaine2009"/>
    <w:p>
      <w:pPr>
        <w:pStyle w:val="Bibliography"/>
      </w:pPr>
      <w:r>
        <w:t xml:space="preserve">20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05">
        <w:r>
          <w:rPr>
            <w:rStyle w:val="Hyperlink"/>
          </w:rPr>
          <w:t xml:space="preserve">10.1093/nar/gkp353</w:t>
        </w:r>
      </w:hyperlink>
    </w:p>
    <w:bookmarkEnd w:id="106"/>
    <w:bookmarkStart w:id="107" w:name="ref-Reynolds2017pubmed"/>
    <w:p>
      <w:pPr>
        <w:pStyle w:val="Bibliography"/>
      </w:pPr>
      <w:r>
        <w:t xml:space="preserve">21 Reynolds C, De Matteis S, Cullinan P</w:t>
      </w:r>
      <w:r>
        <w:t xml:space="preserve"> </w:t>
      </w:r>
      <w:r>
        <w:rPr>
          <w:i/>
        </w:rPr>
        <w:t xml:space="preserve">et al.</w:t>
      </w:r>
      <w:r>
        <w:t xml:space="preserve"> </w:t>
      </w:r>
      <w:r>
        <w:t xml:space="preserve">Pubmed mining for occupational idiopathic pulmonary fibrosis papers. 2017.</w:t>
      </w:r>
    </w:p>
    <w:bookmarkEnd w:id="107"/>
    <w:bookmarkStart w:id="108" w:name="ref-Scott1990"/>
    <w:p>
      <w:pPr>
        <w:pStyle w:val="Bibliography"/>
      </w:pPr>
      <w:r>
        <w:t xml:space="preserve">22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08"/>
    <w:bookmarkStart w:id="110" w:name="ref-Iwai1994"/>
    <w:p>
      <w:pPr>
        <w:pStyle w:val="Bibliography"/>
      </w:pPr>
      <w:r>
        <w:t xml:space="preserve">23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09">
        <w:r>
          <w:rPr>
            <w:rStyle w:val="Hyperlink"/>
          </w:rPr>
          <w:t xml:space="preserve">10.1164/ajrccm.150.3.8087336</w:t>
        </w:r>
      </w:hyperlink>
    </w:p>
    <w:bookmarkEnd w:id="110"/>
    <w:bookmarkStart w:id="111" w:name="ref-Hubbard1996a"/>
    <w:p>
      <w:pPr>
        <w:pStyle w:val="Bibliography"/>
      </w:pPr>
      <w:r>
        <w:t xml:space="preserve">24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11"/>
    <w:bookmarkStart w:id="112" w:name="ref-Mullen1998"/>
    <w:p>
      <w:pPr>
        <w:pStyle w:val="Bibliography"/>
      </w:pPr>
      <w:r>
        <w:t xml:space="preserve">25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12"/>
    <w:bookmarkStart w:id="113" w:name="ref-Baumgartner2000"/>
    <w:p>
      <w:pPr>
        <w:pStyle w:val="Bibliography"/>
      </w:pPr>
      <w:r>
        <w:t xml:space="preserve">26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13"/>
    <w:bookmarkStart w:id="114" w:name="ref-Hubbard2000"/>
    <w:p>
      <w:pPr>
        <w:pStyle w:val="Bibliography"/>
      </w:pPr>
      <w:r>
        <w:t xml:space="preserve">27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14"/>
    <w:bookmarkStart w:id="115" w:name="ref-Miyake2005"/>
    <w:p>
      <w:pPr>
        <w:pStyle w:val="Bibliography"/>
      </w:pPr>
      <w:r>
        <w:t xml:space="preserve">28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15"/>
    <w:bookmarkStart w:id="116" w:name="ref-Gustafson2007"/>
    <w:p>
      <w:pPr>
        <w:pStyle w:val="Bibliography"/>
      </w:pPr>
      <w:r>
        <w:t xml:space="preserve">29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16"/>
    <w:bookmarkStart w:id="117" w:name="ref-Pinheiro2008"/>
    <w:p>
      <w:pPr>
        <w:pStyle w:val="Bibliography"/>
      </w:pPr>
      <w:r>
        <w:t xml:space="preserve">30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17"/>
    <w:bookmarkStart w:id="118" w:name="ref-Garcia-SanchoFigueroa2010"/>
    <w:p>
      <w:pPr>
        <w:pStyle w:val="Bibliography"/>
      </w:pPr>
      <w:r>
        <w:t xml:space="preserve">31 Garcı́a-Sancho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18"/>
    <w:bookmarkStart w:id="120" w:name="ref-Garcia-Sancho2011"/>
    <w:p>
      <w:pPr>
        <w:pStyle w:val="Bibliography"/>
      </w:pPr>
      <w:r>
        <w:t xml:space="preserve">32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19">
        <w:r>
          <w:rPr>
            <w:rStyle w:val="Hyperlink"/>
          </w:rPr>
          <w:t xml:space="preserve">10.1016/j.rmed.2011.08.022</w:t>
        </w:r>
      </w:hyperlink>
    </w:p>
    <w:bookmarkEnd w:id="120"/>
    <w:bookmarkStart w:id="121" w:name="ref-Awadalla2012"/>
    <w:p>
      <w:pPr>
        <w:pStyle w:val="Bibliography"/>
      </w:pPr>
      <w:r>
        <w:t xml:space="preserve">33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21"/>
    <w:bookmarkStart w:id="122" w:name="ref-Paolocci2013"/>
    <w:p>
      <w:pPr>
        <w:pStyle w:val="Bibliography"/>
      </w:pPr>
      <w:r>
        <w:t xml:space="preserve">34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22"/>
    <w:bookmarkStart w:id="123" w:name="ref-Ekstrom2014"/>
    <w:p>
      <w:pPr>
        <w:pStyle w:val="Bibliography"/>
      </w:pPr>
      <w:r>
        <w:t xml:space="preserve">35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23"/>
    <w:bookmarkStart w:id="125" w:name="ref-Koo2017"/>
    <w:p>
      <w:pPr>
        <w:pStyle w:val="Bibliography"/>
      </w:pPr>
      <w:r>
        <w:t xml:space="preserve">36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24">
        <w:r>
          <w:rPr>
            <w:rStyle w:val="Hyperlink"/>
          </w:rPr>
          <w:t xml:space="preserve">10.5588/ijtld.16.0167</w:t>
        </w:r>
      </w:hyperlink>
    </w:p>
    <w:bookmarkEnd w:id="125"/>
    <w:bookmarkStart w:id="126" w:name="ref-Hubbard1996"/>
    <w:p>
      <w:pPr>
        <w:pStyle w:val="Bibliography"/>
      </w:pPr>
      <w:r>
        <w:t xml:space="preserve">37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26"/>
    <w:bookmarkStart w:id="128" w:name="ref-Navaratnam2014"/>
    <w:p>
      <w:pPr>
        <w:pStyle w:val="Bibliography"/>
      </w:pPr>
      <w:r>
        <w:t xml:space="preserve">38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27">
        <w:r>
          <w:rPr>
            <w:rStyle w:val="Hyperlink"/>
          </w:rPr>
          <w:t xml:space="preserve">10.1136/thoraxjnl-2013-203740</w:t>
        </w:r>
      </w:hyperlink>
    </w:p>
    <w:bookmarkEnd w:id="128"/>
    <w:bookmarkStart w:id="129" w:name="ref-Welch1994"/>
    <w:p>
      <w:pPr>
        <w:pStyle w:val="Bibliography"/>
      </w:pPr>
      <w:r>
        <w:t xml:space="preserve">39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29"/>
    <w:bookmarkStart w:id="131" w:name="ref-Rake2009"/>
    <w:p>
      <w:pPr>
        <w:pStyle w:val="Bibliography"/>
      </w:pPr>
      <w:r>
        <w:t xml:space="preserve">40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30">
        <w:r>
          <w:rPr>
            <w:rStyle w:val="Hyperlink"/>
          </w:rPr>
          <w:t xml:space="preserve">10.1038/sj.bjc.6604879</w:t>
        </w:r>
      </w:hyperlink>
    </w:p>
    <w:bookmarkEnd w:id="131"/>
    <w:bookmarkStart w:id="133" w:name="ref-Caminati2015"/>
    <w:p>
      <w:pPr>
        <w:pStyle w:val="Bibliography"/>
      </w:pPr>
      <w:r>
        <w:t xml:space="preserve">41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32">
        <w:r>
          <w:rPr>
            <w:rStyle w:val="Hyperlink"/>
          </w:rPr>
          <w:t xml:space="preserve">10.1183/16000617.0040-2015</w:t>
        </w:r>
      </w:hyperlink>
    </w:p>
    <w:bookmarkEnd w:id="133"/>
    <w:bookmarkStart w:id="134" w:name="ref-DeVuyst1998"/>
    <w:p>
      <w:pPr>
        <w:pStyle w:val="Bibliography"/>
      </w:pPr>
      <w:r>
        <w:t xml:space="preserve">42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34"/>
    <w:bookmarkStart w:id="135" w:name="ref-Cherrie1999"/>
    <w:p>
      <w:pPr>
        <w:pStyle w:val="Bibliography"/>
      </w:pPr>
      <w:r>
        <w:t xml:space="preserve">43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35"/>
    <w:bookmarkStart w:id="137" w:name="ref-Nemery2017"/>
    <w:p>
      <w:pPr>
        <w:pStyle w:val="Bibliography"/>
      </w:pPr>
      <w:r>
        <w:t xml:space="preserve">44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36">
        <w:r>
          <w:rPr>
            <w:rStyle w:val="Hyperlink"/>
          </w:rPr>
          <w:t xml:space="preserve">10.1183/13993003.00861-2017</w:t>
        </w:r>
      </w:hyperlink>
    </w:p>
    <w:bookmarkEnd w:id="137"/>
    <w:bookmarkStart w:id="138" w:name="ref-Cooke1924"/>
    <w:p>
      <w:pPr>
        <w:pStyle w:val="Bibliography"/>
      </w:pPr>
      <w:r>
        <w:t xml:space="preserve">45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38"/>
    <w:bookmarkStart w:id="140" w:name="ref-Wolff2015"/>
    <w:p>
      <w:pPr>
        <w:pStyle w:val="Bibliography"/>
      </w:pPr>
      <w:r>
        <w:t xml:space="preserve">46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39">
        <w:r>
          <w:rPr>
            <w:rStyle w:val="Hyperlink"/>
          </w:rPr>
          <w:t xml:space="preserve">10.5271/sjweh.3462</w:t>
        </w:r>
      </w:hyperlink>
    </w:p>
    <w:bookmarkEnd w:id="140"/>
    <w:bookmarkStart w:id="142" w:name="ref-Hammar2015"/>
    <w:p>
      <w:pPr>
        <w:pStyle w:val="Bibliography"/>
      </w:pPr>
      <w:r>
        <w:t xml:space="preserve">47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41">
        <w:r>
          <w:rPr>
            <w:rStyle w:val="Hyperlink"/>
          </w:rPr>
          <w:t xml:space="preserve">10.1002/ajim.22512</w:t>
        </w:r>
      </w:hyperlink>
    </w:p>
    <w:bookmarkEnd w:id="142"/>
    <w:bookmarkStart w:id="144" w:name="ref-Baur2016"/>
    <w:p>
      <w:pPr>
        <w:pStyle w:val="Bibliography"/>
      </w:pPr>
      <w:r>
        <w:t xml:space="preserve">48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43">
        <w:r>
          <w:rPr>
            <w:rStyle w:val="Hyperlink"/>
          </w:rPr>
          <w:t xml:space="preserve">10.1002/ajim.22595</w:t>
        </w:r>
      </w:hyperlink>
    </w:p>
    <w:bookmarkEnd w:id="144"/>
    <w:bookmarkStart w:id="146" w:name="ref-Baur2017"/>
    <w:p>
      <w:pPr>
        <w:pStyle w:val="Bibliography"/>
      </w:pPr>
      <w:r>
        <w:t xml:space="preserve">49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45">
        <w:r>
          <w:rPr>
            <w:rStyle w:val="Hyperlink"/>
          </w:rPr>
          <w:t xml:space="preserve">10.1002/ajim.22709</w:t>
        </w:r>
      </w:hyperlink>
    </w:p>
    <w:bookmarkEnd w:id="146"/>
    <w:bookmarkStart w:id="148" w:name="ref-Gilham2016"/>
    <w:p>
      <w:pPr>
        <w:pStyle w:val="Bibliography"/>
      </w:pPr>
      <w:r>
        <w:t xml:space="preserve">50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47">
        <w:r>
          <w:rPr>
            <w:rStyle w:val="Hyperlink"/>
          </w:rPr>
          <w:t xml:space="preserve">10.1136/oemed-2015-103074</w:t>
        </w:r>
      </w:hyperlink>
    </w:p>
    <w:bookmarkEnd w:id="148"/>
    <w:bookmarkStart w:id="149" w:name="ref-Gilham2018"/>
    <w:p>
      <w:pPr>
        <w:pStyle w:val="Bibliography"/>
      </w:pPr>
      <w:r>
        <w:t xml:space="preserve">51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149"/>
    <w:bookmarkStart w:id="151" w:name="ref-Nuyts2017"/>
    <w:p>
      <w:pPr>
        <w:pStyle w:val="Bibliography"/>
      </w:pPr>
      <w:r>
        <w:t xml:space="preserve">52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150">
        <w:r>
          <w:rPr>
            <w:rStyle w:val="Hyperlink"/>
          </w:rPr>
          <w:t xml:space="preserve">10.1136/oemed-2016-103710</w:t>
        </w:r>
      </w:hyperlink>
    </w:p>
    <w:bookmarkEnd w:id="151"/>
    <w:bookmarkStart w:id="152" w:name="ref-Burns1989"/>
    <w:p>
      <w:pPr>
        <w:pStyle w:val="Bibliography"/>
      </w:pPr>
      <w:r>
        <w:t xml:space="preserve">53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152"/>
    <w:bookmarkStart w:id="154" w:name="ref-Orlowski2015"/>
    <w:p>
      <w:pPr>
        <w:pStyle w:val="Bibliography"/>
      </w:pPr>
      <w:r>
        <w:t xml:space="preserve">54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153">
        <w:r>
          <w:rPr>
            <w:rStyle w:val="Hyperlink"/>
          </w:rPr>
          <w:t xml:space="preserve">10.1002/ajim.22498</w:t>
        </w:r>
      </w:hyperlink>
    </w:p>
    <w:bookmarkEnd w:id="154"/>
    <w:bookmarkStart w:id="155" w:name="ref-Peto1985"/>
    <w:p>
      <w:pPr>
        <w:pStyle w:val="Bibliography"/>
      </w:pPr>
      <w:r>
        <w:t xml:space="preserve">55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155"/>
    <w:bookmarkStart w:id="157" w:name="ref-ATSDR2001"/>
    <w:p>
      <w:pPr>
        <w:pStyle w:val="Bibliography"/>
      </w:pPr>
      <w:r>
        <w:t xml:space="preserve">56 Toxic Substances A for, (ATSDR). DR. Agency for toxic substances and disease registry (atsdr). 2001. Toxicological profile for asbestos. U.S. Department of Health; Human Services, Public Health Service. 2001.</w:t>
      </w:r>
      <w:r>
        <w:t xml:space="preserve"> </w:t>
      </w:r>
      <w:hyperlink r:id="rId156">
        <w:r>
          <w:rPr>
            <w:rStyle w:val="Hyperlink"/>
          </w:rPr>
          <w:t xml:space="preserve">https://www.atsdr.cdc.gov/toxprofiles/TP.asp?id=30&amp;tid=4#bookmark16</w:t>
        </w:r>
      </w:hyperlink>
    </w:p>
    <w:bookmarkEnd w:id="157"/>
    <w:bookmarkStart w:id="158" w:name="ref-Smith1991"/>
    <w:p>
      <w:pPr>
        <w:pStyle w:val="Bibliography"/>
      </w:pPr>
      <w:r>
        <w:t xml:space="preserve">57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158"/>
    <w:bookmarkStart w:id="160" w:name="ref-Sahmel2010"/>
    <w:p>
      <w:pPr>
        <w:pStyle w:val="Bibliography"/>
      </w:pPr>
      <w:r>
        <w:t xml:space="preserve">58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159">
        <w:r>
          <w:rPr>
            <w:rStyle w:val="Hyperlink"/>
          </w:rPr>
          <w:t xml:space="preserve">10.3109/10408444.2010.501052</w:t>
        </w:r>
      </w:hyperlink>
    </w:p>
    <w:bookmarkEnd w:id="160"/>
    <w:bookmarkStart w:id="162" w:name="ref-Blake2006"/>
    <w:p>
      <w:pPr>
        <w:pStyle w:val="Bibliography"/>
      </w:pPr>
      <w:r>
        <w:t xml:space="preserve">59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161">
        <w:r>
          <w:rPr>
            <w:rStyle w:val="Hyperlink"/>
          </w:rPr>
          <w:t xml:space="preserve">10.1016/j.yrtph.2006.04.007</w:t>
        </w:r>
      </w:hyperlink>
    </w:p>
    <w:bookmarkEnd w:id="162"/>
    <w:bookmarkStart w:id="164" w:name="ref-Williams2007"/>
    <w:p>
      <w:pPr>
        <w:pStyle w:val="Bibliography"/>
      </w:pPr>
      <w:r>
        <w:t xml:space="preserve">60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163">
        <w:r>
          <w:rPr>
            <w:rStyle w:val="Hyperlink"/>
          </w:rPr>
          <w:t xml:space="preserve">10.1080/10937400601034191</w:t>
        </w:r>
      </w:hyperlink>
    </w:p>
    <w:bookmarkEnd w:id="164"/>
    <w:bookmarkStart w:id="165" w:name="ref-Pannett1985"/>
    <w:p>
      <w:pPr>
        <w:pStyle w:val="Bibliography"/>
      </w:pPr>
      <w:r>
        <w:t xml:space="preserve">61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165"/>
    <w:bookmarkStart w:id="167" w:name="ref-Peters2011"/>
    <w:p>
      <w:pPr>
        <w:pStyle w:val="Bibliography"/>
      </w:pPr>
      <w:r>
        <w:t xml:space="preserve">62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166">
        <w:r>
          <w:rPr>
            <w:rStyle w:val="Hyperlink"/>
          </w:rPr>
          <w:t xml:space="preserve">10.1136/oem.2010.055608</w:t>
        </w:r>
      </w:hyperlink>
    </w:p>
    <w:bookmarkEnd w:id="167"/>
    <w:bookmarkStart w:id="169" w:name="ref-Offermans2012"/>
    <w:p>
      <w:pPr>
        <w:pStyle w:val="Bibliography"/>
      </w:pPr>
      <w:r>
        <w:t xml:space="preserve">63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168">
        <w:r>
          <w:rPr>
            <w:rStyle w:val="Hyperlink"/>
          </w:rPr>
          <w:t xml:space="preserve">10.1136/oemed-2011-100556</w:t>
        </w:r>
      </w:hyperlink>
    </w:p>
    <w:bookmarkEnd w:id="169"/>
    <w:bookmarkStart w:id="170" w:name="ref-Kauppinen1998"/>
    <w:p>
      <w:pPr>
        <w:pStyle w:val="Bibliography"/>
      </w:pPr>
      <w:r>
        <w:t xml:space="preserve">64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170"/>
    <w:bookmarkStart w:id="172" w:name="ref-Offermans2014"/>
    <w:p>
      <w:pPr>
        <w:pStyle w:val="Bibliography"/>
      </w:pPr>
      <w:r>
        <w:t xml:space="preserve">65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171">
        <w:r>
          <w:rPr>
            <w:rStyle w:val="Hyperlink"/>
          </w:rPr>
          <w:t xml:space="preserve">10.1097/JOM.0000000000000060</w:t>
        </w:r>
      </w:hyperlink>
    </w:p>
    <w:bookmarkEnd w:id="172"/>
    <w:bookmarkStart w:id="174" w:name="ref-Oyen2015"/>
    <w:p>
      <w:pPr>
        <w:pStyle w:val="Bibliography"/>
      </w:pPr>
      <w:r>
        <w:t xml:space="preserve">66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173">
        <w:r>
          <w:rPr>
            <w:rStyle w:val="Hyperlink"/>
          </w:rPr>
          <w:t xml:space="preserve">10.1093/annhyg/mev017</w:t>
        </w:r>
      </w:hyperlink>
    </w:p>
    <w:bookmarkEnd w:id="174"/>
    <w:bookmarkStart w:id="176" w:name="ref-Peters2016"/>
    <w:p>
      <w:pPr>
        <w:pStyle w:val="Bibliography"/>
      </w:pPr>
      <w:r>
        <w:t xml:space="preserve">67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175">
        <w:r>
          <w:rPr>
            <w:rStyle w:val="Hyperlink"/>
          </w:rPr>
          <w:t xml:space="preserve">10.1093/annhyg/mew034</w:t>
        </w:r>
      </w:hyperlink>
    </w:p>
    <w:bookmarkEnd w:id="176"/>
    <w:bookmarkStart w:id="178" w:name="ref-Cherrie2018"/>
    <w:p>
      <w:pPr>
        <w:pStyle w:val="Bibliography"/>
      </w:pPr>
      <w:r>
        <w:t xml:space="preserve">68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177">
        <w:r>
          <w:rPr>
            <w:rStyle w:val="Hyperlink"/>
          </w:rPr>
          <w:t xml:space="preserve">10.1016/j.ijheh.2017.09.013</w:t>
        </w:r>
      </w:hyperlink>
    </w:p>
    <w:bookmarkEnd w:id="178"/>
    <w:bookmarkStart w:id="179" w:name="ref-Ahrens1993"/>
    <w:p>
      <w:pPr>
        <w:pStyle w:val="Bibliography"/>
      </w:pPr>
      <w:r>
        <w:t xml:space="preserve">69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179"/>
    <w:bookmarkStart w:id="180" w:name="ref-Teschke2002"/>
    <w:p>
      <w:pPr>
        <w:pStyle w:val="Bibliography"/>
      </w:pPr>
      <w:r>
        <w:t xml:space="preserve">70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180"/>
    <w:bookmarkStart w:id="182" w:name="ref-Gramond2012"/>
    <w:p>
      <w:pPr>
        <w:pStyle w:val="Bibliography"/>
      </w:pPr>
      <w:r>
        <w:t xml:space="preserve">71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181">
        <w:r>
          <w:rPr>
            <w:rStyle w:val="Hyperlink"/>
          </w:rPr>
          <w:t xml:space="preserve">10.1002/ajim.22008</w:t>
        </w:r>
      </w:hyperlink>
    </w:p>
    <w:bookmarkEnd w:id="182"/>
    <w:bookmarkStart w:id="183" w:name="ref-Orlowski1993"/>
    <w:p>
      <w:pPr>
        <w:pStyle w:val="Bibliography"/>
      </w:pPr>
      <w:r>
        <w:t xml:space="preserve">72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183"/>
    <w:bookmarkStart w:id="185" w:name="ref-Tielemans2008"/>
    <w:p>
      <w:pPr>
        <w:pStyle w:val="Bibliography"/>
      </w:pPr>
      <w:r>
        <w:t xml:space="preserve">73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184">
        <w:r>
          <w:rPr>
            <w:rStyle w:val="Hyperlink"/>
          </w:rPr>
          <w:t xml:space="preserve">10.1093/annhyg/men059</w:t>
        </w:r>
      </w:hyperlink>
    </w:p>
    <w:bookmarkEnd w:id="185"/>
    <w:bookmarkStart w:id="186" w:name="ref-Rodelsperger2001"/>
    <w:p>
      <w:pPr>
        <w:pStyle w:val="Bibliography"/>
      </w:pPr>
      <w:r>
        <w:t xml:space="preserve">74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186"/>
    <w:bookmarkStart w:id="188" w:name="ref-Symanski2006"/>
    <w:p>
      <w:pPr>
        <w:pStyle w:val="Bibliography"/>
      </w:pPr>
      <w:r>
        <w:t xml:space="preserve">75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187">
        <w:r>
          <w:rPr>
            <w:rStyle w:val="Hyperlink"/>
          </w:rPr>
          <w:t xml:space="preserve">10.1093/annhyg/mel006</w:t>
        </w:r>
      </w:hyperlink>
    </w:p>
    <w:bookmarkEnd w:id="188"/>
    <w:bookmarkStart w:id="190" w:name="ref-Cherrie1999a"/>
    <w:p>
      <w:pPr>
        <w:pStyle w:val="Bibliography"/>
      </w:pPr>
      <w:r>
        <w:t xml:space="preserve">76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189">
        <w:r>
          <w:rPr>
            <w:rStyle w:val="Hyperlink"/>
          </w:rPr>
          <w:t xml:space="preserve">10.1080/104732299302530</w:t>
        </w:r>
      </w:hyperlink>
    </w:p>
    <w:bookmarkEnd w:id="190"/>
    <w:bookmarkStart w:id="191" w:name="ref-Teschke2000"/>
    <w:p>
      <w:pPr>
        <w:pStyle w:val="Bibliography"/>
      </w:pPr>
      <w:r>
        <w:t xml:space="preserve">77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191"/>
    <w:bookmarkStart w:id="193" w:name="ref-Burstyn2011"/>
    <w:p>
      <w:pPr>
        <w:pStyle w:val="Bibliography"/>
      </w:pPr>
      <w:r>
        <w:t xml:space="preserve">78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192">
        <w:r>
          <w:rPr>
            <w:rStyle w:val="Hyperlink"/>
          </w:rPr>
          <w:t xml:space="preserve">10.1136/oem.2009.054585</w:t>
        </w:r>
      </w:hyperlink>
    </w:p>
    <w:bookmarkEnd w:id="193"/>
    <w:bookmarkStart w:id="195" w:name="ref-Bakshani2018"/>
    <w:p>
      <w:pPr>
        <w:pStyle w:val="Bibliography"/>
      </w:pPr>
      <w:r>
        <w:t xml:space="preserve">79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194">
        <w:r>
          <w:rPr>
            <w:rStyle w:val="Hyperlink"/>
          </w:rPr>
          <w:t xml:space="preserve">10.1038/s41522-018-0057-2</w:t>
        </w:r>
      </w:hyperlink>
    </w:p>
    <w:bookmarkEnd w:id="195"/>
    <w:bookmarkStart w:id="197" w:name="ref-Dubaissi2018"/>
    <w:p>
      <w:pPr>
        <w:pStyle w:val="Bibliography"/>
      </w:pPr>
      <w:r>
        <w:t xml:space="preserve">80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196">
        <w:r>
          <w:rPr>
            <w:rStyle w:val="Hyperlink"/>
          </w:rPr>
          <w:t xml:space="preserve">10.1073/pnas.1713539115</w:t>
        </w:r>
      </w:hyperlink>
    </w:p>
    <w:bookmarkEnd w:id="197"/>
    <w:bookmarkStart w:id="199" w:name="ref-Kufe2009"/>
    <w:p>
      <w:pPr>
        <w:pStyle w:val="Bibliography"/>
      </w:pPr>
      <w:r>
        <w:t xml:space="preserve">81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198">
        <w:r>
          <w:rPr>
            <w:rStyle w:val="Hyperlink"/>
          </w:rPr>
          <w:t xml:space="preserve">10.1038/nrc2761</w:t>
        </w:r>
      </w:hyperlink>
    </w:p>
    <w:bookmarkEnd w:id="199"/>
    <w:bookmarkStart w:id="201" w:name="ref-Linden2008"/>
    <w:p>
      <w:pPr>
        <w:pStyle w:val="Bibliography"/>
      </w:pPr>
      <w:r>
        <w:t xml:space="preserve">82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00">
        <w:r>
          <w:rPr>
            <w:rStyle w:val="Hyperlink"/>
          </w:rPr>
          <w:t xml:space="preserve">10.1038/mi.2008.5</w:t>
        </w:r>
      </w:hyperlink>
    </w:p>
    <w:bookmarkEnd w:id="201"/>
    <w:bookmarkStart w:id="203" w:name="ref-Jaramillo2018"/>
    <w:p>
      <w:pPr>
        <w:pStyle w:val="Bibliography"/>
      </w:pPr>
      <w:r>
        <w:t xml:space="preserve">83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02">
        <w:r>
          <w:rPr>
            <w:rStyle w:val="Hyperlink"/>
          </w:rPr>
          <w:t xml:space="preserve">10.1513/AnnalsATS.201806-371AW</w:t>
        </w:r>
      </w:hyperlink>
    </w:p>
    <w:bookmarkEnd w:id="203"/>
    <w:bookmarkStart w:id="205" w:name="ref-Boucher2019"/>
    <w:p>
      <w:pPr>
        <w:pStyle w:val="Bibliography"/>
      </w:pPr>
      <w:r>
        <w:t xml:space="preserve">84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04">
        <w:r>
          <w:rPr>
            <w:rStyle w:val="Hyperlink"/>
          </w:rPr>
          <w:t xml:space="preserve">10.1056/NEJMra1813799</w:t>
        </w:r>
      </w:hyperlink>
    </w:p>
    <w:bookmarkEnd w:id="205"/>
    <w:bookmarkStart w:id="207" w:name="ref-Fahy2010"/>
    <w:p>
      <w:pPr>
        <w:pStyle w:val="Bibliography"/>
      </w:pPr>
      <w:r>
        <w:t xml:space="preserve">85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06">
        <w:r>
          <w:rPr>
            <w:rStyle w:val="Hyperlink"/>
          </w:rPr>
          <w:t xml:space="preserve">10.1056/NEJMra0910061</w:t>
        </w:r>
      </w:hyperlink>
    </w:p>
    <w:bookmarkEnd w:id="207"/>
    <w:bookmarkStart w:id="209" w:name="ref-Dickey2017"/>
    <w:p>
      <w:pPr>
        <w:pStyle w:val="Bibliography"/>
      </w:pPr>
      <w:r>
        <w:t xml:space="preserve">86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08">
        <w:r>
          <w:rPr>
            <w:rStyle w:val="Hyperlink"/>
          </w:rPr>
          <w:t xml:space="preserve">10.1165/rcmb.2017-0116ED</w:t>
        </w:r>
      </w:hyperlink>
    </w:p>
    <w:bookmarkEnd w:id="209"/>
    <w:bookmarkStart w:id="211" w:name="ref-Kesimer2017"/>
    <w:p>
      <w:pPr>
        <w:pStyle w:val="Bibliography"/>
      </w:pPr>
      <w:r>
        <w:t xml:space="preserve">87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10">
        <w:r>
          <w:rPr>
            <w:rStyle w:val="Hyperlink"/>
          </w:rPr>
          <w:t xml:space="preserve">10.1056/NEJMoa1701632</w:t>
        </w:r>
      </w:hyperlink>
    </w:p>
    <w:bookmarkEnd w:id="211"/>
    <w:bookmarkStart w:id="213" w:name="ref-Helling2017"/>
    <w:p>
      <w:pPr>
        <w:pStyle w:val="Bibliography"/>
      </w:pPr>
      <w:r>
        <w:t xml:space="preserve">88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12">
        <w:r>
          <w:rPr>
            <w:rStyle w:val="Hyperlink"/>
          </w:rPr>
          <w:t xml:space="preserve">10.1165/rcmb.2017-0046OC</w:t>
        </w:r>
      </w:hyperlink>
    </w:p>
    <w:bookmarkEnd w:id="213"/>
    <w:bookmarkStart w:id="215" w:name="ref-Fingerlin2013"/>
    <w:p>
      <w:pPr>
        <w:pStyle w:val="Bibliography"/>
      </w:pPr>
      <w:r>
        <w:t xml:space="preserve">89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14">
        <w:r>
          <w:rPr>
            <w:rStyle w:val="Hyperlink"/>
          </w:rPr>
          <w:t xml:space="preserve">10.1038/ng.2609</w:t>
        </w:r>
      </w:hyperlink>
    </w:p>
    <w:bookmarkEnd w:id="215"/>
    <w:bookmarkStart w:id="217" w:name="ref-Evans2016"/>
    <w:p>
      <w:pPr>
        <w:pStyle w:val="Bibliography"/>
      </w:pPr>
      <w:r>
        <w:t xml:space="preserve">90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16">
        <w:r>
          <w:rPr>
            <w:rStyle w:val="Hyperlink"/>
          </w:rPr>
          <w:t xml:space="preserve">10.1152/physrev.00004.2016</w:t>
        </w:r>
      </w:hyperlink>
    </w:p>
    <w:bookmarkEnd w:id="217"/>
    <w:bookmarkStart w:id="219" w:name="ref-Selman2006"/>
    <w:p>
      <w:pPr>
        <w:pStyle w:val="Bibliography"/>
      </w:pPr>
      <w:r>
        <w:t xml:space="preserve">91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18">
        <w:r>
          <w:rPr>
            <w:rStyle w:val="Hyperlink"/>
          </w:rPr>
          <w:t xml:space="preserve">10.1164/rccm.200504-644OC</w:t>
        </w:r>
      </w:hyperlink>
    </w:p>
    <w:bookmarkEnd w:id="219"/>
    <w:bookmarkStart w:id="221" w:name="ref-Namba2019"/>
    <w:p>
      <w:pPr>
        <w:pStyle w:val="Bibliography"/>
      </w:pPr>
      <w:r>
        <w:t xml:space="preserve">92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20">
        <w:r>
          <w:rPr>
            <w:rStyle w:val="Hyperlink"/>
          </w:rPr>
          <w:t xml:space="preserve">10.1136/annrheumdis-2018-214263</w:t>
        </w:r>
      </w:hyperlink>
    </w:p>
    <w:bookmarkEnd w:id="221"/>
    <w:bookmarkStart w:id="223" w:name="ref-Adegunsoye2019"/>
    <w:p>
      <w:pPr>
        <w:pStyle w:val="Bibliography"/>
      </w:pPr>
      <w:r>
        <w:t xml:space="preserve">93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22">
        <w:r>
          <w:rPr>
            <w:rStyle w:val="Hyperlink"/>
          </w:rPr>
          <w:t xml:space="preserve">10.1016/j.chest.2018.12.011</w:t>
        </w:r>
      </w:hyperlink>
    </w:p>
    <w:bookmarkEnd w:id="223"/>
    <w:bookmarkStart w:id="225" w:name="ref-Seibold2013"/>
    <w:p>
      <w:pPr>
        <w:pStyle w:val="Bibliography"/>
      </w:pPr>
      <w:r>
        <w:t xml:space="preserve">94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24">
        <w:r>
          <w:rPr>
            <w:rStyle w:val="Hyperlink"/>
          </w:rPr>
          <w:t xml:space="preserve">10.1371/journal.pone.0058658</w:t>
        </w:r>
      </w:hyperlink>
    </w:p>
    <w:bookmarkEnd w:id="225"/>
    <w:bookmarkStart w:id="227" w:name="ref-Roy2014"/>
    <w:p>
      <w:pPr>
        <w:pStyle w:val="Bibliography"/>
      </w:pPr>
      <w:r>
        <w:t xml:space="preserve">95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26">
        <w:r>
          <w:rPr>
            <w:rStyle w:val="Hyperlink"/>
          </w:rPr>
          <w:t xml:space="preserve">10.1038/nature12807</w:t>
        </w:r>
      </w:hyperlink>
    </w:p>
    <w:bookmarkEnd w:id="227"/>
    <w:bookmarkStart w:id="229" w:name="ref-Hancock2018"/>
    <w:p>
      <w:pPr>
        <w:pStyle w:val="Bibliography"/>
      </w:pPr>
      <w:r>
        <w:t xml:space="preserve">96 Hancock LA, Hennessy CE, Solomon GM</w:t>
      </w:r>
      <w:r>
        <w:t xml:space="preserve"> </w:t>
      </w:r>
      <w:r>
        <w:rPr>
          <w:i/>
        </w:rPr>
        <w:t xml:space="preserve">et al.</w:t>
      </w:r>
      <w:r>
        <w:t xml:space="preserve"> </w:t>
      </w:r>
      <w:r>
        <w:t xml:space="preserve">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28">
        <w:r>
          <w:rPr>
            <w:rStyle w:val="Hyperlink"/>
          </w:rPr>
          <w:t xml:space="preserve">10.1038/s41467-018-07768-9</w:t>
        </w:r>
      </w:hyperlink>
    </w:p>
    <w:bookmarkEnd w:id="229"/>
    <w:bookmarkStart w:id="231" w:name="ref-ODwyer2019"/>
    <w:p>
      <w:pPr>
        <w:pStyle w:val="Bibliography"/>
      </w:pPr>
      <w:r>
        <w:t xml:space="preserve">97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30">
        <w:r>
          <w:rPr>
            <w:rStyle w:val="Hyperlink"/>
          </w:rPr>
          <w:t xml:space="preserve">10.1164/rccm.201809-1650OC</w:t>
        </w:r>
      </w:hyperlink>
    </w:p>
    <w:bookmarkEnd w:id="231"/>
    <w:bookmarkStart w:id="233" w:name="ref-Yang2019"/>
    <w:p>
      <w:pPr>
        <w:pStyle w:val="Bibliography"/>
      </w:pPr>
      <w:r>
        <w:t xml:space="preserve">98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32">
        <w:r>
          <w:rPr>
            <w:rStyle w:val="Hyperlink"/>
          </w:rPr>
          <w:t xml:space="preserve">10.1016/j.immuni.2019.02.001</w:t>
        </w:r>
      </w:hyperlink>
    </w:p>
    <w:bookmarkEnd w:id="233"/>
    <w:bookmarkStart w:id="235" w:name="ref-Molyneaux2014"/>
    <w:p>
      <w:pPr>
        <w:pStyle w:val="Bibliography"/>
      </w:pPr>
      <w:r>
        <w:t xml:space="preserve">99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34">
        <w:r>
          <w:rPr>
            <w:rStyle w:val="Hyperlink"/>
          </w:rPr>
          <w:t xml:space="preserve">10.1164/rccm.201403-0541OC</w:t>
        </w:r>
      </w:hyperlink>
    </w:p>
    <w:bookmarkEnd w:id="235"/>
    <w:bookmarkStart w:id="236" w:name="ref-Peljto2013"/>
    <w:p>
      <w:pPr>
        <w:pStyle w:val="Bibliography"/>
      </w:pPr>
      <w:r>
        <w:t xml:space="preserve">100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36"/>
    <w:bookmarkStart w:id="238" w:name="ref-Ash2018"/>
    <w:p>
      <w:pPr>
        <w:pStyle w:val="Bibliography"/>
      </w:pPr>
      <w:r>
        <w:t xml:space="preserve">101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37">
        <w:r>
          <w:rPr>
            <w:rStyle w:val="Hyperlink"/>
          </w:rPr>
          <w:t xml:space="preserve">10.1136/thoraxjnl-2017-211208</w:t>
        </w:r>
      </w:hyperlink>
    </w:p>
    <w:bookmarkEnd w:id="238"/>
    <w:bookmarkStart w:id="240" w:name="ref-Dudbridge2019"/>
    <w:p>
      <w:pPr>
        <w:pStyle w:val="Bibliography"/>
      </w:pPr>
      <w:r>
        <w:t xml:space="preserve">102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39">
        <w:r>
          <w:rPr>
            <w:rStyle w:val="Hyperlink"/>
          </w:rPr>
          <w:t xml:space="preserve">10.1038/s41467-019-09381-w</w:t>
        </w:r>
      </w:hyperlink>
    </w:p>
    <w:bookmarkEnd w:id="240"/>
    <w:bookmarkStart w:id="242" w:name="ref-Hunninghake2013"/>
    <w:p>
      <w:pPr>
        <w:pStyle w:val="Bibliography"/>
      </w:pPr>
      <w:r>
        <w:t xml:space="preserve">103 Hunninghake GM, Hatabu H, Okajima Y</w:t>
      </w:r>
      <w:r>
        <w:t xml:space="preserve"> </w:t>
      </w:r>
      <w:r>
        <w:rPr>
          <w:i/>
        </w:rPr>
        <w:t xml:space="preserve">et al.</w:t>
      </w:r>
      <w:r>
        <w:t xml:space="preserve"> </w:t>
      </w:r>
      <w:r>
        <w:t xml:space="preserve">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41">
        <w:r>
          <w:rPr>
            <w:rStyle w:val="Hyperlink"/>
          </w:rPr>
          <w:t xml:space="preserve">10.1056/NEJMoa1216076</w:t>
        </w:r>
      </w:hyperlink>
    </w:p>
    <w:bookmarkEnd w:id="242"/>
    <w:bookmarkStart w:id="244" w:name="ref-WarheitNiemi2019"/>
    <w:p>
      <w:pPr>
        <w:pStyle w:val="Bibliography"/>
      </w:pPr>
      <w:r>
        <w:t xml:space="preserve">104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43">
        <w:r>
          <w:rPr>
            <w:rStyle w:val="Hyperlink"/>
          </w:rPr>
          <w:t xml:space="preserve">10.1002/cti2.1065</w:t>
        </w:r>
      </w:hyperlink>
    </w:p>
    <w:bookmarkEnd w:id="244"/>
    <w:bookmarkStart w:id="246" w:name="ref-Shulgina2013"/>
    <w:p>
      <w:pPr>
        <w:pStyle w:val="Bibliography"/>
      </w:pPr>
      <w:r>
        <w:t xml:space="preserve">105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45">
        <w:r>
          <w:rPr>
            <w:rStyle w:val="Hyperlink"/>
          </w:rPr>
          <w:t xml:space="preserve">10.1136/thoraxjnl-2012-202403</w:t>
        </w:r>
      </w:hyperlink>
    </w:p>
    <w:bookmarkEnd w:id="246"/>
    <w:bookmarkStart w:id="248" w:name="ref-Noth2013"/>
    <w:p>
      <w:pPr>
        <w:pStyle w:val="Bibliography"/>
      </w:pPr>
      <w:r>
        <w:t xml:space="preserve">106 Noth I, Zhang Y, Ma S-F</w:t>
      </w:r>
      <w:r>
        <w:t xml:space="preserve"> </w:t>
      </w:r>
      <w:r>
        <w:rPr>
          <w:i/>
        </w:rPr>
        <w:t xml:space="preserve">et al.</w:t>
      </w:r>
      <w:r>
        <w:t xml:space="preserve"> </w:t>
      </w:r>
      <w:r>
        <w:t xml:space="preserve">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47">
        <w:r>
          <w:rPr>
            <w:rStyle w:val="Hyperlink"/>
          </w:rPr>
          <w:t xml:space="preserve">10.1016/S2213-2600(13)70045-6</w:t>
        </w:r>
      </w:hyperlink>
    </w:p>
    <w:bookmarkEnd w:id="248"/>
    <w:bookmarkStart w:id="250" w:name="ref-Marshall2018"/>
    <w:p>
      <w:pPr>
        <w:pStyle w:val="Bibliography"/>
      </w:pPr>
      <w:r>
        <w:t xml:space="preserve">107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249">
        <w:r>
          <w:rPr>
            <w:rStyle w:val="Hyperlink"/>
          </w:rPr>
          <w:t xml:space="preserve">10.1183/13993003.01603-2017</w:t>
        </w:r>
      </w:hyperlink>
    </w:p>
    <w:bookmarkEnd w:id="250"/>
    <w:bookmarkStart w:id="252" w:name="ref-Dostert2008"/>
    <w:p>
      <w:pPr>
        <w:pStyle w:val="Bibliography"/>
      </w:pPr>
      <w:r>
        <w:t xml:space="preserve">108 book. 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251">
        <w:r>
          <w:rPr>
            <w:rStyle w:val="Hyperlink"/>
          </w:rPr>
          <w:t xml:space="preserve">10.1126/science.1156995</w:t>
        </w:r>
      </w:hyperlink>
    </w:p>
    <w:bookmarkEnd w:id="252"/>
    <w:bookmarkStart w:id="254" w:name="ref-Byrne2016"/>
    <w:p>
      <w:pPr>
        <w:pStyle w:val="Bibliography"/>
      </w:pPr>
      <w:r>
        <w:t xml:space="preserve">109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253">
        <w:r>
          <w:rPr>
            <w:rStyle w:val="Hyperlink"/>
          </w:rPr>
          <w:t xml:space="preserve">10.1016/j.molmed.2016.02.004</w:t>
        </w:r>
      </w:hyperlink>
    </w:p>
    <w:bookmarkEnd w:id="254"/>
    <w:bookmarkStart w:id="256" w:name="ref-Howrylak2017"/>
    <w:p>
      <w:pPr>
        <w:pStyle w:val="Bibliography"/>
      </w:pPr>
      <w:r>
        <w:t xml:space="preserve">110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255">
        <w:r>
          <w:rPr>
            <w:rStyle w:val="Hyperlink"/>
          </w:rPr>
          <w:t xml:space="preserve">10.1146/annurev-physiol-021115-105229</w:t>
        </w:r>
      </w:hyperlink>
    </w:p>
    <w:bookmarkEnd w:id="256"/>
    <w:bookmarkStart w:id="258" w:name="ref-Swanson2019"/>
    <w:p>
      <w:pPr>
        <w:pStyle w:val="Bibliography"/>
      </w:pPr>
      <w:r>
        <w:t xml:space="preserve">111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257">
        <w:r>
          <w:rPr>
            <w:rStyle w:val="Hyperlink"/>
          </w:rPr>
          <w:t xml:space="preserve">10.1038/s41577-019-0165-0</w:t>
        </w:r>
      </w:hyperlink>
    </w:p>
    <w:bookmarkEnd w:id="258"/>
    <w:bookmarkStart w:id="260" w:name="ref-Lasithiotaki2016"/>
    <w:p>
      <w:pPr>
        <w:pStyle w:val="Bibliography"/>
      </w:pPr>
      <w:r>
        <w:t xml:space="preserve">112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259">
        <w:r>
          <w:rPr>
            <w:rStyle w:val="Hyperlink"/>
          </w:rPr>
          <w:t xml:space="preserve">10.1183/13993003.00564-2015</w:t>
        </w:r>
      </w:hyperlink>
    </w:p>
    <w:bookmarkEnd w:id="260"/>
    <w:bookmarkStart w:id="262" w:name="ref-StoutDelgado2016"/>
    <w:p>
      <w:pPr>
        <w:pStyle w:val="Bibliography"/>
      </w:pPr>
      <w:r>
        <w:t xml:space="preserve">113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261">
        <w:r>
          <w:rPr>
            <w:rStyle w:val="Hyperlink"/>
          </w:rPr>
          <w:t xml:space="preserve">10.1165/rcmb.2015-0222OC</w:t>
        </w:r>
      </w:hyperlink>
    </w:p>
    <w:bookmarkEnd w:id="262"/>
    <w:bookmarkStart w:id="264" w:name="ref-Blanc2019"/>
    <w:p>
      <w:pPr>
        <w:pStyle w:val="Bibliography"/>
      </w:pPr>
      <w:r>
        <w:t xml:space="preserve">114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263">
        <w:r>
          <w:rPr>
            <w:rStyle w:val="Hyperlink"/>
          </w:rPr>
          <w:t xml:space="preserve">10.1164/rccm.201904-0717ST</w:t>
        </w:r>
      </w:hyperlink>
    </w:p>
    <w:bookmarkEnd w:id="264"/>
    <w:bookmarkStart w:id="265" w:name="ref-Raghu2011"/>
    <w:p>
      <w:pPr>
        <w:pStyle w:val="Bibliography"/>
      </w:pPr>
      <w:r>
        <w:t xml:space="preserve">115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265"/>
    <w:bookmarkStart w:id="267" w:name="ref-NICE2013"/>
    <w:p>
      <w:pPr>
        <w:pStyle w:val="Bibliography"/>
      </w:pPr>
      <w:r>
        <w:t xml:space="preserve">116 NICE. Idiopathic pulmonary fibrosis: The diagnosis and management of suspected idiopathic pulmonary fibrosis. 2013.</w:t>
      </w:r>
      <w:hyperlink r:id="rId266">
        <w:r>
          <w:rPr>
            <w:rStyle w:val="Hyperlink"/>
          </w:rPr>
          <w:t xml:space="preserve">https://www.nice.org.uk/guidance/cg163</w:t>
        </w:r>
      </w:hyperlink>
    </w:p>
    <w:bookmarkEnd w:id="267"/>
    <w:bookmarkStart w:id="268" w:name="ref-Dupont1990"/>
    <w:p>
      <w:pPr>
        <w:pStyle w:val="Bibliography"/>
      </w:pPr>
      <w:r>
        <w:t xml:space="preserve">117 Dupont WD, Plummer WD. Power and sample size calculations: A review and computer program.</w:t>
      </w:r>
      <w:r>
        <w:t xml:space="preserve"> </w:t>
      </w:r>
      <w:r>
        <w:rPr>
          <w:i/>
        </w:rPr>
        <w:t xml:space="preserve">Control Clin Trials</w:t>
      </w:r>
      <w:r>
        <w:t xml:space="preserve"> </w:t>
      </w:r>
      <w:r>
        <w:t xml:space="preserve">1990;</w:t>
      </w:r>
      <w:r>
        <w:rPr>
          <w:b/>
        </w:rPr>
        <w:t xml:space="preserve">11</w:t>
      </w:r>
      <w:r>
        <w:t xml:space="preserve">:116–28.</w:t>
      </w:r>
    </w:p>
    <w:bookmarkEnd w:id="268"/>
    <w:bookmarkStart w:id="269" w:name="ref-Agresti2007"/>
    <w:p>
      <w:pPr>
        <w:pStyle w:val="Bibliography"/>
      </w:pPr>
      <w:r>
        <w:t xml:space="preserve">118 Agresti A. Building and applying logistic regression models.</w:t>
      </w:r>
      <w:r>
        <w:t xml:space="preserve"> </w:t>
      </w:r>
      <w:r>
        <w:rPr>
          <w:i/>
        </w:rPr>
        <w:t xml:space="preserve">Categorical Data Analysis, Second Edition</w:t>
      </w:r>
      <w:r>
        <w:t xml:space="preserve"> </w:t>
      </w:r>
      <w:r>
        <w:t xml:space="preserve">2007;211–66.</w:t>
      </w:r>
    </w:p>
    <w:bookmarkEnd w:id="269"/>
    <w:bookmarkStart w:id="271" w:name="ref-Cariaso2012"/>
    <w:p>
      <w:pPr>
        <w:pStyle w:val="Bibliography"/>
      </w:pPr>
      <w:r>
        <w:t xml:space="preserve">119 Cariaso M, Lennon G. SNPedia: A wiki supporting personal genome annotation, interpretation and analysis.</w:t>
      </w:r>
      <w:r>
        <w:t xml:space="preserve"> </w:t>
      </w:r>
      <w:r>
        <w:rPr>
          <w:i/>
        </w:rPr>
        <w:t xml:space="preserve">Nucleic Acids Res</w:t>
      </w:r>
      <w:r>
        <w:t xml:space="preserve"> </w:t>
      </w:r>
      <w:r>
        <w:t xml:space="preserve">2012;</w:t>
      </w:r>
      <w:r>
        <w:rPr>
          <w:b/>
        </w:rPr>
        <w:t xml:space="preserve">40</w:t>
      </w:r>
      <w:r>
        <w:t xml:space="preserve">:D1308–12. doi:</w:t>
      </w:r>
      <w:hyperlink r:id="rId270">
        <w:r>
          <w:rPr>
            <w:rStyle w:val="Hyperlink"/>
          </w:rPr>
          <w:t xml:space="preserve">10.1093/nar/gkr798</w:t>
        </w:r>
      </w:hyperlink>
    </w:p>
    <w:bookmarkEnd w:id="271"/>
    <w:bookmarkStart w:id="273" w:name="ref-Seibold2011"/>
    <w:p>
      <w:pPr>
        <w:pStyle w:val="Bibliography"/>
      </w:pPr>
      <w:r>
        <w:t xml:space="preserve">120 Seibold MA, Wise AL, Speer MC</w:t>
      </w:r>
      <w:r>
        <w:t xml:space="preserve"> </w:t>
      </w:r>
      <w:r>
        <w:rPr>
          <w:i/>
        </w:rPr>
        <w:t xml:space="preserve">et al.</w:t>
      </w:r>
      <w:r>
        <w:t xml:space="preserve"> </w:t>
      </w:r>
      <w:r>
        <w:t xml:space="preserve">A common muc5b promoter polymorphism and pulmonary fibrosis.</w:t>
      </w:r>
      <w:r>
        <w:t xml:space="preserve"> </w:t>
      </w:r>
      <w:r>
        <w:rPr>
          <w:i/>
        </w:rPr>
        <w:t xml:space="preserve">N Engl J Med</w:t>
      </w:r>
      <w:r>
        <w:t xml:space="preserve"> </w:t>
      </w:r>
      <w:r>
        <w:t xml:space="preserve">2011;</w:t>
      </w:r>
      <w:r>
        <w:rPr>
          <w:b/>
        </w:rPr>
        <w:t xml:space="preserve">364</w:t>
      </w:r>
      <w:r>
        <w:t xml:space="preserve">:1503–12. doi:</w:t>
      </w:r>
      <w:hyperlink r:id="rId272">
        <w:r>
          <w:rPr>
            <w:rStyle w:val="Hyperlink"/>
          </w:rPr>
          <w:t xml:space="preserve">10.1056/NEJMoa1013660</w:t>
        </w:r>
      </w:hyperlink>
    </w:p>
    <w:bookmarkEnd w:id="273"/>
    <w:bookmarkStart w:id="274" w:name="ref-Gauderman2002"/>
    <w:p>
      <w:pPr>
        <w:pStyle w:val="Bibliography"/>
      </w:pPr>
      <w:r>
        <w:t xml:space="preserve">121 Gauderman WJ. Sample size requirements for association studies of gene-gene interaction.</w:t>
      </w:r>
      <w:r>
        <w:t xml:space="preserve"> </w:t>
      </w:r>
      <w:r>
        <w:rPr>
          <w:i/>
        </w:rPr>
        <w:t xml:space="preserve">Am J Epidemiol</w:t>
      </w:r>
      <w:r>
        <w:t xml:space="preserve"> </w:t>
      </w:r>
      <w:r>
        <w:t xml:space="preserve">2002;</w:t>
      </w:r>
      <w:r>
        <w:rPr>
          <w:b/>
        </w:rPr>
        <w:t xml:space="preserve">155</w:t>
      </w:r>
      <w:r>
        <w:t xml:space="preserve">:478–84.</w:t>
      </w:r>
    </w:p>
    <w:bookmarkEnd w:id="274"/>
    <w:bookmarkStart w:id="276" w:name="ref-Morell2013"/>
    <w:p>
      <w:pPr>
        <w:pStyle w:val="Bibliography"/>
      </w:pPr>
      <w:r>
        <w:t xml:space="preserve">122 Morell F, Villar A, Montero M-Á</w:t>
      </w:r>
      <w:r>
        <w:t xml:space="preserve"> </w:t>
      </w:r>
      <w:r>
        <w:rPr>
          <w:i/>
        </w:rPr>
        <w:t xml:space="preserve">et al.</w:t>
      </w:r>
      <w:r>
        <w:t xml:space="preserve"> </w:t>
      </w:r>
      <w:r>
        <w:t xml:space="preserve">Chronic hypersensitivity pneumonitis in patients diagnosed with idiopathic pulmonary fibrosis: A prospective case-cohort study.</w:t>
      </w:r>
      <w:r>
        <w:t xml:space="preserve"> </w:t>
      </w:r>
      <w:r>
        <w:rPr>
          <w:i/>
        </w:rPr>
        <w:t xml:space="preserve">Lancet Respir Med</w:t>
      </w:r>
      <w:r>
        <w:t xml:space="preserve"> </w:t>
      </w:r>
      <w:r>
        <w:t xml:space="preserve">2013;</w:t>
      </w:r>
      <w:r>
        <w:rPr>
          <w:b/>
        </w:rPr>
        <w:t xml:space="preserve">1</w:t>
      </w:r>
      <w:r>
        <w:t xml:space="preserve">:685–94. doi:</w:t>
      </w:r>
      <w:hyperlink r:id="rId275">
        <w:r>
          <w:rPr>
            <w:rStyle w:val="Hyperlink"/>
          </w:rPr>
          <w:t xml:space="preserve">10.1016/S2213-2600(13)70191-7</w:t>
        </w:r>
      </w:hyperlink>
    </w:p>
    <w:bookmarkEnd w:id="276"/>
    <w:bookmarkEnd w:id="2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jpg" /><Relationship Type="http://schemas.openxmlformats.org/officeDocument/2006/relationships/image" Id="rId41" Target="media/rId41.jpg" /><Relationship Type="http://schemas.openxmlformats.org/officeDocument/2006/relationships/image" Id="rId62" Target="media/rId62.jpg" /><Relationship Type="http://schemas.openxmlformats.org/officeDocument/2006/relationships/image" Id="rId51" Target="media/rId51.png" /><Relationship Type="http://schemas.openxmlformats.org/officeDocument/2006/relationships/hyperlink" Id="rId181" Target="https://doi.org/10.1002/ajim.22008" TargetMode="External" /><Relationship Type="http://schemas.openxmlformats.org/officeDocument/2006/relationships/hyperlink" Id="rId153" Target="https://doi.org/10.1002/ajim.22498" TargetMode="External" /><Relationship Type="http://schemas.openxmlformats.org/officeDocument/2006/relationships/hyperlink" Id="rId141" Target="https://doi.org/10.1002/ajim.22512" TargetMode="External" /><Relationship Type="http://schemas.openxmlformats.org/officeDocument/2006/relationships/hyperlink" Id="rId143" Target="https://doi.org/10.1002/ajim.22595" TargetMode="External" /><Relationship Type="http://schemas.openxmlformats.org/officeDocument/2006/relationships/hyperlink" Id="rId145" Target="https://doi.org/10.1002/ajim.22709" TargetMode="External" /><Relationship Type="http://schemas.openxmlformats.org/officeDocument/2006/relationships/hyperlink" Id="rId243" Target="https://doi.org/10.1002/cti2.1065" TargetMode="External" /><Relationship Type="http://schemas.openxmlformats.org/officeDocument/2006/relationships/hyperlink" Id="rId89" Target="https://doi.org/10.1002/path.1711470206" TargetMode="External" /><Relationship Type="http://schemas.openxmlformats.org/officeDocument/2006/relationships/hyperlink" Id="rId247" Target="https://doi.org/10.1016/S2213-2600(13)70045-6" TargetMode="External" /><Relationship Type="http://schemas.openxmlformats.org/officeDocument/2006/relationships/hyperlink" Id="rId275" Target="https://doi.org/10.1016/S2213-2600(13)70191-7" TargetMode="External" /><Relationship Type="http://schemas.openxmlformats.org/officeDocument/2006/relationships/hyperlink" Id="rId81" Target="https://doi.org/10.1016/j.ccm.2011.11.002" TargetMode="External" /><Relationship Type="http://schemas.openxmlformats.org/officeDocument/2006/relationships/hyperlink" Id="rId222" Target="https://doi.org/10.1016/j.chest.2018.12.011" TargetMode="External" /><Relationship Type="http://schemas.openxmlformats.org/officeDocument/2006/relationships/hyperlink" Id="rId177" Target="https://doi.org/10.1016/j.ijheh.2017.09.013" TargetMode="External" /><Relationship Type="http://schemas.openxmlformats.org/officeDocument/2006/relationships/hyperlink" Id="rId232" Target="https://doi.org/10.1016/j.immuni.2019.02.001" TargetMode="External" /><Relationship Type="http://schemas.openxmlformats.org/officeDocument/2006/relationships/hyperlink" Id="rId253" Target="https://doi.org/10.1016/j.molmed.2016.02.004" TargetMode="External" /><Relationship Type="http://schemas.openxmlformats.org/officeDocument/2006/relationships/hyperlink" Id="rId119" Target="https://doi.org/10.1016/j.rmed.2011.08.022" TargetMode="External" /><Relationship Type="http://schemas.openxmlformats.org/officeDocument/2006/relationships/hyperlink" Id="rId161" Target="https://doi.org/10.1016/j.yrtph.2006.04.007" TargetMode="External" /><Relationship Type="http://schemas.openxmlformats.org/officeDocument/2006/relationships/hyperlink" Id="rId200" Target="https://doi.org/10.1038/mi.2008.5" TargetMode="External" /><Relationship Type="http://schemas.openxmlformats.org/officeDocument/2006/relationships/hyperlink" Id="rId226" Target="https://doi.org/10.1038/nature12807" TargetMode="External" /><Relationship Type="http://schemas.openxmlformats.org/officeDocument/2006/relationships/hyperlink" Id="rId214" Target="https://doi.org/10.1038/ng.2609" TargetMode="External" /><Relationship Type="http://schemas.openxmlformats.org/officeDocument/2006/relationships/hyperlink" Id="rId198" Target="https://doi.org/10.1038/nrc2761" TargetMode="External" /><Relationship Type="http://schemas.openxmlformats.org/officeDocument/2006/relationships/hyperlink" Id="rId228" Target="https://doi.org/10.1038/s41467-018-07768-9" TargetMode="External" /><Relationship Type="http://schemas.openxmlformats.org/officeDocument/2006/relationships/hyperlink" Id="rId239" Target="https://doi.org/10.1038/s41467-019-09381-w" TargetMode="External" /><Relationship Type="http://schemas.openxmlformats.org/officeDocument/2006/relationships/hyperlink" Id="rId194" Target="https://doi.org/10.1038/s41522-018-0057-2" TargetMode="External" /><Relationship Type="http://schemas.openxmlformats.org/officeDocument/2006/relationships/hyperlink" Id="rId257" Target="https://doi.org/10.1038/s41577-019-0165-0" TargetMode="External" /><Relationship Type="http://schemas.openxmlformats.org/officeDocument/2006/relationships/hyperlink" Id="rId130" Target="https://doi.org/10.1038/sj.bjc.6604879" TargetMode="External" /><Relationship Type="http://schemas.openxmlformats.org/officeDocument/2006/relationships/hyperlink" Id="rId272" Target="https://doi.org/10.1056/NEJMoa1013660" TargetMode="External" /><Relationship Type="http://schemas.openxmlformats.org/officeDocument/2006/relationships/hyperlink" Id="rId241" Target="https://doi.org/10.1056/NEJMoa1216076" TargetMode="External" /><Relationship Type="http://schemas.openxmlformats.org/officeDocument/2006/relationships/hyperlink" Id="rId210" Target="https://doi.org/10.1056/NEJMoa1701632" TargetMode="External" /><Relationship Type="http://schemas.openxmlformats.org/officeDocument/2006/relationships/hyperlink" Id="rId206" Target="https://doi.org/10.1056/NEJMra0910061" TargetMode="External" /><Relationship Type="http://schemas.openxmlformats.org/officeDocument/2006/relationships/hyperlink" Id="rId204" Target="https://doi.org/10.1056/NEJMra1813799" TargetMode="External" /><Relationship Type="http://schemas.openxmlformats.org/officeDocument/2006/relationships/hyperlink" Id="rId196" Target="https://doi.org/10.1073/pnas.1713539115" TargetMode="External" /><Relationship Type="http://schemas.openxmlformats.org/officeDocument/2006/relationships/hyperlink" Id="rId93" Target="https://doi.org/10.1080/00039896.1990.9936714" TargetMode="External" /><Relationship Type="http://schemas.openxmlformats.org/officeDocument/2006/relationships/hyperlink" Id="rId189" Target="https://doi.org/10.1080/104732299302530" TargetMode="External" /><Relationship Type="http://schemas.openxmlformats.org/officeDocument/2006/relationships/hyperlink" Id="rId163" Target="https://doi.org/10.1080/10937400601034191" TargetMode="External" /><Relationship Type="http://schemas.openxmlformats.org/officeDocument/2006/relationships/hyperlink" Id="rId187" Target="https://doi.org/10.1093/annhyg/mel006" TargetMode="External" /><Relationship Type="http://schemas.openxmlformats.org/officeDocument/2006/relationships/hyperlink" Id="rId184" Target="https://doi.org/10.1093/annhyg/men059" TargetMode="External" /><Relationship Type="http://schemas.openxmlformats.org/officeDocument/2006/relationships/hyperlink" Id="rId173" Target="https://doi.org/10.1093/annhyg/mev017" TargetMode="External" /><Relationship Type="http://schemas.openxmlformats.org/officeDocument/2006/relationships/hyperlink" Id="rId175" Target="https://doi.org/10.1093/annhyg/mew034" TargetMode="External" /><Relationship Type="http://schemas.openxmlformats.org/officeDocument/2006/relationships/hyperlink" Id="rId105" Target="https://doi.org/10.1093/nar/gkp353" TargetMode="External" /><Relationship Type="http://schemas.openxmlformats.org/officeDocument/2006/relationships/hyperlink" Id="rId270" Target="https://doi.org/10.1093/nar/gkr798" TargetMode="External" /><Relationship Type="http://schemas.openxmlformats.org/officeDocument/2006/relationships/hyperlink" Id="rId171" Target="https://doi.org/10.1097/JOM.0000000000000060" TargetMode="External" /><Relationship Type="http://schemas.openxmlformats.org/officeDocument/2006/relationships/hyperlink" Id="rId103" Target="https://doi.org/10.1097/MCP.0000000000000144" TargetMode="External" /><Relationship Type="http://schemas.openxmlformats.org/officeDocument/2006/relationships/hyperlink" Id="rId251" Target="https://doi.org/10.1126/science.1156995" TargetMode="External" /><Relationship Type="http://schemas.openxmlformats.org/officeDocument/2006/relationships/hyperlink" Id="rId220" Target="https://doi.org/10.1136/annrheumdis-2018-214263" TargetMode="External" /><Relationship Type="http://schemas.openxmlformats.org/officeDocument/2006/relationships/hyperlink" Id="rId192" Target="https://doi.org/10.1136/oem.2009.054585" TargetMode="External" /><Relationship Type="http://schemas.openxmlformats.org/officeDocument/2006/relationships/hyperlink" Id="rId166" Target="https://doi.org/10.1136/oem.2010.055608" TargetMode="External" /><Relationship Type="http://schemas.openxmlformats.org/officeDocument/2006/relationships/hyperlink" Id="rId168" Target="https://doi.org/10.1136/oemed-2011-100556" TargetMode="External" /><Relationship Type="http://schemas.openxmlformats.org/officeDocument/2006/relationships/hyperlink" Id="rId147" Target="https://doi.org/10.1136/oemed-2015-103074" TargetMode="External" /><Relationship Type="http://schemas.openxmlformats.org/officeDocument/2006/relationships/hyperlink" Id="rId150" Target="https://doi.org/10.1136/oemed-2016-103710" TargetMode="External" /><Relationship Type="http://schemas.openxmlformats.org/officeDocument/2006/relationships/hyperlink" Id="rId245" Target="https://doi.org/10.1136/thoraxjnl-2012-202403" TargetMode="External" /><Relationship Type="http://schemas.openxmlformats.org/officeDocument/2006/relationships/hyperlink" Id="rId127" Target="https://doi.org/10.1136/thoraxjnl-2013-203740" TargetMode="External" /><Relationship Type="http://schemas.openxmlformats.org/officeDocument/2006/relationships/hyperlink" Id="rId237" Target="https://doi.org/10.1136/thoraxjnl-2017-211208" TargetMode="External" /><Relationship Type="http://schemas.openxmlformats.org/officeDocument/2006/relationships/hyperlink" Id="rId255" Target="https://doi.org/10.1146/annurev-physiol-021115-105229" TargetMode="External" /><Relationship Type="http://schemas.openxmlformats.org/officeDocument/2006/relationships/hyperlink" Id="rId91" Target="https://doi.org/10.1148/radiol.2293020668" TargetMode="External" /><Relationship Type="http://schemas.openxmlformats.org/officeDocument/2006/relationships/hyperlink" Id="rId216" Target="https://doi.org/10.1152/physrev.00004.2016" TargetMode="External" /><Relationship Type="http://schemas.openxmlformats.org/officeDocument/2006/relationships/hyperlink" Id="rId109" Target="https://doi.org/10.1164/ajrccm.150.3.8087336" TargetMode="External" /><Relationship Type="http://schemas.openxmlformats.org/officeDocument/2006/relationships/hyperlink" Id="rId218" Target="https://doi.org/10.1164/rccm.200504-644OC" TargetMode="External" /><Relationship Type="http://schemas.openxmlformats.org/officeDocument/2006/relationships/hyperlink" Id="rId234" Target="https://doi.org/10.1164/rccm.201403-0541OC" TargetMode="External" /><Relationship Type="http://schemas.openxmlformats.org/officeDocument/2006/relationships/hyperlink" Id="rId230" Target="https://doi.org/10.1164/rccm.201809-1650OC" TargetMode="External" /><Relationship Type="http://schemas.openxmlformats.org/officeDocument/2006/relationships/hyperlink" Id="rId263" Target="https://doi.org/10.1164/rccm.201904-0717ST" TargetMode="External" /><Relationship Type="http://schemas.openxmlformats.org/officeDocument/2006/relationships/hyperlink" Id="rId261" Target="https://doi.org/10.1165/rcmb.2015-0222OC" TargetMode="External" /><Relationship Type="http://schemas.openxmlformats.org/officeDocument/2006/relationships/hyperlink" Id="rId212" Target="https://doi.org/10.1165/rcmb.2017-0046OC" TargetMode="External" /><Relationship Type="http://schemas.openxmlformats.org/officeDocument/2006/relationships/hyperlink" Id="rId208" Target="https://doi.org/10.1165/rcmb.2017-0116ED" TargetMode="External" /><Relationship Type="http://schemas.openxmlformats.org/officeDocument/2006/relationships/hyperlink" Id="rId86" Target="https://doi.org/10.1183/09031936.00077309" TargetMode="External" /><Relationship Type="http://schemas.openxmlformats.org/officeDocument/2006/relationships/hyperlink" Id="rId259" Target="https://doi.org/10.1183/13993003.00564-2015" TargetMode="External" /><Relationship Type="http://schemas.openxmlformats.org/officeDocument/2006/relationships/hyperlink" Id="rId136" Target="https://doi.org/10.1183/13993003.00861-2017" TargetMode="External" /><Relationship Type="http://schemas.openxmlformats.org/officeDocument/2006/relationships/hyperlink" Id="rId249" Target="https://doi.org/10.1183/13993003.01603-2017" TargetMode="External" /><Relationship Type="http://schemas.openxmlformats.org/officeDocument/2006/relationships/hyperlink" Id="rId132" Target="https://doi.org/10.1183/16000617.0040-2015" TargetMode="External" /><Relationship Type="http://schemas.openxmlformats.org/officeDocument/2006/relationships/hyperlink" Id="rId224" Target="https://doi.org/10.1371/journal.pone.0058658" TargetMode="External" /><Relationship Type="http://schemas.openxmlformats.org/officeDocument/2006/relationships/hyperlink" Id="rId202" Target="https://doi.org/10.1513/AnnalsATS.201806-371AW" TargetMode="External" /><Relationship Type="http://schemas.openxmlformats.org/officeDocument/2006/relationships/hyperlink" Id="rId159" Target="https://doi.org/10.3109/10408444.2010.501052" TargetMode="External" /><Relationship Type="http://schemas.openxmlformats.org/officeDocument/2006/relationships/hyperlink" Id="rId139" Target="https://doi.org/10.5271/sjweh.3462" TargetMode="External" /><Relationship Type="http://schemas.openxmlformats.org/officeDocument/2006/relationships/hyperlink" Id="rId124" Target="https://doi.org/10.5588/ijtld.16.0167" TargetMode="External" /><Relationship Type="http://schemas.openxmlformats.org/officeDocument/2006/relationships/hyperlink" Id="rId78" Target="https://github.com/drcjar/ipfjes/" TargetMode="External" /><Relationship Type="http://schemas.openxmlformats.org/officeDocument/2006/relationships/hyperlink" Id="rId76" Target="https://github.com/drcjar/pypf" TargetMode="External" /><Relationship Type="http://schemas.openxmlformats.org/officeDocument/2006/relationships/hyperlink" Id="rId156" Target="https://www.atsdr.cdc.gov/toxprofiles/TP.asp?id=30&amp;tid=4#bookmark16" TargetMode="External" /><Relationship Type="http://schemas.openxmlformats.org/officeDocument/2006/relationships/hyperlink" Id="rId266" Target="https://www.nice.org.uk/guidance/cg163" TargetMode="External" /></Relationships>
</file>

<file path=word/_rels/footnotes.xml.rels><?xml version="1.0" encoding="UTF-8"?>
<Relationships xmlns="http://schemas.openxmlformats.org/package/2006/relationships"><Relationship Type="http://schemas.openxmlformats.org/officeDocument/2006/relationships/hyperlink" Id="rId181" Target="https://doi.org/10.1002/ajim.22008" TargetMode="External" /><Relationship Type="http://schemas.openxmlformats.org/officeDocument/2006/relationships/hyperlink" Id="rId153" Target="https://doi.org/10.1002/ajim.22498" TargetMode="External" /><Relationship Type="http://schemas.openxmlformats.org/officeDocument/2006/relationships/hyperlink" Id="rId141" Target="https://doi.org/10.1002/ajim.22512" TargetMode="External" /><Relationship Type="http://schemas.openxmlformats.org/officeDocument/2006/relationships/hyperlink" Id="rId143" Target="https://doi.org/10.1002/ajim.22595" TargetMode="External" /><Relationship Type="http://schemas.openxmlformats.org/officeDocument/2006/relationships/hyperlink" Id="rId145" Target="https://doi.org/10.1002/ajim.22709" TargetMode="External" /><Relationship Type="http://schemas.openxmlformats.org/officeDocument/2006/relationships/hyperlink" Id="rId243" Target="https://doi.org/10.1002/cti2.1065" TargetMode="External" /><Relationship Type="http://schemas.openxmlformats.org/officeDocument/2006/relationships/hyperlink" Id="rId89" Target="https://doi.org/10.1002/path.1711470206" TargetMode="External" /><Relationship Type="http://schemas.openxmlformats.org/officeDocument/2006/relationships/hyperlink" Id="rId247" Target="https://doi.org/10.1016/S2213-2600(13)70045-6" TargetMode="External" /><Relationship Type="http://schemas.openxmlformats.org/officeDocument/2006/relationships/hyperlink" Id="rId275" Target="https://doi.org/10.1016/S2213-2600(13)70191-7" TargetMode="External" /><Relationship Type="http://schemas.openxmlformats.org/officeDocument/2006/relationships/hyperlink" Id="rId81" Target="https://doi.org/10.1016/j.ccm.2011.11.002" TargetMode="External" /><Relationship Type="http://schemas.openxmlformats.org/officeDocument/2006/relationships/hyperlink" Id="rId222" Target="https://doi.org/10.1016/j.chest.2018.12.011" TargetMode="External" /><Relationship Type="http://schemas.openxmlformats.org/officeDocument/2006/relationships/hyperlink" Id="rId177" Target="https://doi.org/10.1016/j.ijheh.2017.09.013" TargetMode="External" /><Relationship Type="http://schemas.openxmlformats.org/officeDocument/2006/relationships/hyperlink" Id="rId232" Target="https://doi.org/10.1016/j.immuni.2019.02.001" TargetMode="External" /><Relationship Type="http://schemas.openxmlformats.org/officeDocument/2006/relationships/hyperlink" Id="rId253" Target="https://doi.org/10.1016/j.molmed.2016.02.004" TargetMode="External" /><Relationship Type="http://schemas.openxmlformats.org/officeDocument/2006/relationships/hyperlink" Id="rId119" Target="https://doi.org/10.1016/j.rmed.2011.08.022" TargetMode="External" /><Relationship Type="http://schemas.openxmlformats.org/officeDocument/2006/relationships/hyperlink" Id="rId161" Target="https://doi.org/10.1016/j.yrtph.2006.04.007" TargetMode="External" /><Relationship Type="http://schemas.openxmlformats.org/officeDocument/2006/relationships/hyperlink" Id="rId200" Target="https://doi.org/10.1038/mi.2008.5" TargetMode="External" /><Relationship Type="http://schemas.openxmlformats.org/officeDocument/2006/relationships/hyperlink" Id="rId226" Target="https://doi.org/10.1038/nature12807" TargetMode="External" /><Relationship Type="http://schemas.openxmlformats.org/officeDocument/2006/relationships/hyperlink" Id="rId214" Target="https://doi.org/10.1038/ng.2609" TargetMode="External" /><Relationship Type="http://schemas.openxmlformats.org/officeDocument/2006/relationships/hyperlink" Id="rId198" Target="https://doi.org/10.1038/nrc2761" TargetMode="External" /><Relationship Type="http://schemas.openxmlformats.org/officeDocument/2006/relationships/hyperlink" Id="rId228" Target="https://doi.org/10.1038/s41467-018-07768-9" TargetMode="External" /><Relationship Type="http://schemas.openxmlformats.org/officeDocument/2006/relationships/hyperlink" Id="rId239" Target="https://doi.org/10.1038/s41467-019-09381-w" TargetMode="External" /><Relationship Type="http://schemas.openxmlformats.org/officeDocument/2006/relationships/hyperlink" Id="rId194" Target="https://doi.org/10.1038/s41522-018-0057-2" TargetMode="External" /><Relationship Type="http://schemas.openxmlformats.org/officeDocument/2006/relationships/hyperlink" Id="rId257" Target="https://doi.org/10.1038/s41577-019-0165-0" TargetMode="External" /><Relationship Type="http://schemas.openxmlformats.org/officeDocument/2006/relationships/hyperlink" Id="rId130" Target="https://doi.org/10.1038/sj.bjc.6604879" TargetMode="External" /><Relationship Type="http://schemas.openxmlformats.org/officeDocument/2006/relationships/hyperlink" Id="rId272" Target="https://doi.org/10.1056/NEJMoa1013660" TargetMode="External" /><Relationship Type="http://schemas.openxmlformats.org/officeDocument/2006/relationships/hyperlink" Id="rId241" Target="https://doi.org/10.1056/NEJMoa1216076" TargetMode="External" /><Relationship Type="http://schemas.openxmlformats.org/officeDocument/2006/relationships/hyperlink" Id="rId210" Target="https://doi.org/10.1056/NEJMoa1701632" TargetMode="External" /><Relationship Type="http://schemas.openxmlformats.org/officeDocument/2006/relationships/hyperlink" Id="rId206" Target="https://doi.org/10.1056/NEJMra0910061" TargetMode="External" /><Relationship Type="http://schemas.openxmlformats.org/officeDocument/2006/relationships/hyperlink" Id="rId204" Target="https://doi.org/10.1056/NEJMra1813799" TargetMode="External" /><Relationship Type="http://schemas.openxmlformats.org/officeDocument/2006/relationships/hyperlink" Id="rId196" Target="https://doi.org/10.1073/pnas.1713539115" TargetMode="External" /><Relationship Type="http://schemas.openxmlformats.org/officeDocument/2006/relationships/hyperlink" Id="rId93" Target="https://doi.org/10.1080/00039896.1990.9936714" TargetMode="External" /><Relationship Type="http://schemas.openxmlformats.org/officeDocument/2006/relationships/hyperlink" Id="rId189" Target="https://doi.org/10.1080/104732299302530" TargetMode="External" /><Relationship Type="http://schemas.openxmlformats.org/officeDocument/2006/relationships/hyperlink" Id="rId163" Target="https://doi.org/10.1080/10937400601034191" TargetMode="External" /><Relationship Type="http://schemas.openxmlformats.org/officeDocument/2006/relationships/hyperlink" Id="rId187" Target="https://doi.org/10.1093/annhyg/mel006" TargetMode="External" /><Relationship Type="http://schemas.openxmlformats.org/officeDocument/2006/relationships/hyperlink" Id="rId184" Target="https://doi.org/10.1093/annhyg/men059" TargetMode="External" /><Relationship Type="http://schemas.openxmlformats.org/officeDocument/2006/relationships/hyperlink" Id="rId173" Target="https://doi.org/10.1093/annhyg/mev017" TargetMode="External" /><Relationship Type="http://schemas.openxmlformats.org/officeDocument/2006/relationships/hyperlink" Id="rId175" Target="https://doi.org/10.1093/annhyg/mew034" TargetMode="External" /><Relationship Type="http://schemas.openxmlformats.org/officeDocument/2006/relationships/hyperlink" Id="rId105" Target="https://doi.org/10.1093/nar/gkp353" TargetMode="External" /><Relationship Type="http://schemas.openxmlformats.org/officeDocument/2006/relationships/hyperlink" Id="rId270" Target="https://doi.org/10.1093/nar/gkr798" TargetMode="External" /><Relationship Type="http://schemas.openxmlformats.org/officeDocument/2006/relationships/hyperlink" Id="rId171" Target="https://doi.org/10.1097/JOM.0000000000000060" TargetMode="External" /><Relationship Type="http://schemas.openxmlformats.org/officeDocument/2006/relationships/hyperlink" Id="rId103" Target="https://doi.org/10.1097/MCP.0000000000000144" TargetMode="External" /><Relationship Type="http://schemas.openxmlformats.org/officeDocument/2006/relationships/hyperlink" Id="rId251" Target="https://doi.org/10.1126/science.1156995" TargetMode="External" /><Relationship Type="http://schemas.openxmlformats.org/officeDocument/2006/relationships/hyperlink" Id="rId220" Target="https://doi.org/10.1136/annrheumdis-2018-214263" TargetMode="External" /><Relationship Type="http://schemas.openxmlformats.org/officeDocument/2006/relationships/hyperlink" Id="rId192" Target="https://doi.org/10.1136/oem.2009.054585" TargetMode="External" /><Relationship Type="http://schemas.openxmlformats.org/officeDocument/2006/relationships/hyperlink" Id="rId166" Target="https://doi.org/10.1136/oem.2010.055608" TargetMode="External" /><Relationship Type="http://schemas.openxmlformats.org/officeDocument/2006/relationships/hyperlink" Id="rId168" Target="https://doi.org/10.1136/oemed-2011-100556" TargetMode="External" /><Relationship Type="http://schemas.openxmlformats.org/officeDocument/2006/relationships/hyperlink" Id="rId147" Target="https://doi.org/10.1136/oemed-2015-103074" TargetMode="External" /><Relationship Type="http://schemas.openxmlformats.org/officeDocument/2006/relationships/hyperlink" Id="rId150" Target="https://doi.org/10.1136/oemed-2016-103710" TargetMode="External" /><Relationship Type="http://schemas.openxmlformats.org/officeDocument/2006/relationships/hyperlink" Id="rId245" Target="https://doi.org/10.1136/thoraxjnl-2012-202403" TargetMode="External" /><Relationship Type="http://schemas.openxmlformats.org/officeDocument/2006/relationships/hyperlink" Id="rId127" Target="https://doi.org/10.1136/thoraxjnl-2013-203740" TargetMode="External" /><Relationship Type="http://schemas.openxmlformats.org/officeDocument/2006/relationships/hyperlink" Id="rId237" Target="https://doi.org/10.1136/thoraxjnl-2017-211208" TargetMode="External" /><Relationship Type="http://schemas.openxmlformats.org/officeDocument/2006/relationships/hyperlink" Id="rId255" Target="https://doi.org/10.1146/annurev-physiol-021115-105229" TargetMode="External" /><Relationship Type="http://schemas.openxmlformats.org/officeDocument/2006/relationships/hyperlink" Id="rId91" Target="https://doi.org/10.1148/radiol.2293020668" TargetMode="External" /><Relationship Type="http://schemas.openxmlformats.org/officeDocument/2006/relationships/hyperlink" Id="rId216" Target="https://doi.org/10.1152/physrev.00004.2016" TargetMode="External" /><Relationship Type="http://schemas.openxmlformats.org/officeDocument/2006/relationships/hyperlink" Id="rId109" Target="https://doi.org/10.1164/ajrccm.150.3.8087336" TargetMode="External" /><Relationship Type="http://schemas.openxmlformats.org/officeDocument/2006/relationships/hyperlink" Id="rId218" Target="https://doi.org/10.1164/rccm.200504-644OC" TargetMode="External" /><Relationship Type="http://schemas.openxmlformats.org/officeDocument/2006/relationships/hyperlink" Id="rId234" Target="https://doi.org/10.1164/rccm.201403-0541OC" TargetMode="External" /><Relationship Type="http://schemas.openxmlformats.org/officeDocument/2006/relationships/hyperlink" Id="rId230" Target="https://doi.org/10.1164/rccm.201809-1650OC" TargetMode="External" /><Relationship Type="http://schemas.openxmlformats.org/officeDocument/2006/relationships/hyperlink" Id="rId263" Target="https://doi.org/10.1164/rccm.201904-0717ST" TargetMode="External" /><Relationship Type="http://schemas.openxmlformats.org/officeDocument/2006/relationships/hyperlink" Id="rId261" Target="https://doi.org/10.1165/rcmb.2015-0222OC" TargetMode="External" /><Relationship Type="http://schemas.openxmlformats.org/officeDocument/2006/relationships/hyperlink" Id="rId212" Target="https://doi.org/10.1165/rcmb.2017-0046OC" TargetMode="External" /><Relationship Type="http://schemas.openxmlformats.org/officeDocument/2006/relationships/hyperlink" Id="rId208" Target="https://doi.org/10.1165/rcmb.2017-0116ED" TargetMode="External" /><Relationship Type="http://schemas.openxmlformats.org/officeDocument/2006/relationships/hyperlink" Id="rId86" Target="https://doi.org/10.1183/09031936.00077309" TargetMode="External" /><Relationship Type="http://schemas.openxmlformats.org/officeDocument/2006/relationships/hyperlink" Id="rId259" Target="https://doi.org/10.1183/13993003.00564-2015" TargetMode="External" /><Relationship Type="http://schemas.openxmlformats.org/officeDocument/2006/relationships/hyperlink" Id="rId136" Target="https://doi.org/10.1183/13993003.00861-2017" TargetMode="External" /><Relationship Type="http://schemas.openxmlformats.org/officeDocument/2006/relationships/hyperlink" Id="rId249" Target="https://doi.org/10.1183/13993003.01603-2017" TargetMode="External" /><Relationship Type="http://schemas.openxmlformats.org/officeDocument/2006/relationships/hyperlink" Id="rId132" Target="https://doi.org/10.1183/16000617.0040-2015" TargetMode="External" /><Relationship Type="http://schemas.openxmlformats.org/officeDocument/2006/relationships/hyperlink" Id="rId224" Target="https://doi.org/10.1371/journal.pone.0058658" TargetMode="External" /><Relationship Type="http://schemas.openxmlformats.org/officeDocument/2006/relationships/hyperlink" Id="rId202" Target="https://doi.org/10.1513/AnnalsATS.201806-371AW" TargetMode="External" /><Relationship Type="http://schemas.openxmlformats.org/officeDocument/2006/relationships/hyperlink" Id="rId159" Target="https://doi.org/10.3109/10408444.2010.501052" TargetMode="External" /><Relationship Type="http://schemas.openxmlformats.org/officeDocument/2006/relationships/hyperlink" Id="rId139" Target="https://doi.org/10.5271/sjweh.3462" TargetMode="External" /><Relationship Type="http://schemas.openxmlformats.org/officeDocument/2006/relationships/hyperlink" Id="rId124" Target="https://doi.org/10.5588/ijtld.16.0167" TargetMode="External" /><Relationship Type="http://schemas.openxmlformats.org/officeDocument/2006/relationships/hyperlink" Id="rId78" Target="https://github.com/drcjar/ipfjes/" TargetMode="External" /><Relationship Type="http://schemas.openxmlformats.org/officeDocument/2006/relationships/hyperlink" Id="rId76" Target="https://github.com/drcjar/pypf" TargetMode="External" /><Relationship Type="http://schemas.openxmlformats.org/officeDocument/2006/relationships/hyperlink" Id="rId156" Target="https://www.atsdr.cdc.gov/toxprofiles/TP.asp?id=30&amp;tid=4#bookmark16" TargetMode="External" /><Relationship Type="http://schemas.openxmlformats.org/officeDocument/2006/relationships/hyperlink" Id="rId266" Target="https://www.nice.org.uk/guidance/cg16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2019-09-13T12:36:54Z</dcterms:created>
  <dcterms:modified xsi:type="dcterms:W3CDTF">2019-09-13T12:36:54Z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/home/drcjar/Dropbox/Documents/ipfjes-thesis/source/references.bib</vt:lpwstr>
  </property>
  <property fmtid="{D5CDD505-2E9C-101B-9397-08002B2CF9AE}" pid="3" name="csl">
    <vt:lpwstr>/home/drcjar/Dropbox/Documents/ipfjes-thesis/style/ref_format.csl</vt:lpwstr>
  </property>
</Properties>
</file>