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E6F" w:rsidRPr="00DD0F3A" w:rsidRDefault="00E56B49" w:rsidP="001F45C7">
      <w:pPr>
        <w:jc w:val="both"/>
        <w:rPr>
          <w:b/>
        </w:rPr>
      </w:pPr>
      <w:proofErr w:type="gramStart"/>
      <w:r w:rsidRPr="00DD0F3A">
        <w:rPr>
          <w:b/>
        </w:rPr>
        <w:t>Occupational Contribution to Chronic Bronchitis and COPD; an ATS/ERS task force update.</w:t>
      </w:r>
      <w:proofErr w:type="gramEnd"/>
    </w:p>
    <w:p w:rsidR="00AC18E8" w:rsidRDefault="00AC18E8" w:rsidP="00AC18E8">
      <w:pPr>
        <w:jc w:val="both"/>
        <w:rPr>
          <w:b/>
        </w:rPr>
      </w:pPr>
      <w:r>
        <w:rPr>
          <w:b/>
        </w:rPr>
        <w:t>Long</w:t>
      </w:r>
      <w:r>
        <w:rPr>
          <w:b/>
        </w:rPr>
        <w:t xml:space="preserve"> Version 10 Milano, ERS</w:t>
      </w:r>
    </w:p>
    <w:p w:rsidR="00E56B49" w:rsidRPr="00DD0F3A" w:rsidRDefault="00E56B49" w:rsidP="001F45C7">
      <w:pPr>
        <w:spacing w:after="0"/>
        <w:jc w:val="both"/>
      </w:pPr>
      <w:r w:rsidRPr="00DD0F3A">
        <w:t>David Fishwick</w:t>
      </w:r>
      <w:r w:rsidR="00AE5370" w:rsidRPr="00DD0F3A">
        <w:t xml:space="preserve">, </w:t>
      </w:r>
      <w:r w:rsidR="0085792C" w:rsidRPr="00DD0F3A">
        <w:t>Edward Robinson</w:t>
      </w:r>
      <w:r w:rsidR="00AE5370" w:rsidRPr="00DD0F3A">
        <w:t xml:space="preserve">, </w:t>
      </w:r>
      <w:r w:rsidRPr="00DD0F3A">
        <w:t xml:space="preserve">Nicola </w:t>
      </w:r>
      <w:proofErr w:type="spellStart"/>
      <w:r w:rsidRPr="00DD0F3A">
        <w:t>Murgia</w:t>
      </w:r>
      <w:proofErr w:type="spellEnd"/>
      <w:r w:rsidR="00AE5370" w:rsidRPr="00DD0F3A">
        <w:t xml:space="preserve">, </w:t>
      </w:r>
      <w:r w:rsidR="002B45AD" w:rsidRPr="00DD0F3A">
        <w:t xml:space="preserve">David </w:t>
      </w:r>
      <w:proofErr w:type="spellStart"/>
      <w:r w:rsidR="002B45AD" w:rsidRPr="00DD0F3A">
        <w:t>Miedinger</w:t>
      </w:r>
      <w:proofErr w:type="spellEnd"/>
    </w:p>
    <w:p w:rsidR="00AE5370" w:rsidRPr="00DD0F3A" w:rsidRDefault="00AE5370" w:rsidP="001F45C7">
      <w:pPr>
        <w:spacing w:after="0"/>
        <w:jc w:val="both"/>
      </w:pPr>
    </w:p>
    <w:p w:rsidR="00FA3A6A" w:rsidRPr="00DD0F3A" w:rsidRDefault="00DF29BC" w:rsidP="001F45C7">
      <w:pPr>
        <w:jc w:val="both"/>
        <w:rPr>
          <w:b/>
        </w:rPr>
      </w:pPr>
      <w:r w:rsidRPr="00DD0F3A">
        <w:rPr>
          <w:b/>
        </w:rPr>
        <w:t>M</w:t>
      </w:r>
      <w:r w:rsidR="00FA3A6A" w:rsidRPr="00DD0F3A">
        <w:rPr>
          <w:b/>
        </w:rPr>
        <w:t>ethods</w:t>
      </w:r>
    </w:p>
    <w:p w:rsidR="0086090F" w:rsidRPr="00DD0F3A" w:rsidRDefault="004C79A5" w:rsidP="001F45C7">
      <w:pPr>
        <w:jc w:val="both"/>
      </w:pPr>
      <w:r w:rsidRPr="00DD0F3A">
        <w:t>Relevant p</w:t>
      </w:r>
      <w:r w:rsidR="00064766" w:rsidRPr="00DD0F3A">
        <w:t xml:space="preserve">ublications </w:t>
      </w:r>
      <w:r w:rsidRPr="00DD0F3A">
        <w:t xml:space="preserve">from 2001 onwards were </w:t>
      </w:r>
      <w:r w:rsidR="00064766" w:rsidRPr="00DD0F3A">
        <w:t xml:space="preserve">identified by a recent systematic review (Fishwick </w:t>
      </w:r>
      <w:r w:rsidR="00064766" w:rsidRPr="00DD0F3A">
        <w:rPr>
          <w:i/>
        </w:rPr>
        <w:t>et al</w:t>
      </w:r>
      <w:r w:rsidR="0086090F" w:rsidRPr="00DD0F3A">
        <w:t xml:space="preserve">, using MEDLINE, EMBASE, </w:t>
      </w:r>
      <w:proofErr w:type="spellStart"/>
      <w:r w:rsidR="0086090F" w:rsidRPr="00DD0F3A">
        <w:t>Emcare</w:t>
      </w:r>
      <w:proofErr w:type="spellEnd"/>
      <w:r w:rsidR="0086090F" w:rsidRPr="00DD0F3A">
        <w:t xml:space="preserve"> and the British Nursing Index</w:t>
      </w:r>
      <w:r w:rsidR="00064766" w:rsidRPr="00DD0F3A">
        <w:t>)</w:t>
      </w:r>
      <w:r w:rsidR="00150342" w:rsidRPr="00DD0F3A">
        <w:t xml:space="preserve">.  This review was designed to develop a standard of care for clinicians, occupational health professionals, employers and employees for the identification and management of occupational COPD. </w:t>
      </w:r>
      <w:r w:rsidR="002E7A2F" w:rsidRPr="00DD0F3A">
        <w:t xml:space="preserve">In addition, the </w:t>
      </w:r>
      <w:r w:rsidR="00376547" w:rsidRPr="00DD0F3A">
        <w:t>outputs</w:t>
      </w:r>
      <w:r w:rsidR="002E7A2F" w:rsidRPr="00DD0F3A">
        <w:t xml:space="preserve"> of </w:t>
      </w:r>
      <w:r w:rsidR="00150342" w:rsidRPr="00DD0F3A">
        <w:t>five</w:t>
      </w:r>
      <w:r w:rsidR="002E7A2F" w:rsidRPr="00DD0F3A">
        <w:t xml:space="preserve"> </w:t>
      </w:r>
      <w:r w:rsidR="00376547" w:rsidRPr="00DD0F3A">
        <w:t xml:space="preserve">other </w:t>
      </w:r>
      <w:r w:rsidR="00150342" w:rsidRPr="00DD0F3A">
        <w:t xml:space="preserve">systematic reviews (Blanc 2007, Eisner 2010, </w:t>
      </w:r>
      <w:proofErr w:type="spellStart"/>
      <w:r w:rsidR="00150342" w:rsidRPr="00DD0F3A">
        <w:t>Mazitova</w:t>
      </w:r>
      <w:proofErr w:type="spellEnd"/>
      <w:r w:rsidR="00150342" w:rsidRPr="00DD0F3A">
        <w:t xml:space="preserve"> 2010, </w:t>
      </w:r>
      <w:proofErr w:type="spellStart"/>
      <w:r w:rsidR="00150342" w:rsidRPr="00DD0F3A">
        <w:t>Omland</w:t>
      </w:r>
      <w:proofErr w:type="spellEnd"/>
      <w:r w:rsidR="00150342" w:rsidRPr="00DD0F3A">
        <w:t xml:space="preserve"> 2014, </w:t>
      </w:r>
      <w:proofErr w:type="spellStart"/>
      <w:proofErr w:type="gramStart"/>
      <w:r w:rsidR="00150342" w:rsidRPr="00DD0F3A">
        <w:t>Alif</w:t>
      </w:r>
      <w:proofErr w:type="spellEnd"/>
      <w:proofErr w:type="gramEnd"/>
      <w:r w:rsidR="00150342" w:rsidRPr="00DD0F3A">
        <w:t xml:space="preserve"> 2016)</w:t>
      </w:r>
      <w:r w:rsidR="002E7A2F" w:rsidRPr="00DD0F3A">
        <w:t xml:space="preserve"> were used to supplement the included papers from 2001</w:t>
      </w:r>
      <w:r w:rsidRPr="00DD0F3A">
        <w:t xml:space="preserve">. </w:t>
      </w:r>
      <w:r w:rsidR="00376547" w:rsidRPr="00DD0F3A">
        <w:t>It should be noted that the latter only reviewed papers that described the findings of studies where occupational exposure had been attributed using a job exposure matrix (JEM).</w:t>
      </w:r>
    </w:p>
    <w:p w:rsidR="005B4472" w:rsidRPr="00DD0F3A" w:rsidRDefault="002E7A2F" w:rsidP="001F45C7">
      <w:pPr>
        <w:jc w:val="both"/>
      </w:pPr>
      <w:r w:rsidRPr="00DD0F3A">
        <w:t>T</w:t>
      </w:r>
      <w:r w:rsidR="00064766" w:rsidRPr="00DD0F3A">
        <w:t xml:space="preserve">o cover the </w:t>
      </w:r>
      <w:r w:rsidR="00E17D52" w:rsidRPr="00DD0F3A">
        <w:t xml:space="preserve">additional </w:t>
      </w:r>
      <w:r w:rsidR="00064766" w:rsidRPr="00DD0F3A">
        <w:t>period between 2014 and 2016</w:t>
      </w:r>
      <w:r w:rsidR="00E17D52" w:rsidRPr="00DD0F3A">
        <w:t xml:space="preserve"> following that covered by the main reviews</w:t>
      </w:r>
      <w:r w:rsidR="00064766" w:rsidRPr="00DD0F3A">
        <w:t>, an identical search strategy</w:t>
      </w:r>
      <w:r w:rsidRPr="00DD0F3A">
        <w:t xml:space="preserve"> adopted by Fishwick </w:t>
      </w:r>
      <w:r w:rsidR="005B4472" w:rsidRPr="00DD0F3A">
        <w:rPr>
          <w:i/>
        </w:rPr>
        <w:t>et al</w:t>
      </w:r>
      <w:r w:rsidR="005B4472" w:rsidRPr="00DD0F3A">
        <w:t xml:space="preserve"> was adopted</w:t>
      </w:r>
      <w:r w:rsidR="00E17D52" w:rsidRPr="00DD0F3A">
        <w:t xml:space="preserve"> to ensure completeness. </w:t>
      </w:r>
      <w:r w:rsidR="005B4472" w:rsidRPr="00DD0F3A">
        <w:t xml:space="preserve"> </w:t>
      </w:r>
    </w:p>
    <w:p w:rsidR="00235BB7" w:rsidRPr="00DD0F3A" w:rsidRDefault="008A1DEA" w:rsidP="001F45C7">
      <w:pPr>
        <w:jc w:val="both"/>
      </w:pPr>
      <w:r w:rsidRPr="00DD0F3A">
        <w:t xml:space="preserve">Given the </w:t>
      </w:r>
      <w:r w:rsidR="00E17D52" w:rsidRPr="00DD0F3A">
        <w:t>large number of potentially relevant papers, published data were only included from studies that were p</w:t>
      </w:r>
      <w:r w:rsidR="004C79A5" w:rsidRPr="00DD0F3A">
        <w:t>opulation based</w:t>
      </w:r>
      <w:r w:rsidR="00DD7845" w:rsidRPr="00DD0F3A">
        <w:t xml:space="preserve">, </w:t>
      </w:r>
      <w:r w:rsidR="004C79A5" w:rsidRPr="00DD0F3A">
        <w:t xml:space="preserve">rather than </w:t>
      </w:r>
      <w:r w:rsidR="00E17D52" w:rsidRPr="00DD0F3A">
        <w:t xml:space="preserve">studying specific </w:t>
      </w:r>
      <w:r w:rsidR="004C79A5" w:rsidRPr="00DD0F3A">
        <w:t>workplace</w:t>
      </w:r>
      <w:r w:rsidR="00E17D52" w:rsidRPr="00DD0F3A">
        <w:t>s</w:t>
      </w:r>
      <w:r w:rsidR="004C79A5" w:rsidRPr="00DD0F3A">
        <w:t xml:space="preserve"> or</w:t>
      </w:r>
      <w:r w:rsidR="00E17D52" w:rsidRPr="00DD0F3A">
        <w:t xml:space="preserve"> </w:t>
      </w:r>
      <w:r w:rsidR="004C79A5" w:rsidRPr="00DD0F3A">
        <w:t>occupational group</w:t>
      </w:r>
      <w:r w:rsidR="00E17D52" w:rsidRPr="00DD0F3A">
        <w:t>ings</w:t>
      </w:r>
      <w:r w:rsidR="00DD7845" w:rsidRPr="00DD0F3A">
        <w:t xml:space="preserve">, </w:t>
      </w:r>
      <w:r w:rsidR="004C79A5" w:rsidRPr="00DD0F3A">
        <w:t xml:space="preserve">and either calculated a population attributable </w:t>
      </w:r>
      <w:r w:rsidR="006253A9" w:rsidRPr="00DD0F3A">
        <w:t>fraction</w:t>
      </w:r>
      <w:r w:rsidR="004C79A5" w:rsidRPr="00DD0F3A">
        <w:t xml:space="preserve"> (</w:t>
      </w:r>
      <w:r w:rsidR="008C067B" w:rsidRPr="00DD0F3A">
        <w:t>PAF</w:t>
      </w:r>
      <w:r w:rsidR="004C79A5" w:rsidRPr="00DD0F3A">
        <w:t>) for C</w:t>
      </w:r>
      <w:r w:rsidR="00E17D52" w:rsidRPr="00DD0F3A">
        <w:t>hronic Bronchitis (CB)</w:t>
      </w:r>
      <w:r w:rsidR="004C79A5" w:rsidRPr="00DD0F3A">
        <w:t xml:space="preserve"> and / or </w:t>
      </w:r>
      <w:r w:rsidR="00E17D52" w:rsidRPr="00DD0F3A">
        <w:t>for Chronic obstructive Pulmonary Disease (</w:t>
      </w:r>
      <w:r w:rsidR="004C79A5" w:rsidRPr="00DD0F3A">
        <w:t>COPD</w:t>
      </w:r>
      <w:r w:rsidR="00E17D52" w:rsidRPr="00DD0F3A">
        <w:t>)</w:t>
      </w:r>
      <w:r w:rsidR="004C79A5" w:rsidRPr="00DD0F3A">
        <w:t>, or data were available to allow this calculation</w:t>
      </w:r>
      <w:r w:rsidR="00E17D52" w:rsidRPr="00DD0F3A">
        <w:t xml:space="preserve"> to be carried out</w:t>
      </w:r>
      <w:r w:rsidR="004C79A5" w:rsidRPr="00DD0F3A">
        <w:t>. Where necessary, further information</w:t>
      </w:r>
      <w:r w:rsidR="00DF2333">
        <w:t xml:space="preserve"> and original raw data</w:t>
      </w:r>
      <w:r w:rsidR="004C79A5" w:rsidRPr="00DD0F3A">
        <w:t xml:space="preserve"> was sourced from the authors, in order to allow calculation of a </w:t>
      </w:r>
      <w:r w:rsidR="008C067B" w:rsidRPr="00DD0F3A">
        <w:t>PAF</w:t>
      </w:r>
      <w:r w:rsidR="004C79A5" w:rsidRPr="00DD0F3A">
        <w:t xml:space="preserve">. </w:t>
      </w:r>
      <w:r w:rsidR="00CA0480" w:rsidRPr="00DD0F3A">
        <w:t xml:space="preserve">If this was required, this </w:t>
      </w:r>
      <w:r w:rsidR="00E17D52" w:rsidRPr="00DD0F3A">
        <w:t>was</w:t>
      </w:r>
      <w:r w:rsidR="00CA0480" w:rsidRPr="00DD0F3A">
        <w:t xml:space="preserve"> </w:t>
      </w:r>
      <w:r w:rsidR="00E17D52" w:rsidRPr="00DD0F3A">
        <w:t>noted</w:t>
      </w:r>
      <w:r w:rsidR="00CA0480" w:rsidRPr="00DD0F3A">
        <w:t xml:space="preserve"> in the </w:t>
      </w:r>
      <w:r w:rsidR="00E17D52" w:rsidRPr="00DD0F3A">
        <w:t xml:space="preserve">relevant </w:t>
      </w:r>
      <w:r w:rsidR="00CA0480" w:rsidRPr="00DD0F3A">
        <w:t xml:space="preserve">results table. </w:t>
      </w:r>
    </w:p>
    <w:p w:rsidR="004C79A5" w:rsidRPr="00DD0F3A" w:rsidRDefault="00E17D52" w:rsidP="001F45C7">
      <w:pPr>
        <w:jc w:val="both"/>
      </w:pPr>
      <w:r w:rsidRPr="00DD0F3A">
        <w:t>Additionally, w</w:t>
      </w:r>
      <w:r w:rsidR="004E50C3" w:rsidRPr="00DD0F3A">
        <w:t xml:space="preserve">here varying definitions of COPD were used, </w:t>
      </w:r>
      <w:r w:rsidR="00DF2333">
        <w:t>that</w:t>
      </w:r>
      <w:r w:rsidR="004E50C3" w:rsidRPr="00DD0F3A">
        <w:t xml:space="preserve"> based on a lower limit of normal (LLN)</w:t>
      </w:r>
      <w:r w:rsidR="00235BB7" w:rsidRPr="00DD0F3A">
        <w:t xml:space="preserve"> for physiology measures</w:t>
      </w:r>
      <w:r w:rsidR="004E50C3" w:rsidRPr="00DD0F3A">
        <w:t xml:space="preserve"> was used</w:t>
      </w:r>
      <w:r w:rsidR="00235BB7" w:rsidRPr="00DD0F3A">
        <w:t xml:space="preserve"> preferentially</w:t>
      </w:r>
      <w:r w:rsidR="004E50C3" w:rsidRPr="00DD0F3A">
        <w:t>. Similarly, w</w:t>
      </w:r>
      <w:r w:rsidR="008A1DEA" w:rsidRPr="00DD0F3A">
        <w:t>h</w:t>
      </w:r>
      <w:r w:rsidR="004E50C3" w:rsidRPr="00DD0F3A">
        <w:t xml:space="preserve">ere lung function was used to define COPD, it has been made clear </w:t>
      </w:r>
      <w:r w:rsidRPr="00DD0F3A">
        <w:t xml:space="preserve">in the relevant results table </w:t>
      </w:r>
      <w:r w:rsidR="004E50C3" w:rsidRPr="00DD0F3A">
        <w:t>where bronchodilators were used</w:t>
      </w:r>
      <w:r w:rsidRPr="00DD0F3A">
        <w:t>;</w:t>
      </w:r>
      <w:r w:rsidR="008A1DEA" w:rsidRPr="00DD0F3A">
        <w:t xml:space="preserve"> if this information was available</w:t>
      </w:r>
      <w:r w:rsidR="004E50C3" w:rsidRPr="00DD0F3A">
        <w:t xml:space="preserve">. </w:t>
      </w:r>
    </w:p>
    <w:p w:rsidR="004C79A5" w:rsidRPr="00DD0F3A" w:rsidRDefault="008C067B" w:rsidP="001F45C7">
      <w:pPr>
        <w:jc w:val="both"/>
      </w:pPr>
      <w:r w:rsidRPr="00DD0F3A">
        <w:t>PAF</w:t>
      </w:r>
      <w:r w:rsidR="004C79A5" w:rsidRPr="00DD0F3A">
        <w:t xml:space="preserve"> estimates were deemed </w:t>
      </w:r>
      <w:r w:rsidR="00235BB7" w:rsidRPr="00DD0F3A">
        <w:t xml:space="preserve">statistically </w:t>
      </w:r>
      <w:r w:rsidR="004C79A5" w:rsidRPr="00DD0F3A">
        <w:t xml:space="preserve">significant if either </w:t>
      </w:r>
      <w:r w:rsidR="00E17D52" w:rsidRPr="00DD0F3A">
        <w:t>(</w:t>
      </w:r>
      <w:proofErr w:type="spellStart"/>
      <w:r w:rsidR="00E17D52" w:rsidRPr="00DD0F3A">
        <w:t>i</w:t>
      </w:r>
      <w:proofErr w:type="spellEnd"/>
      <w:r w:rsidR="00E17D52" w:rsidRPr="00DD0F3A">
        <w:t xml:space="preserve">) </w:t>
      </w:r>
      <w:r w:rsidR="004C79A5" w:rsidRPr="00DD0F3A">
        <w:t>the</w:t>
      </w:r>
      <w:r w:rsidR="008A1DEA" w:rsidRPr="00DD0F3A">
        <w:t>ir</w:t>
      </w:r>
      <w:r w:rsidR="004C79A5" w:rsidRPr="00DD0F3A">
        <w:t xml:space="preserve"> confidence limit did not include zero, or </w:t>
      </w:r>
      <w:r w:rsidR="00E17D52" w:rsidRPr="00DD0F3A">
        <w:t xml:space="preserve">(ii) </w:t>
      </w:r>
      <w:r w:rsidR="004C79A5" w:rsidRPr="00DD0F3A">
        <w:t xml:space="preserve">the associated </w:t>
      </w:r>
      <w:r w:rsidR="00235BB7" w:rsidRPr="00DD0F3A">
        <w:t xml:space="preserve">95% </w:t>
      </w:r>
      <w:r w:rsidR="004C79A5" w:rsidRPr="00DD0F3A">
        <w:t xml:space="preserve">confidence limit of the odds ratio (OR) </w:t>
      </w:r>
      <w:r w:rsidR="00235BB7" w:rsidRPr="00DD0F3A">
        <w:t>(</w:t>
      </w:r>
      <w:r w:rsidR="004C79A5" w:rsidRPr="00DD0F3A">
        <w:t>or relative risk (RR)</w:t>
      </w:r>
      <w:r w:rsidR="00235BB7" w:rsidRPr="00DD0F3A">
        <w:t>)</w:t>
      </w:r>
      <w:r w:rsidR="004C79A5" w:rsidRPr="00DD0F3A">
        <w:t xml:space="preserve"> did not </w:t>
      </w:r>
      <w:r w:rsidR="00235BB7" w:rsidRPr="00DD0F3A">
        <w:t>include</w:t>
      </w:r>
      <w:r w:rsidR="004C79A5" w:rsidRPr="00DD0F3A">
        <w:t xml:space="preserve"> unity. </w:t>
      </w:r>
    </w:p>
    <w:p w:rsidR="00FA3A6A" w:rsidRPr="00DD0F3A" w:rsidRDefault="00FA3A6A" w:rsidP="001F45C7">
      <w:pPr>
        <w:jc w:val="both"/>
        <w:rPr>
          <w:b/>
        </w:rPr>
      </w:pPr>
      <w:r w:rsidRPr="00DD0F3A">
        <w:rPr>
          <w:b/>
        </w:rPr>
        <w:t>Results</w:t>
      </w:r>
    </w:p>
    <w:p w:rsidR="008C067B" w:rsidRPr="00DD0F3A" w:rsidRDefault="008C067B" w:rsidP="008C067B">
      <w:pPr>
        <w:jc w:val="both"/>
      </w:pPr>
      <w:r w:rsidRPr="00DD0F3A">
        <w:t>The six reviews identified 33 papers for inclusion. The additional literature search from 2014 to 2016 identified a further 11 papers</w:t>
      </w:r>
      <w:r w:rsidR="006253A9" w:rsidRPr="00DD0F3A">
        <w:t xml:space="preserve"> for inclusion (two for CB and 9 for COPD). </w:t>
      </w:r>
      <w:r w:rsidR="005640A7" w:rsidRPr="00DD0F3A">
        <w:t>Of the 44 papers in total, 32</w:t>
      </w:r>
      <w:r w:rsidRPr="00DD0F3A">
        <w:t xml:space="preserve"> were included in the COPD table, and 13 in the chronic bronchitis (CB) table.  </w:t>
      </w:r>
    </w:p>
    <w:p w:rsidR="0006491D" w:rsidRPr="00DD0F3A" w:rsidRDefault="004C79A5" w:rsidP="001F45C7">
      <w:pPr>
        <w:jc w:val="both"/>
      </w:pPr>
      <w:r w:rsidRPr="00DD0F3A">
        <w:t xml:space="preserve">Table 1 </w:t>
      </w:r>
      <w:r w:rsidR="00FB3B03" w:rsidRPr="00DD0F3A">
        <w:t>summarises</w:t>
      </w:r>
      <w:r w:rsidRPr="00DD0F3A">
        <w:t xml:space="preserve"> the </w:t>
      </w:r>
      <w:r w:rsidR="005640A7" w:rsidRPr="00DD0F3A">
        <w:t>32</w:t>
      </w:r>
      <w:r w:rsidR="006253A9" w:rsidRPr="00DD0F3A">
        <w:t xml:space="preserve"> </w:t>
      </w:r>
      <w:r w:rsidRPr="00DD0F3A">
        <w:t xml:space="preserve">studies included for </w:t>
      </w:r>
      <w:r w:rsidR="00FA3A6A" w:rsidRPr="00DD0F3A">
        <w:t>COPD</w:t>
      </w:r>
      <w:r w:rsidR="006D1577" w:rsidRPr="00DD0F3A">
        <w:t xml:space="preserve">. </w:t>
      </w:r>
      <w:r w:rsidR="0033155C" w:rsidRPr="00DD0F3A">
        <w:t>These</w:t>
      </w:r>
      <w:r w:rsidR="003A368D" w:rsidRPr="00DD0F3A">
        <w:t xml:space="preserve"> </w:t>
      </w:r>
      <w:r w:rsidR="006D1577" w:rsidRPr="00DD0F3A">
        <w:t xml:space="preserve">were </w:t>
      </w:r>
      <w:r w:rsidR="00FB3B03" w:rsidRPr="00DD0F3A">
        <w:t>heterogeneous</w:t>
      </w:r>
      <w:r w:rsidR="006253A9" w:rsidRPr="00DD0F3A">
        <w:t xml:space="preserve">. For example, studies dealt with </w:t>
      </w:r>
      <w:r w:rsidR="006D1577" w:rsidRPr="00DD0F3A">
        <w:t xml:space="preserve">both never smoking and mixed smoking populations, </w:t>
      </w:r>
      <w:r w:rsidR="006253A9" w:rsidRPr="00DD0F3A">
        <w:t xml:space="preserve">used varying definitions of COPD, and also employing differing physiology assessment protocols both with and without bronchodilator. </w:t>
      </w:r>
    </w:p>
    <w:p w:rsidR="0006491D" w:rsidRPr="00DD0F3A" w:rsidRDefault="0006491D" w:rsidP="007E25BF">
      <w:pPr>
        <w:jc w:val="both"/>
      </w:pPr>
      <w:r w:rsidRPr="00DD0F3A">
        <w:lastRenderedPageBreak/>
        <w:t xml:space="preserve">Limiting the analysis to only the </w:t>
      </w:r>
      <w:r w:rsidR="005640A7" w:rsidRPr="00DD0F3A">
        <w:t>24 statistically</w:t>
      </w:r>
      <w:r w:rsidRPr="00DD0F3A">
        <w:t xml:space="preserve"> significant </w:t>
      </w:r>
      <w:r w:rsidR="005640A7" w:rsidRPr="00DD0F3A">
        <w:t>COPD</w:t>
      </w:r>
      <w:r w:rsidRPr="00DD0F3A">
        <w:t xml:space="preserve"> studies, the median PAF for occupational contribut</w:t>
      </w:r>
      <w:r w:rsidR="005640A7" w:rsidRPr="00DD0F3A">
        <w:t xml:space="preserve">ion to the burden of </w:t>
      </w:r>
      <w:r w:rsidR="0032702E" w:rsidRPr="00DD0F3A">
        <w:t>COPD</w:t>
      </w:r>
      <w:r w:rsidR="005640A7" w:rsidRPr="00DD0F3A">
        <w:t xml:space="preserve"> was </w:t>
      </w:r>
      <w:r w:rsidR="0032702E" w:rsidRPr="00DD0F3A">
        <w:t>21.1</w:t>
      </w:r>
      <w:r w:rsidRPr="00DD0F3A">
        <w:t xml:space="preserve">% (range 4% to </w:t>
      </w:r>
      <w:r w:rsidR="0032702E" w:rsidRPr="00DD0F3A">
        <w:t>65.3</w:t>
      </w:r>
      <w:r w:rsidRPr="00DD0F3A">
        <w:t xml:space="preserve">%). If all </w:t>
      </w:r>
      <w:r w:rsidR="0032702E" w:rsidRPr="00DD0F3A">
        <w:t xml:space="preserve">32 </w:t>
      </w:r>
      <w:r w:rsidRPr="00DD0F3A">
        <w:t xml:space="preserve">studies were considered irrespective of significance, the median PAF was identified to be </w:t>
      </w:r>
      <w:r w:rsidR="0032702E" w:rsidRPr="00DD0F3A">
        <w:t>16.2</w:t>
      </w:r>
      <w:r w:rsidRPr="00DD0F3A">
        <w:t xml:space="preserve">% (range </w:t>
      </w:r>
      <w:r w:rsidR="0032702E" w:rsidRPr="00DD0F3A">
        <w:t>0</w:t>
      </w:r>
      <w:r w:rsidRPr="00DD0F3A">
        <w:t xml:space="preserve">% to </w:t>
      </w:r>
      <w:r w:rsidR="0032702E" w:rsidRPr="00DD0F3A">
        <w:t>65.3</w:t>
      </w:r>
      <w:r w:rsidRPr="00DD0F3A">
        <w:t xml:space="preserve">%). </w:t>
      </w:r>
      <w:r w:rsidR="007E25BF" w:rsidRPr="00DD0F3A">
        <w:t>Three studies</w:t>
      </w:r>
      <w:r w:rsidRPr="00DD0F3A">
        <w:t xml:space="preserve"> assessed the PAF</w:t>
      </w:r>
      <w:r w:rsidR="007E25BF" w:rsidRPr="00DD0F3A">
        <w:t>s</w:t>
      </w:r>
      <w:r w:rsidRPr="00DD0F3A">
        <w:t xml:space="preserve"> (</w:t>
      </w:r>
      <w:r w:rsidR="007E25BF" w:rsidRPr="00DD0F3A">
        <w:t>respectively 18.3, 48 and 53%</w:t>
      </w:r>
      <w:r w:rsidRPr="00DD0F3A">
        <w:t xml:space="preserve">) </w:t>
      </w:r>
      <w:r w:rsidR="007E25BF" w:rsidRPr="00DD0F3A">
        <w:t xml:space="preserve">specifically in non-smokers [Lee 2015, </w:t>
      </w:r>
      <w:proofErr w:type="spellStart"/>
      <w:r w:rsidR="007E25BF" w:rsidRPr="00DD0F3A">
        <w:t>Wurtz</w:t>
      </w:r>
      <w:proofErr w:type="spellEnd"/>
      <w:r w:rsidR="007E25BF" w:rsidRPr="00DD0F3A">
        <w:t xml:space="preserve"> 2015 and </w:t>
      </w:r>
      <w:proofErr w:type="spellStart"/>
      <w:r w:rsidR="007E25BF" w:rsidRPr="00DD0F3A">
        <w:t>Toren</w:t>
      </w:r>
      <w:proofErr w:type="spellEnd"/>
      <w:r w:rsidR="007E25BF" w:rsidRPr="00DD0F3A">
        <w:t xml:space="preserve"> 2014</w:t>
      </w:r>
      <w:r w:rsidRPr="00DD0F3A">
        <w:t xml:space="preserve">]. Similarly, only </w:t>
      </w:r>
      <w:r w:rsidR="007E25BF" w:rsidRPr="00DD0F3A">
        <w:t>two</w:t>
      </w:r>
      <w:r w:rsidRPr="00DD0F3A">
        <w:t xml:space="preserve"> stud</w:t>
      </w:r>
      <w:r w:rsidR="007E25BF" w:rsidRPr="00DD0F3A">
        <w:t>ies calculated separate PAFs for</w:t>
      </w:r>
      <w:r w:rsidRPr="00DD0F3A">
        <w:t xml:space="preserve"> </w:t>
      </w:r>
      <w:r w:rsidR="007E25BF" w:rsidRPr="00DD0F3A">
        <w:t xml:space="preserve">each gender. </w:t>
      </w:r>
      <w:r w:rsidRPr="00DD0F3A">
        <w:t xml:space="preserve"> </w:t>
      </w:r>
      <w:r w:rsidR="008F1731" w:rsidRPr="00DD0F3A">
        <w:t>The significant of these two identified a PAF of 18.7% for males and 8% for females</w:t>
      </w:r>
      <w:r w:rsidR="00DF2333">
        <w:t xml:space="preserve"> [Hutchins 2017]</w:t>
      </w:r>
      <w:r w:rsidR="008F1731" w:rsidRPr="00DD0F3A">
        <w:t xml:space="preserve">. </w:t>
      </w:r>
      <w:r w:rsidRPr="00DD0F3A">
        <w:t xml:space="preserve"> </w:t>
      </w:r>
    </w:p>
    <w:p w:rsidR="004058BA" w:rsidRPr="00DD0F3A" w:rsidRDefault="004058BA" w:rsidP="004058BA">
      <w:pPr>
        <w:pStyle w:val="NormalWeb"/>
        <w:shd w:val="clear" w:color="auto" w:fill="FFFFFF"/>
        <w:spacing w:before="0" w:beforeAutospacing="0" w:after="0" w:afterAutospacing="0" w:line="276" w:lineRule="auto"/>
        <w:jc w:val="both"/>
        <w:rPr>
          <w:rFonts w:asciiTheme="minorHAnsi" w:hAnsiTheme="minorHAnsi"/>
          <w:sz w:val="22"/>
          <w:szCs w:val="22"/>
        </w:rPr>
      </w:pPr>
      <w:r w:rsidRPr="00DD0F3A">
        <w:rPr>
          <w:rFonts w:asciiTheme="minorHAnsi" w:hAnsiTheme="minorHAnsi"/>
          <w:sz w:val="22"/>
          <w:szCs w:val="22"/>
        </w:rPr>
        <w:t xml:space="preserve">There were only </w:t>
      </w:r>
      <w:r w:rsidR="008F1731" w:rsidRPr="00DD0F3A">
        <w:rPr>
          <w:rFonts w:asciiTheme="minorHAnsi" w:hAnsiTheme="minorHAnsi"/>
          <w:sz w:val="22"/>
          <w:szCs w:val="22"/>
        </w:rPr>
        <w:t>7</w:t>
      </w:r>
      <w:r w:rsidRPr="00DD0F3A">
        <w:rPr>
          <w:rFonts w:asciiTheme="minorHAnsi" w:hAnsiTheme="minorHAnsi"/>
          <w:sz w:val="22"/>
          <w:szCs w:val="22"/>
        </w:rPr>
        <w:t xml:space="preserve"> studies that </w:t>
      </w:r>
      <w:r w:rsidR="008F1731" w:rsidRPr="00DD0F3A">
        <w:rPr>
          <w:rFonts w:asciiTheme="minorHAnsi" w:hAnsiTheme="minorHAnsi"/>
          <w:sz w:val="22"/>
          <w:szCs w:val="22"/>
        </w:rPr>
        <w:t xml:space="preserve">clearly </w:t>
      </w:r>
      <w:r w:rsidRPr="00DD0F3A">
        <w:rPr>
          <w:rFonts w:asciiTheme="minorHAnsi" w:hAnsiTheme="minorHAnsi"/>
          <w:sz w:val="22"/>
          <w:szCs w:val="22"/>
        </w:rPr>
        <w:t>used post bronchodilator lung function as an outcome</w:t>
      </w:r>
      <w:r w:rsidR="008F1731" w:rsidRPr="00DD0F3A">
        <w:rPr>
          <w:rFonts w:asciiTheme="minorHAnsi" w:hAnsiTheme="minorHAnsi"/>
          <w:sz w:val="22"/>
          <w:szCs w:val="22"/>
        </w:rPr>
        <w:t xml:space="preserve">. </w:t>
      </w:r>
      <w:r w:rsidRPr="00DD0F3A">
        <w:rPr>
          <w:rFonts w:asciiTheme="minorHAnsi" w:hAnsiTheme="minorHAnsi"/>
          <w:sz w:val="22"/>
          <w:szCs w:val="22"/>
        </w:rPr>
        <w:t xml:space="preserve">If only these were considered, a median </w:t>
      </w:r>
      <w:r w:rsidR="008C067B" w:rsidRPr="00DD0F3A">
        <w:rPr>
          <w:rFonts w:asciiTheme="minorHAnsi" w:hAnsiTheme="minorHAnsi"/>
          <w:sz w:val="22"/>
          <w:szCs w:val="22"/>
        </w:rPr>
        <w:t>PAF</w:t>
      </w:r>
      <w:r w:rsidRPr="00DD0F3A">
        <w:rPr>
          <w:rFonts w:asciiTheme="minorHAnsi" w:hAnsiTheme="minorHAnsi"/>
          <w:sz w:val="22"/>
          <w:szCs w:val="22"/>
        </w:rPr>
        <w:t xml:space="preserve"> of </w:t>
      </w:r>
      <w:r w:rsidR="008F1731" w:rsidRPr="00DD0F3A">
        <w:rPr>
          <w:rFonts w:asciiTheme="minorHAnsi" w:hAnsiTheme="minorHAnsi"/>
          <w:sz w:val="22"/>
          <w:szCs w:val="22"/>
        </w:rPr>
        <w:t>9</w:t>
      </w:r>
      <w:r w:rsidR="00DF2333">
        <w:rPr>
          <w:rFonts w:asciiTheme="minorHAnsi" w:hAnsiTheme="minorHAnsi"/>
          <w:sz w:val="22"/>
          <w:szCs w:val="22"/>
        </w:rPr>
        <w:t>%</w:t>
      </w:r>
      <w:r w:rsidRPr="00DD0F3A">
        <w:rPr>
          <w:rFonts w:asciiTheme="minorHAnsi" w:hAnsiTheme="minorHAnsi"/>
          <w:sz w:val="22"/>
          <w:szCs w:val="22"/>
        </w:rPr>
        <w:t xml:space="preserve"> was identified</w:t>
      </w:r>
      <w:r w:rsidR="008F1731" w:rsidRPr="00DD0F3A">
        <w:rPr>
          <w:rFonts w:asciiTheme="minorHAnsi" w:hAnsiTheme="minorHAnsi"/>
          <w:sz w:val="22"/>
          <w:szCs w:val="22"/>
        </w:rPr>
        <w:t>, with a range between 4 and 65.3%</w:t>
      </w:r>
      <w:r w:rsidRPr="00DD0F3A">
        <w:rPr>
          <w:rFonts w:asciiTheme="minorHAnsi" w:hAnsiTheme="minorHAnsi"/>
          <w:sz w:val="22"/>
          <w:szCs w:val="22"/>
        </w:rPr>
        <w:t>.</w:t>
      </w:r>
    </w:p>
    <w:p w:rsidR="004058BA" w:rsidRPr="00DD0F3A" w:rsidRDefault="004058BA" w:rsidP="004058BA">
      <w:pPr>
        <w:pStyle w:val="NormalWeb"/>
        <w:shd w:val="clear" w:color="auto" w:fill="FFFFFF"/>
        <w:spacing w:before="0" w:beforeAutospacing="0" w:after="0" w:afterAutospacing="0" w:line="276" w:lineRule="auto"/>
        <w:jc w:val="both"/>
        <w:rPr>
          <w:rFonts w:asciiTheme="minorHAnsi" w:hAnsiTheme="minorHAnsi"/>
          <w:sz w:val="22"/>
          <w:szCs w:val="22"/>
        </w:rPr>
      </w:pPr>
    </w:p>
    <w:p w:rsidR="0006491D" w:rsidRPr="00DD0F3A" w:rsidRDefault="006D1577" w:rsidP="001F45C7">
      <w:pPr>
        <w:jc w:val="both"/>
      </w:pPr>
      <w:r w:rsidRPr="00DD0F3A">
        <w:t>Table 2</w:t>
      </w:r>
      <w:r w:rsidR="00FB3B03" w:rsidRPr="00DD0F3A">
        <w:t xml:space="preserve"> summaries the </w:t>
      </w:r>
      <w:r w:rsidR="009D4D5F" w:rsidRPr="00DD0F3A">
        <w:t xml:space="preserve">13 </w:t>
      </w:r>
      <w:r w:rsidR="00FB3B03" w:rsidRPr="00DD0F3A">
        <w:t xml:space="preserve">studies included for CB. Again, these </w:t>
      </w:r>
      <w:r w:rsidR="00F75BBE" w:rsidRPr="00DD0F3A">
        <w:t xml:space="preserve">studies </w:t>
      </w:r>
      <w:r w:rsidR="00FB3B03" w:rsidRPr="00DD0F3A">
        <w:t>were heterogeneous</w:t>
      </w:r>
      <w:r w:rsidR="004058BA" w:rsidRPr="00DD0F3A">
        <w:t>. C</w:t>
      </w:r>
      <w:r w:rsidR="00FB3B03" w:rsidRPr="00DD0F3A">
        <w:t xml:space="preserve">ertain considered the occupational contribution to </w:t>
      </w:r>
      <w:r w:rsidR="00F75BBE" w:rsidRPr="00DD0F3A">
        <w:t>CB</w:t>
      </w:r>
      <w:r w:rsidR="00FB3B03" w:rsidRPr="00DD0F3A">
        <w:t xml:space="preserve"> as the main research question, whereas others dealt with both COPD and CB and are thus included in both Tables 1 and 2. </w:t>
      </w:r>
      <w:proofErr w:type="gramStart"/>
      <w:r w:rsidR="006D0587" w:rsidRPr="00DD0F3A">
        <w:t>Five of the 13 studies specifically made mention of the use of a JEM to attribute occupational exposures.</w:t>
      </w:r>
      <w:proofErr w:type="gramEnd"/>
    </w:p>
    <w:p w:rsidR="00FB3B03" w:rsidRPr="00DD0F3A" w:rsidRDefault="00FB3B03" w:rsidP="001F45C7">
      <w:pPr>
        <w:jc w:val="both"/>
      </w:pPr>
      <w:r w:rsidRPr="00DD0F3A">
        <w:t xml:space="preserve">Limiting the analysis to only the </w:t>
      </w:r>
      <w:r w:rsidR="009D4D5F" w:rsidRPr="00DD0F3A">
        <w:t>10</w:t>
      </w:r>
      <w:r w:rsidRPr="00DD0F3A">
        <w:t xml:space="preserve"> significant </w:t>
      </w:r>
      <w:r w:rsidR="0006491D" w:rsidRPr="00DD0F3A">
        <w:t xml:space="preserve">CB </w:t>
      </w:r>
      <w:r w:rsidRPr="00DD0F3A">
        <w:t xml:space="preserve">studies, the median </w:t>
      </w:r>
      <w:r w:rsidR="008C067B" w:rsidRPr="00DD0F3A">
        <w:t>PAF</w:t>
      </w:r>
      <w:r w:rsidRPr="00DD0F3A">
        <w:t xml:space="preserve"> for occupational contribution to the burden of CB was </w:t>
      </w:r>
      <w:r w:rsidR="009D4D5F" w:rsidRPr="00DD0F3A">
        <w:t>15.5</w:t>
      </w:r>
      <w:r w:rsidRPr="00DD0F3A">
        <w:t>% (range 4% to 56.8%). If all studies were considered</w:t>
      </w:r>
      <w:r w:rsidR="004B05DF" w:rsidRPr="00DD0F3A">
        <w:t xml:space="preserve"> irrespective of significance</w:t>
      </w:r>
      <w:r w:rsidRPr="00DD0F3A">
        <w:t xml:space="preserve">, the median </w:t>
      </w:r>
      <w:r w:rsidR="008C067B" w:rsidRPr="00DD0F3A">
        <w:t>PAF</w:t>
      </w:r>
      <w:r w:rsidRPr="00DD0F3A">
        <w:t xml:space="preserve"> was identified to be 15% (range 0</w:t>
      </w:r>
      <w:r w:rsidR="009D4D5F" w:rsidRPr="00DD0F3A">
        <w:t>.19</w:t>
      </w:r>
      <w:r w:rsidRPr="00DD0F3A">
        <w:t>% to 56.8%).</w:t>
      </w:r>
      <w:r w:rsidR="00DD1942" w:rsidRPr="00DD0F3A">
        <w:t xml:space="preserve"> Only one study assessed the PAF (12%, not significant) in non-smokers [Zock 2001]. Similarly, only one study identified a difference between genders and CB PAF values, with a higher PAF for males (18% versus 2.8%).  </w:t>
      </w:r>
    </w:p>
    <w:p w:rsidR="00B704DE" w:rsidRPr="00DD0F3A" w:rsidRDefault="00D95302" w:rsidP="00B704DE">
      <w:pPr>
        <w:jc w:val="both"/>
      </w:pPr>
      <w:r w:rsidRPr="00DD0F3A">
        <w:t>Other papers</w:t>
      </w:r>
      <w:r w:rsidR="00A70120" w:rsidRPr="00DD0F3A">
        <w:t xml:space="preserve"> felt to be of importance, but not included in the main CB and COPD tables, </w:t>
      </w:r>
      <w:r w:rsidR="00D23996" w:rsidRPr="00DD0F3A">
        <w:t xml:space="preserve">were </w:t>
      </w:r>
      <w:r w:rsidRPr="00DD0F3A">
        <w:t>identified</w:t>
      </w:r>
      <w:r w:rsidR="00A70120" w:rsidRPr="00DD0F3A">
        <w:t xml:space="preserve">. </w:t>
      </w:r>
      <w:proofErr w:type="spellStart"/>
      <w:r w:rsidRPr="00DD0F3A">
        <w:t>Harber</w:t>
      </w:r>
      <w:proofErr w:type="spellEnd"/>
      <w:r w:rsidRPr="00DD0F3A">
        <w:t xml:space="preserve"> </w:t>
      </w:r>
      <w:r w:rsidRPr="00DD0F3A">
        <w:rPr>
          <w:i/>
        </w:rPr>
        <w:t>et al</w:t>
      </w:r>
      <w:r w:rsidRPr="00DD0F3A">
        <w:t xml:space="preserve"> described an accelerated annual decline in FEV</w:t>
      </w:r>
      <w:r w:rsidRPr="00DD0F3A">
        <w:rPr>
          <w:vertAlign w:val="subscript"/>
        </w:rPr>
        <w:t>1</w:t>
      </w:r>
      <w:r w:rsidRPr="00DD0F3A">
        <w:t xml:space="preserve"> in </w:t>
      </w:r>
      <w:r w:rsidR="00CA0480" w:rsidRPr="00DD0F3A">
        <w:t xml:space="preserve">males with early </w:t>
      </w:r>
      <w:r w:rsidRPr="00DD0F3A">
        <w:t xml:space="preserve">COPD exposed </w:t>
      </w:r>
      <w:r w:rsidR="00CA0480" w:rsidRPr="00DD0F3A">
        <w:t xml:space="preserve">specifically </w:t>
      </w:r>
      <w:r w:rsidRPr="00DD0F3A">
        <w:t>to fume</w:t>
      </w:r>
      <w:r w:rsidR="00A70120" w:rsidRPr="00DD0F3A">
        <w:t xml:space="preserve">. This longitudinal study estimated that each year of fume exposure was associated with </w:t>
      </w:r>
      <w:r w:rsidR="00CA0480" w:rsidRPr="00DD0F3A">
        <w:t>a 0.25% predicted reduction in post-bronchodilator FEV</w:t>
      </w:r>
      <w:r w:rsidR="00CA0480" w:rsidRPr="00DD0F3A">
        <w:rPr>
          <w:vertAlign w:val="subscript"/>
        </w:rPr>
        <w:t>1</w:t>
      </w:r>
      <w:r w:rsidR="00CA0480" w:rsidRPr="00DD0F3A">
        <w:t xml:space="preserve">. </w:t>
      </w:r>
      <w:r w:rsidR="00A70120" w:rsidRPr="00DD0F3A">
        <w:t>These effects were not seen in females, and no exposure response effects were seen for dust.</w:t>
      </w:r>
      <w:r w:rsidR="002866AB" w:rsidRPr="00DD0F3A">
        <w:t xml:space="preserve"> </w:t>
      </w:r>
      <w:r w:rsidR="00A70120" w:rsidRPr="00DD0F3A">
        <w:t xml:space="preserve">Equally, </w:t>
      </w:r>
      <w:r w:rsidR="00CA0480" w:rsidRPr="00DD0F3A">
        <w:t>B</w:t>
      </w:r>
      <w:r w:rsidR="004058BA" w:rsidRPr="00DD0F3A">
        <w:t xml:space="preserve">lanc </w:t>
      </w:r>
      <w:r w:rsidR="004058BA" w:rsidRPr="00DD0F3A">
        <w:rPr>
          <w:i/>
        </w:rPr>
        <w:t>et a</w:t>
      </w:r>
      <w:r w:rsidR="004058BA" w:rsidRPr="00DD0F3A">
        <w:t>l</w:t>
      </w:r>
      <w:r w:rsidR="00A53498" w:rsidRPr="00DD0F3A">
        <w:t xml:space="preserve"> </w:t>
      </w:r>
      <w:r w:rsidR="00B704DE" w:rsidRPr="00DD0F3A">
        <w:t xml:space="preserve">have </w:t>
      </w:r>
      <w:r w:rsidR="00A53498" w:rsidRPr="00DD0F3A">
        <w:t>confirmed a global association between COPD and occupation exposures. Using an ecological approach</w:t>
      </w:r>
      <w:r w:rsidR="00B704DE" w:rsidRPr="00DD0F3A">
        <w:t xml:space="preserve"> from </w:t>
      </w:r>
      <w:r w:rsidR="0036337B" w:rsidRPr="00DD0F3A">
        <w:t>90 sex-specific strata</w:t>
      </w:r>
      <w:r w:rsidR="00A53498" w:rsidRPr="00DD0F3A">
        <w:t>,</w:t>
      </w:r>
      <w:r w:rsidR="0036337B" w:rsidRPr="00DD0F3A">
        <w:t xml:space="preserve"> </w:t>
      </w:r>
      <w:r w:rsidR="00B704DE" w:rsidRPr="00DD0F3A">
        <w:t>and</w:t>
      </w:r>
      <w:r w:rsidR="0036337B" w:rsidRPr="00DD0F3A">
        <w:t xml:space="preserve"> the prevalence of occupational exposure and ever-smoking</w:t>
      </w:r>
      <w:r w:rsidR="00B704DE" w:rsidRPr="00DD0F3A">
        <w:t>, t</w:t>
      </w:r>
      <w:r w:rsidR="0036337B" w:rsidRPr="00DD0F3A">
        <w:t xml:space="preserve">he prevalence of </w:t>
      </w:r>
      <w:r w:rsidR="00B704DE" w:rsidRPr="00DD0F3A">
        <w:t xml:space="preserve">occupational </w:t>
      </w:r>
      <w:r w:rsidR="0036337B" w:rsidRPr="00DD0F3A">
        <w:t>exposures predicted COPD prevalence (</w:t>
      </w:r>
      <w:r w:rsidR="00B704DE" w:rsidRPr="00DD0F3A">
        <w:t xml:space="preserve">with a </w:t>
      </w:r>
      <w:r w:rsidR="0036337B" w:rsidRPr="00DD0F3A">
        <w:t xml:space="preserve">0.8% increase in COPD prevalence per 10% increase in </w:t>
      </w:r>
      <w:r w:rsidR="00B704DE" w:rsidRPr="00DD0F3A">
        <w:t xml:space="preserve">occupational </w:t>
      </w:r>
      <w:r w:rsidR="0036337B" w:rsidRPr="00DD0F3A">
        <w:t xml:space="preserve">exposure prevalence). </w:t>
      </w:r>
    </w:p>
    <w:p w:rsidR="002B45AD" w:rsidRPr="00DD0F3A" w:rsidRDefault="002B45AD" w:rsidP="001F45C7">
      <w:pPr>
        <w:jc w:val="both"/>
        <w:rPr>
          <w:b/>
        </w:rPr>
      </w:pPr>
      <w:r w:rsidRPr="00DD0F3A">
        <w:rPr>
          <w:b/>
        </w:rPr>
        <w:t>Conclusions</w:t>
      </w:r>
    </w:p>
    <w:p w:rsidR="009D4D5F" w:rsidRDefault="003E0402" w:rsidP="00DD0F3A">
      <w:pPr>
        <w:pStyle w:val="NormalWeb"/>
        <w:shd w:val="clear" w:color="auto" w:fill="FFFFFF"/>
        <w:spacing w:before="0" w:beforeAutospacing="0" w:after="0" w:afterAutospacing="0" w:line="276" w:lineRule="auto"/>
        <w:jc w:val="both"/>
        <w:rPr>
          <w:rFonts w:asciiTheme="minorHAnsi" w:hAnsiTheme="minorHAnsi"/>
          <w:color w:val="000000"/>
          <w:sz w:val="22"/>
          <w:szCs w:val="22"/>
        </w:rPr>
      </w:pPr>
      <w:r w:rsidRPr="00DD0F3A">
        <w:rPr>
          <w:rFonts w:asciiTheme="minorHAnsi" w:hAnsiTheme="minorHAnsi"/>
          <w:sz w:val="22"/>
          <w:szCs w:val="22"/>
        </w:rPr>
        <w:t>This review has considered both the development of CB and COPD in the context of workplace exposures</w:t>
      </w:r>
      <w:r w:rsidR="00CF23ED" w:rsidRPr="00DD0F3A">
        <w:rPr>
          <w:rFonts w:asciiTheme="minorHAnsi" w:hAnsiTheme="minorHAnsi"/>
          <w:sz w:val="22"/>
          <w:szCs w:val="22"/>
        </w:rPr>
        <w:t>, focussing on available evidence since the last ATS consensus statement (</w:t>
      </w:r>
      <w:proofErr w:type="spellStart"/>
      <w:r w:rsidR="00CF23ED" w:rsidRPr="00DD0F3A">
        <w:rPr>
          <w:rFonts w:asciiTheme="minorHAnsi" w:hAnsiTheme="minorHAnsi"/>
          <w:sz w:val="22"/>
          <w:szCs w:val="22"/>
        </w:rPr>
        <w:t>Balmes</w:t>
      </w:r>
      <w:proofErr w:type="spellEnd"/>
      <w:r w:rsidR="00CF23ED" w:rsidRPr="00DD0F3A">
        <w:rPr>
          <w:rFonts w:asciiTheme="minorHAnsi" w:hAnsiTheme="minorHAnsi"/>
          <w:sz w:val="22"/>
          <w:szCs w:val="22"/>
        </w:rPr>
        <w:t xml:space="preserve"> 2003). </w:t>
      </w:r>
      <w:r w:rsidRPr="00DD0F3A">
        <w:rPr>
          <w:rFonts w:asciiTheme="minorHAnsi" w:hAnsiTheme="minorHAnsi"/>
          <w:sz w:val="22"/>
          <w:szCs w:val="22"/>
        </w:rPr>
        <w:t xml:space="preserve">It has specifically </w:t>
      </w:r>
      <w:r w:rsidR="006C491B" w:rsidRPr="00DD0F3A">
        <w:rPr>
          <w:rFonts w:asciiTheme="minorHAnsi" w:hAnsiTheme="minorHAnsi"/>
          <w:sz w:val="22"/>
          <w:szCs w:val="22"/>
        </w:rPr>
        <w:t>identified a number of relevant population based studies</w:t>
      </w:r>
      <w:r w:rsidRPr="00DD0F3A">
        <w:rPr>
          <w:rFonts w:asciiTheme="minorHAnsi" w:hAnsiTheme="minorHAnsi"/>
          <w:sz w:val="22"/>
          <w:szCs w:val="22"/>
        </w:rPr>
        <w:t xml:space="preserve"> that </w:t>
      </w:r>
      <w:r w:rsidR="00CF23ED" w:rsidRPr="00DD0F3A">
        <w:rPr>
          <w:rFonts w:asciiTheme="minorHAnsi" w:hAnsiTheme="minorHAnsi"/>
          <w:sz w:val="22"/>
          <w:szCs w:val="22"/>
        </w:rPr>
        <w:t xml:space="preserve">both uphold and </w:t>
      </w:r>
      <w:r w:rsidR="006C491B" w:rsidRPr="00DD0F3A">
        <w:rPr>
          <w:rFonts w:asciiTheme="minorHAnsi" w:hAnsiTheme="minorHAnsi"/>
          <w:sz w:val="22"/>
          <w:szCs w:val="22"/>
        </w:rPr>
        <w:t xml:space="preserve">strengthen the </w:t>
      </w:r>
      <w:r w:rsidR="00CF23ED" w:rsidRPr="00DD0F3A">
        <w:rPr>
          <w:rFonts w:asciiTheme="minorHAnsi" w:hAnsiTheme="minorHAnsi"/>
          <w:sz w:val="22"/>
          <w:szCs w:val="22"/>
        </w:rPr>
        <w:t xml:space="preserve">conclusion of </w:t>
      </w:r>
      <w:r w:rsidR="006C491B" w:rsidRPr="00DD0F3A">
        <w:rPr>
          <w:rFonts w:asciiTheme="minorHAnsi" w:hAnsiTheme="minorHAnsi"/>
          <w:sz w:val="22"/>
          <w:szCs w:val="22"/>
        </w:rPr>
        <w:t>the original consensus</w:t>
      </w:r>
      <w:r w:rsidR="00CF23ED" w:rsidRPr="00DD0F3A">
        <w:rPr>
          <w:rFonts w:asciiTheme="minorHAnsi" w:hAnsiTheme="minorHAnsi"/>
          <w:sz w:val="22"/>
          <w:szCs w:val="22"/>
        </w:rPr>
        <w:t>;</w:t>
      </w:r>
      <w:r w:rsidR="006C491B" w:rsidRPr="00DD0F3A">
        <w:rPr>
          <w:rFonts w:asciiTheme="minorHAnsi" w:hAnsiTheme="minorHAnsi"/>
          <w:sz w:val="22"/>
          <w:szCs w:val="22"/>
        </w:rPr>
        <w:t xml:space="preserve"> that at least 15% of both CB and COPD burdens c</w:t>
      </w:r>
      <w:r w:rsidR="0036337B" w:rsidRPr="00DD0F3A">
        <w:rPr>
          <w:rFonts w:asciiTheme="minorHAnsi" w:hAnsiTheme="minorHAnsi"/>
          <w:sz w:val="22"/>
          <w:szCs w:val="22"/>
        </w:rPr>
        <w:t xml:space="preserve">ould </w:t>
      </w:r>
      <w:r w:rsidR="006C491B" w:rsidRPr="00DD0F3A">
        <w:rPr>
          <w:rFonts w:asciiTheme="minorHAnsi" w:hAnsiTheme="minorHAnsi"/>
          <w:sz w:val="22"/>
          <w:szCs w:val="22"/>
        </w:rPr>
        <w:t xml:space="preserve">be attributed to harmful </w:t>
      </w:r>
      <w:r w:rsidR="00CF23ED" w:rsidRPr="00DD0F3A">
        <w:rPr>
          <w:rFonts w:asciiTheme="minorHAnsi" w:hAnsiTheme="minorHAnsi"/>
          <w:sz w:val="22"/>
          <w:szCs w:val="22"/>
        </w:rPr>
        <w:t xml:space="preserve">inhaled </w:t>
      </w:r>
      <w:r w:rsidR="006C491B" w:rsidRPr="00DD0F3A">
        <w:rPr>
          <w:rFonts w:asciiTheme="minorHAnsi" w:hAnsiTheme="minorHAnsi"/>
          <w:sz w:val="22"/>
          <w:szCs w:val="22"/>
        </w:rPr>
        <w:t xml:space="preserve">occupational exposures. </w:t>
      </w:r>
      <w:r w:rsidR="00DD0F3A" w:rsidRPr="00DD0F3A">
        <w:rPr>
          <w:rFonts w:asciiTheme="minorHAnsi" w:hAnsiTheme="minorHAnsi"/>
          <w:color w:val="000000"/>
          <w:sz w:val="22"/>
          <w:szCs w:val="22"/>
        </w:rPr>
        <w:t xml:space="preserve">The heterogeneous nature of the included studies makes comment on association at sub-group levels more difficult. </w:t>
      </w:r>
      <w:r w:rsidR="00DD0F3A">
        <w:rPr>
          <w:rFonts w:asciiTheme="minorHAnsi" w:hAnsiTheme="minorHAnsi"/>
          <w:color w:val="000000"/>
          <w:sz w:val="22"/>
          <w:szCs w:val="22"/>
        </w:rPr>
        <w:t xml:space="preserve">Nevertheless, the relatively large number of studies, estimating PAF values across many countries and in differing demographic, cultural </w:t>
      </w:r>
      <w:r w:rsidR="00F117A3">
        <w:rPr>
          <w:rFonts w:asciiTheme="minorHAnsi" w:hAnsiTheme="minorHAnsi"/>
          <w:color w:val="000000"/>
          <w:sz w:val="22"/>
          <w:szCs w:val="22"/>
        </w:rPr>
        <w:t>and work sector populations did</w:t>
      </w:r>
      <w:r w:rsidR="00DD0F3A">
        <w:rPr>
          <w:rFonts w:asciiTheme="minorHAnsi" w:hAnsiTheme="minorHAnsi"/>
          <w:color w:val="000000"/>
          <w:sz w:val="22"/>
          <w:szCs w:val="22"/>
        </w:rPr>
        <w:t xml:space="preserve"> permit comment about certain sub-group risks.  </w:t>
      </w:r>
    </w:p>
    <w:p w:rsidR="00DD0F3A" w:rsidRPr="00DD0F3A" w:rsidRDefault="00DD0F3A" w:rsidP="00DD0F3A">
      <w:pPr>
        <w:pStyle w:val="NormalWeb"/>
        <w:shd w:val="clear" w:color="auto" w:fill="FFFFFF"/>
        <w:spacing w:before="0" w:beforeAutospacing="0" w:after="0" w:afterAutospacing="0" w:line="276" w:lineRule="auto"/>
        <w:jc w:val="both"/>
        <w:rPr>
          <w:rFonts w:asciiTheme="minorHAnsi" w:hAnsiTheme="minorHAnsi"/>
          <w:color w:val="000000"/>
          <w:sz w:val="22"/>
          <w:szCs w:val="22"/>
        </w:rPr>
      </w:pPr>
    </w:p>
    <w:p w:rsidR="00BF519D" w:rsidRPr="00F740D9" w:rsidRDefault="006C491B" w:rsidP="001F45C7">
      <w:pPr>
        <w:jc w:val="both"/>
      </w:pPr>
      <w:r w:rsidRPr="00DD0F3A">
        <w:t xml:space="preserve">Data from non-smoking populations are particularly compelling as </w:t>
      </w:r>
      <w:r w:rsidR="009D4D5F" w:rsidRPr="00DD0F3A">
        <w:t xml:space="preserve">a </w:t>
      </w:r>
      <w:r w:rsidR="00CF23ED" w:rsidRPr="00DD0F3A">
        <w:t>strength</w:t>
      </w:r>
      <w:r w:rsidRPr="00DD0F3A">
        <w:t xml:space="preserve"> of this paper and support further associations between such exposures and the burden of COPD. </w:t>
      </w:r>
      <w:r w:rsidR="008F1731" w:rsidRPr="00DD0F3A">
        <w:t xml:space="preserve">Furthermore, seven </w:t>
      </w:r>
      <w:r w:rsidR="008F1731" w:rsidRPr="00DD0F3A">
        <w:lastRenderedPageBreak/>
        <w:t>studies were identified where it was clear that lung function estimates had been made post bronchodilator; these studies contributed t</w:t>
      </w:r>
      <w:r w:rsidR="008F1731" w:rsidRPr="00F740D9">
        <w:t xml:space="preserve">o a median PAF of 9%, slightly lower than those identified for all studies. </w:t>
      </w:r>
      <w:r w:rsidR="00943322" w:rsidRPr="00F740D9">
        <w:t xml:space="preserve">Only two studies explicitly stated PAF values between genders. One of these, based on the most recent assessment of the UK Biobank data, identified a greater PAF in males.  </w:t>
      </w:r>
    </w:p>
    <w:p w:rsidR="003E0402" w:rsidRPr="00F740D9" w:rsidRDefault="00943322" w:rsidP="001F45C7">
      <w:pPr>
        <w:pStyle w:val="NormalWeb"/>
        <w:shd w:val="clear" w:color="auto" w:fill="FFFFFF"/>
        <w:spacing w:before="0" w:beforeAutospacing="0" w:after="0" w:afterAutospacing="0" w:line="276" w:lineRule="auto"/>
        <w:jc w:val="both"/>
        <w:rPr>
          <w:rFonts w:asciiTheme="minorHAnsi" w:hAnsiTheme="minorHAnsi"/>
          <w:sz w:val="22"/>
          <w:szCs w:val="22"/>
        </w:rPr>
      </w:pPr>
      <w:r w:rsidRPr="00F740D9">
        <w:rPr>
          <w:rFonts w:asciiTheme="minorHAnsi" w:hAnsiTheme="minorHAnsi"/>
          <w:sz w:val="22"/>
          <w:szCs w:val="22"/>
        </w:rPr>
        <w:t xml:space="preserve">Whilst certain studies did address the severity of COPD </w:t>
      </w:r>
      <w:r w:rsidRPr="00F117A3">
        <w:rPr>
          <w:rFonts w:asciiTheme="minorHAnsi" w:hAnsiTheme="minorHAnsi"/>
          <w:i/>
          <w:sz w:val="22"/>
          <w:szCs w:val="22"/>
        </w:rPr>
        <w:t>post hoc</w:t>
      </w:r>
      <w:r w:rsidRPr="00F740D9">
        <w:rPr>
          <w:rFonts w:asciiTheme="minorHAnsi" w:hAnsiTheme="minorHAnsi"/>
          <w:sz w:val="22"/>
          <w:szCs w:val="22"/>
        </w:rPr>
        <w:t xml:space="preserve">, there were insufficient data to develop a </w:t>
      </w:r>
      <w:r w:rsidR="00F169D0" w:rsidRPr="00F740D9">
        <w:rPr>
          <w:rFonts w:asciiTheme="minorHAnsi" w:hAnsiTheme="minorHAnsi"/>
          <w:sz w:val="22"/>
          <w:szCs w:val="22"/>
        </w:rPr>
        <w:t>definitive</w:t>
      </w:r>
      <w:r w:rsidR="0046411B" w:rsidRPr="00F740D9">
        <w:rPr>
          <w:rFonts w:asciiTheme="minorHAnsi" w:hAnsiTheme="minorHAnsi"/>
          <w:sz w:val="22"/>
          <w:szCs w:val="22"/>
        </w:rPr>
        <w:t xml:space="preserve"> view about the nature and severity of COPD in th</w:t>
      </w:r>
      <w:r w:rsidR="00F169D0" w:rsidRPr="00F740D9">
        <w:rPr>
          <w:rFonts w:asciiTheme="minorHAnsi" w:hAnsiTheme="minorHAnsi"/>
          <w:sz w:val="22"/>
          <w:szCs w:val="22"/>
        </w:rPr>
        <w:t xml:space="preserve">e context of occupational exposures. </w:t>
      </w:r>
      <w:r w:rsidR="0046411B" w:rsidRPr="00F740D9">
        <w:rPr>
          <w:rFonts w:asciiTheme="minorHAnsi" w:hAnsiTheme="minorHAnsi"/>
          <w:sz w:val="22"/>
          <w:szCs w:val="22"/>
        </w:rPr>
        <w:t xml:space="preserve"> </w:t>
      </w:r>
    </w:p>
    <w:p w:rsidR="0046411B" w:rsidRPr="00F740D9" w:rsidRDefault="0046411B" w:rsidP="001F45C7">
      <w:pPr>
        <w:pStyle w:val="NormalWeb"/>
        <w:shd w:val="clear" w:color="auto" w:fill="FFFFFF"/>
        <w:spacing w:before="0" w:beforeAutospacing="0" w:after="0" w:afterAutospacing="0" w:line="276" w:lineRule="auto"/>
        <w:jc w:val="both"/>
        <w:rPr>
          <w:rFonts w:asciiTheme="minorHAnsi" w:hAnsiTheme="minorHAnsi"/>
          <w:sz w:val="22"/>
          <w:szCs w:val="22"/>
        </w:rPr>
      </w:pPr>
    </w:p>
    <w:p w:rsidR="003E0402" w:rsidRPr="00F740D9" w:rsidRDefault="003E0402" w:rsidP="001F45C7">
      <w:pPr>
        <w:pStyle w:val="NormalWeb"/>
        <w:shd w:val="clear" w:color="auto" w:fill="FFFFFF"/>
        <w:spacing w:before="0" w:beforeAutospacing="0" w:after="0" w:afterAutospacing="0" w:line="276" w:lineRule="auto"/>
        <w:jc w:val="both"/>
        <w:rPr>
          <w:rFonts w:asciiTheme="minorHAnsi" w:hAnsiTheme="minorHAnsi"/>
          <w:sz w:val="22"/>
          <w:szCs w:val="22"/>
        </w:rPr>
      </w:pPr>
      <w:r w:rsidRPr="00F740D9">
        <w:rPr>
          <w:rFonts w:asciiTheme="minorHAnsi" w:hAnsiTheme="minorHAnsi"/>
          <w:sz w:val="22"/>
          <w:szCs w:val="22"/>
        </w:rPr>
        <w:t>Similarly, other considerations about underlying populations may influence the findings of each study, including the proportion of any population that consists of younger workers (who may not yet have been expected to develop CB or COPD) and also the ability of the study designs to adequately consider additive or multiplicati</w:t>
      </w:r>
      <w:r w:rsidR="00CF23ED" w:rsidRPr="00F740D9">
        <w:rPr>
          <w:rFonts w:asciiTheme="minorHAnsi" w:hAnsiTheme="minorHAnsi"/>
          <w:sz w:val="22"/>
          <w:szCs w:val="22"/>
        </w:rPr>
        <w:t xml:space="preserve">ve effects of tobacco smoking. </w:t>
      </w:r>
      <w:r w:rsidR="00F117A3">
        <w:rPr>
          <w:rFonts w:asciiTheme="minorHAnsi" w:hAnsiTheme="minorHAnsi"/>
          <w:sz w:val="22"/>
          <w:szCs w:val="22"/>
        </w:rPr>
        <w:t>This review is not able to contribute further here.</w:t>
      </w:r>
    </w:p>
    <w:p w:rsidR="00BF519D" w:rsidRPr="00F740D9" w:rsidRDefault="00BF519D" w:rsidP="001F45C7">
      <w:pPr>
        <w:pStyle w:val="NormalWeb"/>
        <w:shd w:val="clear" w:color="auto" w:fill="FFFFFF"/>
        <w:spacing w:before="0" w:beforeAutospacing="0" w:after="0" w:afterAutospacing="0" w:line="276" w:lineRule="auto"/>
        <w:jc w:val="both"/>
        <w:rPr>
          <w:rFonts w:asciiTheme="minorHAnsi" w:hAnsiTheme="minorHAnsi"/>
          <w:sz w:val="22"/>
          <w:szCs w:val="22"/>
        </w:rPr>
      </w:pPr>
      <w:r w:rsidRPr="00F740D9">
        <w:rPr>
          <w:rFonts w:asciiTheme="minorHAnsi" w:hAnsiTheme="minorHAnsi"/>
          <w:sz w:val="22"/>
          <w:szCs w:val="22"/>
        </w:rPr>
        <w:t> </w:t>
      </w:r>
    </w:p>
    <w:p w:rsidR="00F61F89" w:rsidRPr="00F117A3" w:rsidRDefault="003741FA" w:rsidP="002866AB">
      <w:pPr>
        <w:pStyle w:val="NormalWeb"/>
        <w:shd w:val="clear" w:color="auto" w:fill="FFFFFF"/>
        <w:spacing w:before="0" w:beforeAutospacing="0" w:after="0" w:afterAutospacing="0" w:line="276" w:lineRule="auto"/>
        <w:jc w:val="both"/>
        <w:rPr>
          <w:rFonts w:asciiTheme="minorHAnsi" w:hAnsiTheme="minorHAnsi"/>
          <w:sz w:val="22"/>
          <w:szCs w:val="22"/>
        </w:rPr>
      </w:pPr>
      <w:r w:rsidRPr="00F740D9">
        <w:rPr>
          <w:rFonts w:asciiTheme="minorHAnsi" w:hAnsiTheme="minorHAnsi"/>
          <w:sz w:val="22"/>
          <w:szCs w:val="22"/>
        </w:rPr>
        <w:t xml:space="preserve">The </w:t>
      </w:r>
      <w:r w:rsidR="006C491B" w:rsidRPr="00F740D9">
        <w:rPr>
          <w:rFonts w:asciiTheme="minorHAnsi" w:hAnsiTheme="minorHAnsi"/>
          <w:sz w:val="22"/>
          <w:szCs w:val="22"/>
        </w:rPr>
        <w:t>findings</w:t>
      </w:r>
      <w:r w:rsidRPr="00F740D9">
        <w:rPr>
          <w:rFonts w:asciiTheme="minorHAnsi" w:hAnsiTheme="minorHAnsi"/>
          <w:sz w:val="22"/>
          <w:szCs w:val="22"/>
        </w:rPr>
        <w:t xml:space="preserve"> of th</w:t>
      </w:r>
      <w:r w:rsidR="00F117A3">
        <w:rPr>
          <w:rFonts w:asciiTheme="minorHAnsi" w:hAnsiTheme="minorHAnsi"/>
          <w:sz w:val="22"/>
          <w:szCs w:val="22"/>
        </w:rPr>
        <w:t>is</w:t>
      </w:r>
      <w:r w:rsidRPr="00F740D9">
        <w:rPr>
          <w:rFonts w:asciiTheme="minorHAnsi" w:hAnsiTheme="minorHAnsi"/>
          <w:sz w:val="22"/>
          <w:szCs w:val="22"/>
        </w:rPr>
        <w:t xml:space="preserve"> review have significant </w:t>
      </w:r>
      <w:r w:rsidR="006C491B" w:rsidRPr="00F740D9">
        <w:rPr>
          <w:rFonts w:asciiTheme="minorHAnsi" w:hAnsiTheme="minorHAnsi"/>
          <w:sz w:val="22"/>
          <w:szCs w:val="22"/>
        </w:rPr>
        <w:t>biological plausibility</w:t>
      </w:r>
      <w:r w:rsidR="0045670D" w:rsidRPr="00F740D9">
        <w:rPr>
          <w:rFonts w:asciiTheme="minorHAnsi" w:hAnsiTheme="minorHAnsi"/>
          <w:sz w:val="22"/>
          <w:szCs w:val="22"/>
        </w:rPr>
        <w:t>, summarised previously</w:t>
      </w:r>
      <w:r w:rsidR="00CF23ED" w:rsidRPr="00F740D9">
        <w:rPr>
          <w:rFonts w:asciiTheme="minorHAnsi" w:hAnsiTheme="minorHAnsi"/>
          <w:sz w:val="22"/>
          <w:szCs w:val="22"/>
        </w:rPr>
        <w:t xml:space="preserve"> in some detail</w:t>
      </w:r>
      <w:r w:rsidR="006C491B" w:rsidRPr="00F740D9">
        <w:rPr>
          <w:rFonts w:asciiTheme="minorHAnsi" w:hAnsiTheme="minorHAnsi"/>
          <w:sz w:val="22"/>
          <w:szCs w:val="22"/>
        </w:rPr>
        <w:t xml:space="preserve"> </w:t>
      </w:r>
      <w:r w:rsidRPr="00F740D9">
        <w:rPr>
          <w:rFonts w:asciiTheme="minorHAnsi" w:hAnsiTheme="minorHAnsi"/>
          <w:sz w:val="22"/>
          <w:szCs w:val="22"/>
        </w:rPr>
        <w:t xml:space="preserve">by others (including </w:t>
      </w:r>
      <w:r w:rsidR="006C491B" w:rsidRPr="00F740D9">
        <w:rPr>
          <w:rFonts w:asciiTheme="minorHAnsi" w:hAnsiTheme="minorHAnsi"/>
          <w:sz w:val="22"/>
          <w:szCs w:val="22"/>
        </w:rPr>
        <w:t>Eisner 2010</w:t>
      </w:r>
      <w:r w:rsidR="007E5F18" w:rsidRPr="00F740D9">
        <w:rPr>
          <w:rFonts w:asciiTheme="minorHAnsi" w:hAnsiTheme="minorHAnsi"/>
          <w:sz w:val="22"/>
          <w:szCs w:val="22"/>
        </w:rPr>
        <w:t>, who</w:t>
      </w:r>
      <w:r w:rsidR="00943322" w:rsidRPr="00F740D9">
        <w:rPr>
          <w:rFonts w:asciiTheme="minorHAnsi" w:hAnsiTheme="minorHAnsi"/>
          <w:sz w:val="22"/>
          <w:szCs w:val="22"/>
        </w:rPr>
        <w:t xml:space="preserve"> discussed occupational risk fa</w:t>
      </w:r>
      <w:r w:rsidR="007E5F18" w:rsidRPr="00F740D9">
        <w:rPr>
          <w:rFonts w:asciiTheme="minorHAnsi" w:hAnsiTheme="minorHAnsi"/>
          <w:sz w:val="22"/>
          <w:szCs w:val="22"/>
        </w:rPr>
        <w:t>ctors in the context of many other airway influences</w:t>
      </w:r>
      <w:r w:rsidR="00F117A3">
        <w:rPr>
          <w:rFonts w:asciiTheme="minorHAnsi" w:hAnsiTheme="minorHAnsi"/>
          <w:sz w:val="22"/>
          <w:szCs w:val="22"/>
        </w:rPr>
        <w:t>)</w:t>
      </w:r>
      <w:r w:rsidR="007E5F18" w:rsidRPr="00F740D9">
        <w:rPr>
          <w:rFonts w:asciiTheme="minorHAnsi" w:hAnsiTheme="minorHAnsi"/>
          <w:sz w:val="22"/>
          <w:szCs w:val="22"/>
        </w:rPr>
        <w:t xml:space="preserve">. </w:t>
      </w:r>
      <w:r w:rsidR="00F61F89" w:rsidRPr="00F117A3">
        <w:rPr>
          <w:rFonts w:asciiTheme="minorHAnsi" w:hAnsiTheme="minorHAnsi"/>
          <w:sz w:val="22"/>
          <w:szCs w:val="22"/>
        </w:rPr>
        <w:t xml:space="preserve">Chronic Bronchitis is generally regarded as a combination of excess mucus production, hypersecretion and </w:t>
      </w:r>
      <w:proofErr w:type="spellStart"/>
      <w:r w:rsidR="00F61F89" w:rsidRPr="00F117A3">
        <w:rPr>
          <w:rFonts w:asciiTheme="minorHAnsi" w:hAnsiTheme="minorHAnsi"/>
          <w:sz w:val="22"/>
          <w:szCs w:val="22"/>
        </w:rPr>
        <w:t>mucociliary</w:t>
      </w:r>
      <w:proofErr w:type="spellEnd"/>
      <w:r w:rsidR="00F61F89" w:rsidRPr="00F117A3">
        <w:rPr>
          <w:rFonts w:asciiTheme="minorHAnsi" w:hAnsiTheme="minorHAnsi"/>
          <w:sz w:val="22"/>
          <w:szCs w:val="22"/>
        </w:rPr>
        <w:t xml:space="preserve"> dysfunction resulting from persisting airway inflammation (Kim). Whilst cigarette smoke and infections are the most </w:t>
      </w:r>
      <w:r w:rsidR="00787F47" w:rsidRPr="00F117A3">
        <w:rPr>
          <w:rFonts w:asciiTheme="minorHAnsi" w:hAnsiTheme="minorHAnsi"/>
          <w:sz w:val="22"/>
          <w:szCs w:val="22"/>
        </w:rPr>
        <w:t xml:space="preserve">common </w:t>
      </w:r>
      <w:r w:rsidR="00943322" w:rsidRPr="00F117A3">
        <w:rPr>
          <w:rFonts w:asciiTheme="minorHAnsi" w:hAnsiTheme="minorHAnsi"/>
          <w:sz w:val="22"/>
          <w:szCs w:val="22"/>
        </w:rPr>
        <w:t xml:space="preserve">historically regarded classical </w:t>
      </w:r>
      <w:r w:rsidR="00787F47" w:rsidRPr="00F117A3">
        <w:rPr>
          <w:rFonts w:asciiTheme="minorHAnsi" w:hAnsiTheme="minorHAnsi"/>
          <w:sz w:val="22"/>
          <w:szCs w:val="22"/>
        </w:rPr>
        <w:t xml:space="preserve">causes, </w:t>
      </w:r>
      <w:r w:rsidR="00943322" w:rsidRPr="00F117A3">
        <w:rPr>
          <w:rFonts w:asciiTheme="minorHAnsi" w:hAnsiTheme="minorHAnsi"/>
          <w:sz w:val="22"/>
          <w:szCs w:val="22"/>
        </w:rPr>
        <w:t xml:space="preserve">many individual </w:t>
      </w:r>
      <w:r w:rsidR="00F61F89" w:rsidRPr="00F117A3">
        <w:rPr>
          <w:rFonts w:asciiTheme="minorHAnsi" w:hAnsiTheme="minorHAnsi"/>
          <w:sz w:val="22"/>
          <w:szCs w:val="22"/>
        </w:rPr>
        <w:t xml:space="preserve">occupational exposures are long recognised </w:t>
      </w:r>
      <w:r w:rsidRPr="00F117A3">
        <w:rPr>
          <w:rFonts w:asciiTheme="minorHAnsi" w:hAnsiTheme="minorHAnsi"/>
          <w:sz w:val="22"/>
          <w:szCs w:val="22"/>
        </w:rPr>
        <w:t xml:space="preserve">as </w:t>
      </w:r>
      <w:r w:rsidR="00943322" w:rsidRPr="00F117A3">
        <w:rPr>
          <w:rFonts w:asciiTheme="minorHAnsi" w:hAnsiTheme="minorHAnsi"/>
          <w:sz w:val="22"/>
          <w:szCs w:val="22"/>
        </w:rPr>
        <w:t xml:space="preserve">potentially causative by their direct action on the airway </w:t>
      </w:r>
      <w:r w:rsidR="00F61F89" w:rsidRPr="00F117A3">
        <w:rPr>
          <w:rFonts w:asciiTheme="minorHAnsi" w:hAnsiTheme="minorHAnsi"/>
          <w:sz w:val="22"/>
          <w:szCs w:val="22"/>
        </w:rPr>
        <w:t>(Morgan</w:t>
      </w:r>
      <w:r w:rsidR="00787F47" w:rsidRPr="00F117A3">
        <w:rPr>
          <w:rFonts w:asciiTheme="minorHAnsi" w:hAnsiTheme="minorHAnsi"/>
          <w:sz w:val="22"/>
          <w:szCs w:val="22"/>
        </w:rPr>
        <w:t>, Blanc</w:t>
      </w:r>
      <w:r w:rsidR="00F61F89" w:rsidRPr="00F117A3">
        <w:rPr>
          <w:rFonts w:asciiTheme="minorHAnsi" w:hAnsiTheme="minorHAnsi"/>
          <w:sz w:val="22"/>
          <w:szCs w:val="22"/>
        </w:rPr>
        <w:t>)</w:t>
      </w:r>
      <w:r w:rsidR="00787F47" w:rsidRPr="00F117A3">
        <w:rPr>
          <w:rFonts w:asciiTheme="minorHAnsi" w:hAnsiTheme="minorHAnsi"/>
          <w:sz w:val="22"/>
          <w:szCs w:val="22"/>
        </w:rPr>
        <w:t xml:space="preserve">. </w:t>
      </w:r>
    </w:p>
    <w:p w:rsidR="002866AB" w:rsidRPr="00F117A3" w:rsidRDefault="002866AB" w:rsidP="002866AB">
      <w:pPr>
        <w:pStyle w:val="NormalWeb"/>
        <w:shd w:val="clear" w:color="auto" w:fill="FFFFFF"/>
        <w:spacing w:before="0" w:beforeAutospacing="0" w:after="0" w:afterAutospacing="0" w:line="276" w:lineRule="auto"/>
        <w:jc w:val="both"/>
        <w:rPr>
          <w:sz w:val="22"/>
          <w:szCs w:val="22"/>
        </w:rPr>
      </w:pPr>
    </w:p>
    <w:p w:rsidR="00F61F89" w:rsidRPr="00F740D9" w:rsidRDefault="00F61F89" w:rsidP="001F45C7">
      <w:pPr>
        <w:jc w:val="both"/>
      </w:pPr>
      <w:r w:rsidRPr="00F117A3">
        <w:t>In relation to COPD, there are specific exposures that are recognised to cause lung damage consistent with that seen in COPD. For example, cadmium fume is associated with the development of emphysema in animals (</w:t>
      </w:r>
      <w:proofErr w:type="spellStart"/>
      <w:r w:rsidRPr="00F117A3">
        <w:t>Kirschvink</w:t>
      </w:r>
      <w:proofErr w:type="spellEnd"/>
      <w:r w:rsidRPr="00F117A3">
        <w:t xml:space="preserve">), and has also been </w:t>
      </w:r>
      <w:r w:rsidR="00787F47" w:rsidRPr="00F117A3">
        <w:t>linked to reduced lung</w:t>
      </w:r>
      <w:r w:rsidR="00787F47" w:rsidRPr="00F740D9">
        <w:t xml:space="preserve"> function</w:t>
      </w:r>
      <w:r w:rsidRPr="00F740D9">
        <w:t xml:space="preserve"> (Davison).</w:t>
      </w:r>
      <w:r w:rsidR="001F45C7" w:rsidRPr="00F740D9">
        <w:t xml:space="preserve"> </w:t>
      </w:r>
      <w:r w:rsidRPr="00F740D9">
        <w:t>Similarly, respirable crystalline silica</w:t>
      </w:r>
      <w:r w:rsidR="00787F47" w:rsidRPr="00F740D9">
        <w:t xml:space="preserve"> (RCS)</w:t>
      </w:r>
      <w:r w:rsidRPr="00F740D9">
        <w:t xml:space="preserve">, coal and welding fume have all been shown to be pro-inflammatory and </w:t>
      </w:r>
      <w:r w:rsidR="00787F47" w:rsidRPr="00F740D9">
        <w:t xml:space="preserve">thus </w:t>
      </w:r>
      <w:r w:rsidRPr="00F740D9">
        <w:t>capable of causing airway damage with repea</w:t>
      </w:r>
      <w:r w:rsidR="00787F47" w:rsidRPr="00F740D9">
        <w:t xml:space="preserve">ted exposures (Rom, </w:t>
      </w:r>
      <w:proofErr w:type="spellStart"/>
      <w:r w:rsidR="00787F47" w:rsidRPr="00F740D9">
        <w:t>Castranova</w:t>
      </w:r>
      <w:proofErr w:type="spellEnd"/>
      <w:r w:rsidR="00787F47" w:rsidRPr="00F740D9">
        <w:t xml:space="preserve">). Additionally, RCS exposure </w:t>
      </w:r>
      <w:r w:rsidRPr="00F740D9">
        <w:t>(</w:t>
      </w:r>
      <w:proofErr w:type="spellStart"/>
      <w:r w:rsidRPr="00F740D9">
        <w:t>Hnizdo</w:t>
      </w:r>
      <w:proofErr w:type="spellEnd"/>
      <w:r w:rsidRPr="00F740D9">
        <w:t xml:space="preserve"> 1991, </w:t>
      </w:r>
      <w:proofErr w:type="spellStart"/>
      <w:r w:rsidRPr="00F740D9">
        <w:t>Hnizdo</w:t>
      </w:r>
      <w:proofErr w:type="spellEnd"/>
      <w:r w:rsidRPr="00F740D9">
        <w:t xml:space="preserve"> </w:t>
      </w:r>
      <w:proofErr w:type="gramStart"/>
      <w:r w:rsidRPr="00F740D9">
        <w:t>2003 )</w:t>
      </w:r>
      <w:proofErr w:type="gramEnd"/>
      <w:r w:rsidRPr="00F740D9">
        <w:t xml:space="preserve"> and coal (Cockcroft) have been associated with human evidence</w:t>
      </w:r>
      <w:r w:rsidR="00787F47" w:rsidRPr="00F740D9">
        <w:t>,</w:t>
      </w:r>
      <w:r w:rsidRPr="00F740D9">
        <w:t xml:space="preserve"> and endotoxin with animal (Shapiro) evidence</w:t>
      </w:r>
      <w:r w:rsidR="00787F47" w:rsidRPr="00F740D9">
        <w:t>,</w:t>
      </w:r>
      <w:r w:rsidR="007E5F18" w:rsidRPr="00F740D9">
        <w:t xml:space="preserve"> of airways disease. </w:t>
      </w:r>
      <w:r w:rsidRPr="00F740D9">
        <w:t>In reality, even within these specific examples, other influences will be operational that dictate the harm produced</w:t>
      </w:r>
      <w:r w:rsidR="00400E5F" w:rsidRPr="00F740D9">
        <w:t xml:space="preserve">. For example, </w:t>
      </w:r>
      <w:r w:rsidRPr="00F740D9">
        <w:t>data</w:t>
      </w:r>
      <w:r w:rsidR="00400E5F" w:rsidRPr="00F740D9">
        <w:t xml:space="preserve"> </w:t>
      </w:r>
      <w:r w:rsidRPr="00F740D9">
        <w:t>support an interaction between dust exposure</w:t>
      </w:r>
      <w:r w:rsidR="00400E5F" w:rsidRPr="00F740D9">
        <w:t xml:space="preserve"> and α1 antitrypsin deficiency </w:t>
      </w:r>
      <w:r w:rsidRPr="00F740D9">
        <w:t>for causing lung function abnormalities (</w:t>
      </w:r>
      <w:proofErr w:type="spellStart"/>
      <w:r w:rsidRPr="00F740D9">
        <w:t>Piitulainen</w:t>
      </w:r>
      <w:proofErr w:type="spellEnd"/>
      <w:r w:rsidRPr="00F740D9">
        <w:t>, Mayer).</w:t>
      </w:r>
    </w:p>
    <w:p w:rsidR="00481FC7" w:rsidRPr="00F740D9" w:rsidRDefault="002866AB" w:rsidP="001F45C7">
      <w:pPr>
        <w:pStyle w:val="NormalWeb"/>
        <w:shd w:val="clear" w:color="auto" w:fill="FFFFFF"/>
        <w:spacing w:before="0" w:beforeAutospacing="0" w:after="0" w:afterAutospacing="0" w:line="276" w:lineRule="auto"/>
        <w:jc w:val="both"/>
        <w:rPr>
          <w:rFonts w:asciiTheme="minorHAnsi" w:hAnsiTheme="minorHAnsi"/>
          <w:sz w:val="22"/>
          <w:szCs w:val="22"/>
        </w:rPr>
      </w:pPr>
      <w:r w:rsidRPr="00F740D9">
        <w:rPr>
          <w:rFonts w:asciiTheme="minorHAnsi" w:hAnsiTheme="minorHAnsi"/>
          <w:sz w:val="22"/>
          <w:szCs w:val="22"/>
        </w:rPr>
        <w:t xml:space="preserve">In terms of future work in this area, the </w:t>
      </w:r>
      <w:proofErr w:type="spellStart"/>
      <w:r w:rsidRPr="00F740D9">
        <w:rPr>
          <w:rFonts w:asciiTheme="minorHAnsi" w:hAnsiTheme="minorHAnsi"/>
          <w:sz w:val="22"/>
          <w:szCs w:val="22"/>
        </w:rPr>
        <w:t>COPDGene</w:t>
      </w:r>
      <w:proofErr w:type="spellEnd"/>
      <w:r w:rsidRPr="00F740D9">
        <w:rPr>
          <w:rFonts w:asciiTheme="minorHAnsi" w:hAnsiTheme="minorHAnsi"/>
          <w:sz w:val="22"/>
          <w:szCs w:val="22"/>
        </w:rPr>
        <w:t xml:space="preserve"> study is beginning to unravel associations between occupational exposures and the appearances of relevant radiology, with particular focus on the presence of gas trapping and emphysema [</w:t>
      </w:r>
      <w:proofErr w:type="spellStart"/>
      <w:r w:rsidRPr="00F740D9">
        <w:rPr>
          <w:rFonts w:asciiTheme="minorHAnsi" w:hAnsiTheme="minorHAnsi"/>
          <w:sz w:val="22"/>
          <w:szCs w:val="22"/>
        </w:rPr>
        <w:t>Marchetti</w:t>
      </w:r>
      <w:proofErr w:type="spellEnd"/>
      <w:r w:rsidRPr="00F740D9">
        <w:rPr>
          <w:rFonts w:asciiTheme="minorHAnsi" w:hAnsiTheme="minorHAnsi"/>
          <w:sz w:val="22"/>
          <w:szCs w:val="22"/>
        </w:rPr>
        <w:t xml:space="preserve"> 2014</w:t>
      </w:r>
      <w:r w:rsidR="003A04CF" w:rsidRPr="00F740D9">
        <w:rPr>
          <w:rFonts w:asciiTheme="minorHAnsi" w:hAnsiTheme="minorHAnsi"/>
          <w:sz w:val="22"/>
          <w:szCs w:val="22"/>
        </w:rPr>
        <w:t xml:space="preserve">, van </w:t>
      </w:r>
      <w:proofErr w:type="spellStart"/>
      <w:r w:rsidR="003A04CF" w:rsidRPr="00F740D9">
        <w:rPr>
          <w:rFonts w:asciiTheme="minorHAnsi" w:hAnsiTheme="minorHAnsi"/>
          <w:sz w:val="22"/>
          <w:szCs w:val="22"/>
        </w:rPr>
        <w:t>Koeverden</w:t>
      </w:r>
      <w:proofErr w:type="spellEnd"/>
      <w:r w:rsidR="003A04CF" w:rsidRPr="00F740D9">
        <w:rPr>
          <w:rFonts w:asciiTheme="minorHAnsi" w:hAnsiTheme="minorHAnsi"/>
          <w:sz w:val="22"/>
          <w:szCs w:val="22"/>
        </w:rPr>
        <w:t xml:space="preserve"> 2015</w:t>
      </w:r>
      <w:r w:rsidRPr="00F740D9">
        <w:rPr>
          <w:rFonts w:asciiTheme="minorHAnsi" w:hAnsiTheme="minorHAnsi"/>
          <w:sz w:val="22"/>
          <w:szCs w:val="22"/>
        </w:rPr>
        <w:t>]. Similarly, d</w:t>
      </w:r>
      <w:r w:rsidR="007B64AC" w:rsidRPr="00F740D9">
        <w:rPr>
          <w:rFonts w:asciiTheme="minorHAnsi" w:hAnsiTheme="minorHAnsi"/>
          <w:sz w:val="22"/>
          <w:szCs w:val="22"/>
        </w:rPr>
        <w:t xml:space="preserve">ata from the </w:t>
      </w:r>
      <w:proofErr w:type="spellStart"/>
      <w:r w:rsidR="007B64AC" w:rsidRPr="00F740D9">
        <w:rPr>
          <w:rFonts w:asciiTheme="minorHAnsi" w:hAnsiTheme="minorHAnsi"/>
          <w:sz w:val="22"/>
          <w:szCs w:val="22"/>
        </w:rPr>
        <w:t>Spiromi</w:t>
      </w:r>
      <w:r w:rsidR="00A643F6" w:rsidRPr="00F740D9">
        <w:rPr>
          <w:rFonts w:asciiTheme="minorHAnsi" w:hAnsiTheme="minorHAnsi"/>
          <w:sz w:val="22"/>
          <w:szCs w:val="22"/>
        </w:rPr>
        <w:t>x</w:t>
      </w:r>
      <w:proofErr w:type="spellEnd"/>
      <w:r w:rsidR="007B64AC" w:rsidRPr="00F740D9">
        <w:rPr>
          <w:rFonts w:asciiTheme="minorHAnsi" w:hAnsiTheme="minorHAnsi"/>
          <w:sz w:val="22"/>
          <w:szCs w:val="22"/>
        </w:rPr>
        <w:t xml:space="preserve"> and </w:t>
      </w:r>
      <w:proofErr w:type="spellStart"/>
      <w:r w:rsidR="007B64AC" w:rsidRPr="00F740D9">
        <w:rPr>
          <w:rFonts w:asciiTheme="minorHAnsi" w:hAnsiTheme="minorHAnsi"/>
          <w:sz w:val="22"/>
          <w:szCs w:val="22"/>
        </w:rPr>
        <w:t>COPDGene</w:t>
      </w:r>
      <w:proofErr w:type="spellEnd"/>
      <w:r w:rsidR="00551EC9" w:rsidRPr="00F740D9">
        <w:rPr>
          <w:rFonts w:asciiTheme="minorHAnsi" w:hAnsiTheme="minorHAnsi"/>
          <w:sz w:val="22"/>
          <w:szCs w:val="22"/>
        </w:rPr>
        <w:t xml:space="preserve"> </w:t>
      </w:r>
      <w:r w:rsidR="007B64AC" w:rsidRPr="00F740D9">
        <w:rPr>
          <w:rFonts w:asciiTheme="minorHAnsi" w:hAnsiTheme="minorHAnsi"/>
          <w:sz w:val="22"/>
          <w:szCs w:val="22"/>
        </w:rPr>
        <w:t>studies</w:t>
      </w:r>
      <w:r w:rsidR="00551EC9" w:rsidRPr="00F740D9">
        <w:rPr>
          <w:rFonts w:asciiTheme="minorHAnsi" w:hAnsiTheme="minorHAnsi"/>
          <w:sz w:val="22"/>
          <w:szCs w:val="22"/>
        </w:rPr>
        <w:t xml:space="preserve"> </w:t>
      </w:r>
      <w:r w:rsidR="007B64AC" w:rsidRPr="00F740D9">
        <w:rPr>
          <w:rFonts w:asciiTheme="minorHAnsi" w:hAnsiTheme="minorHAnsi"/>
          <w:sz w:val="22"/>
          <w:szCs w:val="22"/>
        </w:rPr>
        <w:t xml:space="preserve">will undoubtedly assist the further understanding of the differential role of established and perhaps new risk factors for COPD. </w:t>
      </w:r>
      <w:r w:rsidRPr="00F740D9">
        <w:rPr>
          <w:rFonts w:asciiTheme="minorHAnsi" w:hAnsiTheme="minorHAnsi"/>
          <w:sz w:val="22"/>
          <w:szCs w:val="22"/>
        </w:rPr>
        <w:t xml:space="preserve">The </w:t>
      </w:r>
      <w:proofErr w:type="spellStart"/>
      <w:r w:rsidR="00481FC7" w:rsidRPr="00F740D9">
        <w:rPr>
          <w:rFonts w:asciiTheme="minorHAnsi" w:hAnsiTheme="minorHAnsi"/>
          <w:sz w:val="22"/>
          <w:szCs w:val="22"/>
        </w:rPr>
        <w:t>Spiromix</w:t>
      </w:r>
      <w:proofErr w:type="spellEnd"/>
      <w:r w:rsidRPr="00F740D9">
        <w:rPr>
          <w:rFonts w:asciiTheme="minorHAnsi" w:hAnsiTheme="minorHAnsi"/>
          <w:sz w:val="22"/>
          <w:szCs w:val="22"/>
        </w:rPr>
        <w:t xml:space="preserve"> study is </w:t>
      </w:r>
      <w:r w:rsidR="00481FC7" w:rsidRPr="00F740D9">
        <w:rPr>
          <w:rFonts w:asciiTheme="minorHAnsi" w:hAnsiTheme="minorHAnsi"/>
          <w:sz w:val="22"/>
          <w:szCs w:val="22"/>
        </w:rPr>
        <w:t xml:space="preserve">currently investigating </w:t>
      </w:r>
      <w:r w:rsidR="00551EC9" w:rsidRPr="00F740D9">
        <w:rPr>
          <w:rFonts w:asciiTheme="minorHAnsi" w:hAnsiTheme="minorHAnsi"/>
          <w:sz w:val="22"/>
          <w:szCs w:val="22"/>
        </w:rPr>
        <w:t>the effects of occupational exposures on COPD severity, stratified by gender, noting that such exposures do influence COPD exacerbation severity when stratified by gender</w:t>
      </w:r>
      <w:r w:rsidR="002264F3" w:rsidRPr="00F740D9">
        <w:rPr>
          <w:rFonts w:asciiTheme="minorHAnsi" w:hAnsiTheme="minorHAnsi"/>
          <w:sz w:val="22"/>
          <w:szCs w:val="22"/>
        </w:rPr>
        <w:t xml:space="preserve"> [Paulin 2015]</w:t>
      </w:r>
      <w:r w:rsidR="00551EC9" w:rsidRPr="00F740D9">
        <w:rPr>
          <w:rFonts w:asciiTheme="minorHAnsi" w:hAnsiTheme="minorHAnsi"/>
          <w:sz w:val="22"/>
          <w:szCs w:val="22"/>
        </w:rPr>
        <w:t xml:space="preserve">. </w:t>
      </w:r>
    </w:p>
    <w:p w:rsidR="002264F3" w:rsidRPr="00F740D9" w:rsidRDefault="002264F3" w:rsidP="001F45C7">
      <w:pPr>
        <w:pStyle w:val="NormalWeb"/>
        <w:shd w:val="clear" w:color="auto" w:fill="FFFFFF"/>
        <w:spacing w:before="0" w:beforeAutospacing="0" w:after="0" w:afterAutospacing="0" w:line="276" w:lineRule="auto"/>
        <w:jc w:val="both"/>
        <w:rPr>
          <w:rFonts w:asciiTheme="minorHAnsi" w:hAnsiTheme="minorHAnsi"/>
          <w:sz w:val="22"/>
          <w:szCs w:val="22"/>
        </w:rPr>
      </w:pPr>
    </w:p>
    <w:p w:rsidR="00481FC7" w:rsidRPr="00F740D9" w:rsidRDefault="002866AB" w:rsidP="001F45C7">
      <w:pPr>
        <w:pStyle w:val="NormalWeb"/>
        <w:shd w:val="clear" w:color="auto" w:fill="FFFFFF"/>
        <w:spacing w:before="0" w:beforeAutospacing="0" w:after="0" w:afterAutospacing="0" w:line="276" w:lineRule="auto"/>
        <w:jc w:val="both"/>
        <w:rPr>
          <w:rFonts w:asciiTheme="minorHAnsi" w:hAnsiTheme="minorHAnsi"/>
          <w:sz w:val="22"/>
          <w:szCs w:val="22"/>
        </w:rPr>
      </w:pPr>
      <w:r w:rsidRPr="00F740D9">
        <w:rPr>
          <w:rFonts w:asciiTheme="minorHAnsi" w:hAnsiTheme="minorHAnsi"/>
          <w:sz w:val="22"/>
          <w:szCs w:val="22"/>
        </w:rPr>
        <w:t>In summary, the o</w:t>
      </w:r>
      <w:r w:rsidR="003A368D" w:rsidRPr="00F740D9">
        <w:rPr>
          <w:rFonts w:asciiTheme="minorHAnsi" w:hAnsiTheme="minorHAnsi"/>
          <w:sz w:val="22"/>
          <w:szCs w:val="22"/>
        </w:rPr>
        <w:t>verall</w:t>
      </w:r>
      <w:r w:rsidRPr="00F740D9">
        <w:rPr>
          <w:rFonts w:asciiTheme="minorHAnsi" w:hAnsiTheme="minorHAnsi"/>
          <w:sz w:val="22"/>
          <w:szCs w:val="22"/>
        </w:rPr>
        <w:t xml:space="preserve"> </w:t>
      </w:r>
      <w:r w:rsidR="003A368D" w:rsidRPr="00F740D9">
        <w:rPr>
          <w:rFonts w:asciiTheme="minorHAnsi" w:hAnsiTheme="minorHAnsi"/>
          <w:sz w:val="22"/>
          <w:szCs w:val="22"/>
        </w:rPr>
        <w:t>findings</w:t>
      </w:r>
      <w:r w:rsidRPr="00F740D9">
        <w:rPr>
          <w:rFonts w:asciiTheme="minorHAnsi" w:hAnsiTheme="minorHAnsi"/>
          <w:sz w:val="22"/>
          <w:szCs w:val="22"/>
        </w:rPr>
        <w:t xml:space="preserve"> of this current work</w:t>
      </w:r>
      <w:r w:rsidR="003A368D" w:rsidRPr="00F740D9">
        <w:rPr>
          <w:rFonts w:asciiTheme="minorHAnsi" w:hAnsiTheme="minorHAnsi"/>
          <w:sz w:val="22"/>
          <w:szCs w:val="22"/>
        </w:rPr>
        <w:t xml:space="preserve"> confirm that recent published evidence supports the association between harmful inhaled workplace agents and the development of both </w:t>
      </w:r>
      <w:r w:rsidR="003A368D" w:rsidRPr="00F740D9">
        <w:rPr>
          <w:rFonts w:asciiTheme="minorHAnsi" w:hAnsiTheme="minorHAnsi"/>
          <w:sz w:val="22"/>
          <w:szCs w:val="22"/>
        </w:rPr>
        <w:lastRenderedPageBreak/>
        <w:t>CB and COPD.</w:t>
      </w:r>
      <w:r w:rsidRPr="00F740D9">
        <w:rPr>
          <w:rFonts w:asciiTheme="minorHAnsi" w:hAnsiTheme="minorHAnsi"/>
          <w:sz w:val="22"/>
          <w:szCs w:val="22"/>
        </w:rPr>
        <w:t xml:space="preserve"> Workplace interventions designed to reduce these harmful exposures will reduce the overall population burdens of these two chronic and disabling conditions. </w:t>
      </w:r>
      <w:r w:rsidR="003A368D" w:rsidRPr="00F740D9">
        <w:rPr>
          <w:rFonts w:asciiTheme="minorHAnsi" w:hAnsiTheme="minorHAnsi"/>
          <w:sz w:val="22"/>
          <w:szCs w:val="22"/>
        </w:rPr>
        <w:t xml:space="preserve"> </w:t>
      </w:r>
    </w:p>
    <w:p w:rsidR="002D52EC" w:rsidRDefault="002D52EC">
      <w:pPr>
        <w:rPr>
          <w:rFonts w:eastAsia="Times New Roman" w:cs="Times New Roman"/>
          <w:color w:val="000000"/>
          <w:lang w:eastAsia="en-GB"/>
        </w:rPr>
      </w:pPr>
      <w:r>
        <w:rPr>
          <w:rFonts w:eastAsia="Times New Roman" w:cs="Times New Roman"/>
          <w:color w:val="000000"/>
          <w:lang w:eastAsia="en-GB"/>
        </w:rPr>
        <w:br w:type="page"/>
      </w:r>
    </w:p>
    <w:p w:rsidR="002B45AD" w:rsidRPr="001F45C7" w:rsidRDefault="002B45AD" w:rsidP="00D95302">
      <w:pPr>
        <w:rPr>
          <w:b/>
        </w:rPr>
      </w:pPr>
      <w:r w:rsidRPr="001F45C7">
        <w:rPr>
          <w:b/>
        </w:rPr>
        <w:lastRenderedPageBreak/>
        <w:t xml:space="preserve">References </w:t>
      </w:r>
    </w:p>
    <w:p w:rsidR="008412A2" w:rsidRDefault="008412A2" w:rsidP="008412A2">
      <w:pPr>
        <w:jc w:val="both"/>
      </w:pPr>
      <w:proofErr w:type="spellStart"/>
      <w:r>
        <w:t>Alif</w:t>
      </w:r>
      <w:proofErr w:type="spellEnd"/>
      <w:r>
        <w:t xml:space="preserve"> SM1, </w:t>
      </w:r>
      <w:proofErr w:type="spellStart"/>
      <w:r>
        <w:t>Dharmage</w:t>
      </w:r>
      <w:proofErr w:type="spellEnd"/>
      <w:r>
        <w:t xml:space="preserve"> SC1,2, </w:t>
      </w:r>
      <w:proofErr w:type="spellStart"/>
      <w:r>
        <w:t>Bowatte</w:t>
      </w:r>
      <w:proofErr w:type="spellEnd"/>
      <w:r>
        <w:t xml:space="preserve"> G1, </w:t>
      </w:r>
      <w:proofErr w:type="spellStart"/>
      <w:r>
        <w:t>Karahalios</w:t>
      </w:r>
      <w:proofErr w:type="spellEnd"/>
      <w:r>
        <w:t xml:space="preserve"> A3, </w:t>
      </w:r>
      <w:proofErr w:type="spellStart"/>
      <w:r>
        <w:t>Benke</w:t>
      </w:r>
      <w:proofErr w:type="spellEnd"/>
      <w:r>
        <w:t xml:space="preserve"> G4, </w:t>
      </w:r>
      <w:proofErr w:type="spellStart"/>
      <w:r>
        <w:t>Dennekamp</w:t>
      </w:r>
      <w:proofErr w:type="spellEnd"/>
      <w:r>
        <w:t xml:space="preserve"> M4, Mehta AJ5, </w:t>
      </w:r>
      <w:proofErr w:type="spellStart"/>
      <w:r>
        <w:t>Miedinger</w:t>
      </w:r>
      <w:proofErr w:type="spellEnd"/>
      <w:r>
        <w:t xml:space="preserve"> D6,7, </w:t>
      </w:r>
      <w:proofErr w:type="spellStart"/>
      <w:r>
        <w:t>Künzli</w:t>
      </w:r>
      <w:proofErr w:type="spellEnd"/>
      <w:r>
        <w:t xml:space="preserve"> N8,7, Probst-</w:t>
      </w:r>
      <w:proofErr w:type="spellStart"/>
      <w:r>
        <w:t>Hensch</w:t>
      </w:r>
      <w:proofErr w:type="spellEnd"/>
      <w:r>
        <w:t xml:space="preserve"> N8,7, Matheson MC1,2. Occupational exposure and risk of chronic obstructive pulmonary disease: a systematic review and meta-analysis. Expert Rev </w:t>
      </w:r>
      <w:proofErr w:type="spellStart"/>
      <w:r>
        <w:t>Respir</w:t>
      </w:r>
      <w:proofErr w:type="spellEnd"/>
      <w:r>
        <w:t xml:space="preserve"> Med. 2016 Aug</w:t>
      </w:r>
      <w:proofErr w:type="gramStart"/>
      <w:r>
        <w:t>;10</w:t>
      </w:r>
      <w:proofErr w:type="gramEnd"/>
      <w:r>
        <w:t xml:space="preserve">(8):861-72. </w:t>
      </w:r>
      <w:proofErr w:type="spellStart"/>
      <w:proofErr w:type="gramStart"/>
      <w:r>
        <w:t>doi</w:t>
      </w:r>
      <w:proofErr w:type="spellEnd"/>
      <w:proofErr w:type="gramEnd"/>
      <w:r>
        <w:t xml:space="preserve">: 10.1080/17476348.2016.1190274. </w:t>
      </w:r>
      <w:proofErr w:type="spellStart"/>
      <w:r>
        <w:t>Epub</w:t>
      </w:r>
      <w:proofErr w:type="spellEnd"/>
      <w:r>
        <w:t xml:space="preserve"> 2016 Jul 1.</w:t>
      </w:r>
    </w:p>
    <w:p w:rsidR="00136D07" w:rsidRPr="001F45C7" w:rsidRDefault="00136D07" w:rsidP="001F45C7">
      <w:pPr>
        <w:jc w:val="both"/>
      </w:pPr>
      <w:proofErr w:type="spellStart"/>
      <w:r w:rsidRPr="001F45C7">
        <w:t>Alshabanat</w:t>
      </w:r>
      <w:proofErr w:type="spellEnd"/>
      <w:r w:rsidRPr="001F45C7">
        <w:t xml:space="preserve"> A, </w:t>
      </w:r>
      <w:proofErr w:type="spellStart"/>
      <w:r w:rsidRPr="001F45C7">
        <w:t>Zafari</w:t>
      </w:r>
      <w:proofErr w:type="spellEnd"/>
      <w:r w:rsidRPr="001F45C7">
        <w:t xml:space="preserve"> Z, </w:t>
      </w:r>
      <w:proofErr w:type="spellStart"/>
      <w:r w:rsidRPr="001F45C7">
        <w:t>Albanyan</w:t>
      </w:r>
      <w:proofErr w:type="spellEnd"/>
      <w:r w:rsidRPr="001F45C7">
        <w:t xml:space="preserve"> O, </w:t>
      </w:r>
      <w:proofErr w:type="spellStart"/>
      <w:r w:rsidRPr="001F45C7">
        <w:t>Dairi</w:t>
      </w:r>
      <w:proofErr w:type="spellEnd"/>
      <w:r w:rsidRPr="001F45C7">
        <w:t xml:space="preserve"> M, FitzGerald JM. Asthma and COPD Overlap Syndrome (ACOS): A Systematic Review and </w:t>
      </w:r>
      <w:proofErr w:type="spellStart"/>
      <w:r w:rsidRPr="001F45C7">
        <w:t>Meta Analysis</w:t>
      </w:r>
      <w:proofErr w:type="spellEnd"/>
      <w:r w:rsidRPr="001F45C7">
        <w:t xml:space="preserve">. </w:t>
      </w:r>
      <w:proofErr w:type="spellStart"/>
      <w:proofErr w:type="gramStart"/>
      <w:r w:rsidRPr="001F45C7">
        <w:t>PLoS</w:t>
      </w:r>
      <w:proofErr w:type="spellEnd"/>
      <w:r w:rsidRPr="001F45C7">
        <w:t xml:space="preserve"> One.</w:t>
      </w:r>
      <w:proofErr w:type="gramEnd"/>
      <w:r w:rsidRPr="001F45C7">
        <w:t xml:space="preserve"> 2015 Sep 3</w:t>
      </w:r>
      <w:proofErr w:type="gramStart"/>
      <w:r w:rsidRPr="001F45C7">
        <w:t>;10</w:t>
      </w:r>
      <w:proofErr w:type="gramEnd"/>
      <w:r w:rsidRPr="001F45C7">
        <w:t xml:space="preserve">(9):e0136065. </w:t>
      </w:r>
    </w:p>
    <w:p w:rsidR="00136D07" w:rsidRPr="001F45C7" w:rsidRDefault="00136D07" w:rsidP="001F45C7">
      <w:pPr>
        <w:jc w:val="both"/>
      </w:pPr>
      <w:r w:rsidRPr="001F45C7">
        <w:t xml:space="preserve">Axelsson M1,2, </w:t>
      </w:r>
      <w:proofErr w:type="spellStart"/>
      <w:r w:rsidRPr="001F45C7">
        <w:t>Ekerljung</w:t>
      </w:r>
      <w:proofErr w:type="spellEnd"/>
      <w:r w:rsidRPr="001F45C7">
        <w:t xml:space="preserve"> L3, Eriksson J3,4, </w:t>
      </w:r>
      <w:proofErr w:type="spellStart"/>
      <w:r w:rsidRPr="001F45C7">
        <w:t>Hagstad</w:t>
      </w:r>
      <w:proofErr w:type="spellEnd"/>
      <w:r w:rsidRPr="001F45C7">
        <w:t xml:space="preserve"> S3,5, </w:t>
      </w:r>
      <w:proofErr w:type="spellStart"/>
      <w:r w:rsidRPr="001F45C7">
        <w:t>Rönmark</w:t>
      </w:r>
      <w:proofErr w:type="spellEnd"/>
      <w:r w:rsidRPr="001F45C7">
        <w:t xml:space="preserve"> E5,6, </w:t>
      </w:r>
      <w:proofErr w:type="spellStart"/>
      <w:r w:rsidRPr="001F45C7">
        <w:t>Lötvall</w:t>
      </w:r>
      <w:proofErr w:type="spellEnd"/>
      <w:r w:rsidRPr="001F45C7">
        <w:t xml:space="preserve"> J3, </w:t>
      </w:r>
      <w:proofErr w:type="spellStart"/>
      <w:r w:rsidRPr="001F45C7">
        <w:t>Lundbäck</w:t>
      </w:r>
      <w:proofErr w:type="spellEnd"/>
      <w:r w:rsidRPr="001F45C7">
        <w:t xml:space="preserve"> B3,5. </w:t>
      </w:r>
      <w:proofErr w:type="gramStart"/>
      <w:r w:rsidRPr="001F45C7">
        <w:t>Chronic bronchitis in West Sweden - a matter of smoking and social class.</w:t>
      </w:r>
      <w:proofErr w:type="gramEnd"/>
      <w:r w:rsidRPr="001F45C7">
        <w:t xml:space="preserve"> </w:t>
      </w:r>
      <w:proofErr w:type="spellStart"/>
      <w:r w:rsidRPr="001F45C7">
        <w:t>Eur</w:t>
      </w:r>
      <w:proofErr w:type="spellEnd"/>
      <w:r w:rsidRPr="001F45C7">
        <w:t xml:space="preserve"> </w:t>
      </w:r>
      <w:proofErr w:type="spellStart"/>
      <w:r w:rsidRPr="001F45C7">
        <w:t>Clin</w:t>
      </w:r>
      <w:proofErr w:type="spellEnd"/>
      <w:r w:rsidRPr="001F45C7">
        <w:t xml:space="preserve"> </w:t>
      </w:r>
      <w:proofErr w:type="spellStart"/>
      <w:r w:rsidRPr="001F45C7">
        <w:t>Respir</w:t>
      </w:r>
      <w:proofErr w:type="spellEnd"/>
      <w:r w:rsidRPr="001F45C7">
        <w:t xml:space="preserve"> J. 2016 Jul 13</w:t>
      </w:r>
      <w:proofErr w:type="gramStart"/>
      <w:r w:rsidRPr="001F45C7">
        <w:t>;3:30319</w:t>
      </w:r>
      <w:proofErr w:type="gramEnd"/>
      <w:r w:rsidRPr="001F45C7">
        <w:t xml:space="preserve">. </w:t>
      </w:r>
      <w:proofErr w:type="spellStart"/>
      <w:proofErr w:type="gramStart"/>
      <w:r w:rsidRPr="001F45C7">
        <w:t>doi</w:t>
      </w:r>
      <w:proofErr w:type="spellEnd"/>
      <w:proofErr w:type="gramEnd"/>
      <w:r w:rsidRPr="001F45C7">
        <w:t xml:space="preserve">: 10.3402/ecrj.v3.30319. </w:t>
      </w:r>
      <w:proofErr w:type="spellStart"/>
      <w:proofErr w:type="gramStart"/>
      <w:r w:rsidRPr="001F45C7">
        <w:t>eCollection</w:t>
      </w:r>
      <w:proofErr w:type="spellEnd"/>
      <w:proofErr w:type="gramEnd"/>
      <w:r w:rsidRPr="001F45C7">
        <w:t xml:space="preserve"> 2016.</w:t>
      </w:r>
    </w:p>
    <w:p w:rsidR="00136D07" w:rsidRPr="001F45C7" w:rsidRDefault="00136D07" w:rsidP="001F45C7">
      <w:pPr>
        <w:jc w:val="both"/>
      </w:pPr>
      <w:proofErr w:type="spellStart"/>
      <w:r w:rsidRPr="001F45C7">
        <w:t>Balmes</w:t>
      </w:r>
      <w:proofErr w:type="spellEnd"/>
      <w:r w:rsidRPr="001F45C7">
        <w:t xml:space="preserve"> J, </w:t>
      </w:r>
      <w:proofErr w:type="spellStart"/>
      <w:r w:rsidRPr="001F45C7">
        <w:t>Becklake</w:t>
      </w:r>
      <w:proofErr w:type="spellEnd"/>
      <w:r w:rsidRPr="001F45C7">
        <w:t xml:space="preserve"> M, Blanc P, Henneberger P, </w:t>
      </w:r>
      <w:proofErr w:type="spellStart"/>
      <w:r w:rsidRPr="001F45C7">
        <w:t>Kreiss</w:t>
      </w:r>
      <w:proofErr w:type="spellEnd"/>
      <w:r w:rsidRPr="001F45C7">
        <w:t xml:space="preserve"> K, Mapp C, Milton D, Schwartz D, </w:t>
      </w:r>
      <w:proofErr w:type="spellStart"/>
      <w:r w:rsidRPr="001F45C7">
        <w:t>Toren</w:t>
      </w:r>
      <w:proofErr w:type="spellEnd"/>
      <w:r w:rsidRPr="001F45C7">
        <w:t xml:space="preserve"> K, </w:t>
      </w:r>
      <w:proofErr w:type="spellStart"/>
      <w:r w:rsidRPr="001F45C7">
        <w:t>Viegi</w:t>
      </w:r>
      <w:proofErr w:type="spellEnd"/>
      <w:r w:rsidRPr="001F45C7">
        <w:t xml:space="preserve"> G; Environmental and Occupational Health Assembly, American Thoracic </w:t>
      </w:r>
      <w:proofErr w:type="spellStart"/>
      <w:r w:rsidRPr="001F45C7">
        <w:t>Society.Blanc</w:t>
      </w:r>
      <w:proofErr w:type="spellEnd"/>
      <w:r w:rsidRPr="001F45C7">
        <w:t xml:space="preserve"> PD, </w:t>
      </w:r>
      <w:proofErr w:type="spellStart"/>
      <w:r w:rsidRPr="001F45C7">
        <w:t>Torén</w:t>
      </w:r>
      <w:proofErr w:type="spellEnd"/>
      <w:r w:rsidRPr="001F45C7">
        <w:t xml:space="preserve"> K. American Thoracic Society Statement: Occupational contribution to the burden of airway disease. Am J </w:t>
      </w:r>
      <w:proofErr w:type="spellStart"/>
      <w:r w:rsidRPr="001F45C7">
        <w:t>Respir</w:t>
      </w:r>
      <w:proofErr w:type="spellEnd"/>
      <w:r w:rsidRPr="001F45C7">
        <w:t xml:space="preserve"> </w:t>
      </w:r>
      <w:proofErr w:type="spellStart"/>
      <w:r w:rsidRPr="001F45C7">
        <w:t>Crit</w:t>
      </w:r>
      <w:proofErr w:type="spellEnd"/>
      <w:r w:rsidRPr="001F45C7">
        <w:t xml:space="preserve"> Care Med. 2003 Mar 1</w:t>
      </w:r>
      <w:proofErr w:type="gramStart"/>
      <w:r w:rsidRPr="001F45C7">
        <w:t>;167</w:t>
      </w:r>
      <w:proofErr w:type="gramEnd"/>
      <w:r w:rsidRPr="001F45C7">
        <w:t>(5):787-97.</w:t>
      </w:r>
    </w:p>
    <w:p w:rsidR="00136D07" w:rsidRPr="001F45C7" w:rsidRDefault="00136D07" w:rsidP="001F45C7">
      <w:pPr>
        <w:jc w:val="both"/>
      </w:pPr>
      <w:r w:rsidRPr="001F45C7">
        <w:t xml:space="preserve">Bang KM1, </w:t>
      </w:r>
      <w:proofErr w:type="spellStart"/>
      <w:r w:rsidRPr="001F45C7">
        <w:t>Syamlal</w:t>
      </w:r>
      <w:proofErr w:type="spellEnd"/>
      <w:r w:rsidRPr="001F45C7">
        <w:t xml:space="preserve"> G, </w:t>
      </w:r>
      <w:proofErr w:type="spellStart"/>
      <w:r w:rsidRPr="001F45C7">
        <w:t>Mazurek</w:t>
      </w:r>
      <w:proofErr w:type="spellEnd"/>
      <w:r w:rsidRPr="001F45C7">
        <w:t xml:space="preserve"> JM, </w:t>
      </w:r>
      <w:proofErr w:type="spellStart"/>
      <w:r w:rsidRPr="001F45C7">
        <w:t>Wassell</w:t>
      </w:r>
      <w:proofErr w:type="spellEnd"/>
      <w:r w:rsidRPr="001F45C7">
        <w:t xml:space="preserve"> JT. Chronic obstructive pulmonary disease prevalence among </w:t>
      </w:r>
      <w:proofErr w:type="spellStart"/>
      <w:r w:rsidRPr="001F45C7">
        <w:t>nonsmokers</w:t>
      </w:r>
      <w:proofErr w:type="spellEnd"/>
      <w:r w:rsidRPr="001F45C7">
        <w:t xml:space="preserve"> by occupation in the United States. J </w:t>
      </w:r>
      <w:proofErr w:type="spellStart"/>
      <w:r w:rsidRPr="001F45C7">
        <w:t>Occup</w:t>
      </w:r>
      <w:proofErr w:type="spellEnd"/>
      <w:r w:rsidRPr="001F45C7">
        <w:t xml:space="preserve"> Environ Med. 2013 Sep</w:t>
      </w:r>
      <w:proofErr w:type="gramStart"/>
      <w:r w:rsidRPr="001F45C7">
        <w:t>;55</w:t>
      </w:r>
      <w:proofErr w:type="gramEnd"/>
      <w:r w:rsidRPr="001F45C7">
        <w:t xml:space="preserve">(9):1021-6. </w:t>
      </w:r>
      <w:proofErr w:type="spellStart"/>
      <w:proofErr w:type="gramStart"/>
      <w:r w:rsidRPr="001F45C7">
        <w:t>doi</w:t>
      </w:r>
      <w:proofErr w:type="spellEnd"/>
      <w:proofErr w:type="gramEnd"/>
      <w:r w:rsidRPr="001F45C7">
        <w:t>: 10.1097/JOM.0b013e31829baa97.</w:t>
      </w:r>
    </w:p>
    <w:p w:rsidR="00136D07" w:rsidRPr="001F45C7" w:rsidRDefault="00136D07" w:rsidP="001F45C7">
      <w:pPr>
        <w:jc w:val="both"/>
      </w:pPr>
      <w:r w:rsidRPr="001F45C7">
        <w:t xml:space="preserve">Bang KM1, </w:t>
      </w:r>
      <w:proofErr w:type="spellStart"/>
      <w:r w:rsidRPr="001F45C7">
        <w:t>Syamlal</w:t>
      </w:r>
      <w:proofErr w:type="spellEnd"/>
      <w:r w:rsidRPr="001F45C7">
        <w:t xml:space="preserve"> G, </w:t>
      </w:r>
      <w:proofErr w:type="spellStart"/>
      <w:r w:rsidRPr="001F45C7">
        <w:t>Mazurek</w:t>
      </w:r>
      <w:proofErr w:type="spellEnd"/>
      <w:r w:rsidRPr="001F45C7">
        <w:t xml:space="preserve"> JM. Prevalence of chronic obstructive pulmonary disease in the U.S. working population: an analysis of data from the 1997-2004 National Health Interview Survey. </w:t>
      </w:r>
      <w:proofErr w:type="gramStart"/>
      <w:r w:rsidRPr="001F45C7">
        <w:t>COPD.</w:t>
      </w:r>
      <w:proofErr w:type="gramEnd"/>
      <w:r w:rsidRPr="001F45C7">
        <w:t xml:space="preserve"> 2009 Oct</w:t>
      </w:r>
      <w:proofErr w:type="gramStart"/>
      <w:r w:rsidRPr="001F45C7">
        <w:t>;6</w:t>
      </w:r>
      <w:proofErr w:type="gramEnd"/>
      <w:r w:rsidRPr="001F45C7">
        <w:t>(5):380-7.</w:t>
      </w:r>
    </w:p>
    <w:p w:rsidR="00136D07" w:rsidRPr="001F45C7" w:rsidRDefault="00136D07" w:rsidP="001F45C7">
      <w:pPr>
        <w:jc w:val="both"/>
      </w:pPr>
      <w:proofErr w:type="spellStart"/>
      <w:r w:rsidRPr="001F45C7">
        <w:t>Bergdahl</w:t>
      </w:r>
      <w:proofErr w:type="spellEnd"/>
      <w:r w:rsidRPr="001F45C7">
        <w:t xml:space="preserve"> IA1, </w:t>
      </w:r>
      <w:proofErr w:type="spellStart"/>
      <w:r w:rsidRPr="001F45C7">
        <w:t>Torén</w:t>
      </w:r>
      <w:proofErr w:type="spellEnd"/>
      <w:r w:rsidRPr="001F45C7">
        <w:t xml:space="preserve"> K, Eriksson K, </w:t>
      </w:r>
      <w:proofErr w:type="spellStart"/>
      <w:r w:rsidRPr="001F45C7">
        <w:t>Hedlund</w:t>
      </w:r>
      <w:proofErr w:type="spellEnd"/>
      <w:r w:rsidRPr="001F45C7">
        <w:t xml:space="preserve"> U, Nilsson T, </w:t>
      </w:r>
      <w:proofErr w:type="spellStart"/>
      <w:r w:rsidRPr="001F45C7">
        <w:t>Flodin</w:t>
      </w:r>
      <w:proofErr w:type="spellEnd"/>
      <w:r w:rsidRPr="001F45C7">
        <w:t xml:space="preserve"> R, </w:t>
      </w:r>
      <w:proofErr w:type="spellStart"/>
      <w:r w:rsidRPr="001F45C7">
        <w:t>Järvholm</w:t>
      </w:r>
      <w:proofErr w:type="spellEnd"/>
      <w:r w:rsidRPr="001F45C7">
        <w:t xml:space="preserve"> B. Increased mortality in COPD among construction workers exposed to inorganic dust. </w:t>
      </w:r>
      <w:proofErr w:type="spellStart"/>
      <w:r w:rsidRPr="001F45C7">
        <w:t>Eur</w:t>
      </w:r>
      <w:proofErr w:type="spellEnd"/>
      <w:r w:rsidRPr="001F45C7">
        <w:t xml:space="preserve"> </w:t>
      </w:r>
      <w:proofErr w:type="spellStart"/>
      <w:r w:rsidRPr="001F45C7">
        <w:t>Respir</w:t>
      </w:r>
      <w:proofErr w:type="spellEnd"/>
      <w:r w:rsidRPr="001F45C7">
        <w:t xml:space="preserve"> J. 2004 Mar</w:t>
      </w:r>
      <w:proofErr w:type="gramStart"/>
      <w:r w:rsidRPr="001F45C7">
        <w:t>;23</w:t>
      </w:r>
      <w:proofErr w:type="gramEnd"/>
      <w:r w:rsidRPr="001F45C7">
        <w:t>(3):402-6.</w:t>
      </w:r>
    </w:p>
    <w:p w:rsidR="00136D07" w:rsidRPr="001F45C7" w:rsidRDefault="00136D07" w:rsidP="001F45C7">
      <w:pPr>
        <w:jc w:val="both"/>
      </w:pPr>
      <w:r w:rsidRPr="001F45C7">
        <w:t xml:space="preserve">Blanc PD, </w:t>
      </w:r>
      <w:proofErr w:type="spellStart"/>
      <w:r w:rsidRPr="001F45C7">
        <w:t>Torén</w:t>
      </w:r>
      <w:proofErr w:type="spellEnd"/>
      <w:r w:rsidRPr="001F45C7">
        <w:t xml:space="preserve"> K. COPD and occupation: resetting the agenda. </w:t>
      </w:r>
      <w:proofErr w:type="spellStart"/>
      <w:r w:rsidRPr="001F45C7">
        <w:t>Occup</w:t>
      </w:r>
      <w:proofErr w:type="spellEnd"/>
      <w:r w:rsidRPr="001F45C7">
        <w:t xml:space="preserve"> Environ Med. 2016 Jun</w:t>
      </w:r>
      <w:proofErr w:type="gramStart"/>
      <w:r w:rsidRPr="001F45C7">
        <w:t>;73</w:t>
      </w:r>
      <w:proofErr w:type="gramEnd"/>
      <w:r w:rsidRPr="001F45C7">
        <w:t xml:space="preserve">(6):357-8. </w:t>
      </w:r>
      <w:proofErr w:type="spellStart"/>
      <w:proofErr w:type="gramStart"/>
      <w:r w:rsidRPr="001F45C7">
        <w:t>doi</w:t>
      </w:r>
      <w:proofErr w:type="spellEnd"/>
      <w:proofErr w:type="gramEnd"/>
      <w:r w:rsidRPr="001F45C7">
        <w:t xml:space="preserve">: 10.1136/oemed-2015-103300. </w:t>
      </w:r>
    </w:p>
    <w:p w:rsidR="00136D07" w:rsidRPr="001F45C7" w:rsidRDefault="00136D07" w:rsidP="001F45C7">
      <w:pPr>
        <w:jc w:val="both"/>
      </w:pPr>
      <w:r w:rsidRPr="001F45C7">
        <w:t xml:space="preserve">Blanc PD, </w:t>
      </w:r>
      <w:proofErr w:type="spellStart"/>
      <w:r w:rsidRPr="001F45C7">
        <w:t>Torén</w:t>
      </w:r>
      <w:proofErr w:type="spellEnd"/>
      <w:r w:rsidRPr="001F45C7">
        <w:t xml:space="preserve"> K. Occupation in chronic obstructive pulmonary disease and chronic bronchitis: an update. </w:t>
      </w:r>
      <w:proofErr w:type="spellStart"/>
      <w:r w:rsidRPr="001F45C7">
        <w:t>Int</w:t>
      </w:r>
      <w:proofErr w:type="spellEnd"/>
      <w:r w:rsidRPr="001F45C7">
        <w:t xml:space="preserve"> J </w:t>
      </w:r>
      <w:proofErr w:type="spellStart"/>
      <w:r w:rsidRPr="001F45C7">
        <w:t>Tuberc</w:t>
      </w:r>
      <w:proofErr w:type="spellEnd"/>
      <w:r w:rsidRPr="001F45C7">
        <w:t xml:space="preserve"> Lung Dis. 2007 Mar</w:t>
      </w:r>
      <w:proofErr w:type="gramStart"/>
      <w:r w:rsidRPr="001F45C7">
        <w:t>;11</w:t>
      </w:r>
      <w:proofErr w:type="gramEnd"/>
      <w:r w:rsidRPr="001F45C7">
        <w:t>(3):251-7.</w:t>
      </w:r>
    </w:p>
    <w:p w:rsidR="009513F5" w:rsidRDefault="00136D07" w:rsidP="001F45C7">
      <w:pPr>
        <w:jc w:val="both"/>
      </w:pPr>
      <w:proofErr w:type="gramStart"/>
      <w:r w:rsidRPr="001F45C7">
        <w:t xml:space="preserve">Blanc PD1, Eisner MD, Earnest G, </w:t>
      </w:r>
      <w:proofErr w:type="spellStart"/>
      <w:r w:rsidRPr="001F45C7">
        <w:t>Trupin</w:t>
      </w:r>
      <w:proofErr w:type="spellEnd"/>
      <w:r w:rsidRPr="001F45C7">
        <w:t xml:space="preserve"> L, </w:t>
      </w:r>
      <w:proofErr w:type="spellStart"/>
      <w:r w:rsidRPr="001F45C7">
        <w:t>Balmes</w:t>
      </w:r>
      <w:proofErr w:type="spellEnd"/>
      <w:r w:rsidRPr="001F45C7">
        <w:t xml:space="preserve"> JR, </w:t>
      </w:r>
      <w:proofErr w:type="spellStart"/>
      <w:r w:rsidRPr="001F45C7">
        <w:t>Yelin</w:t>
      </w:r>
      <w:proofErr w:type="spellEnd"/>
      <w:r w:rsidRPr="001F45C7">
        <w:t xml:space="preserve"> EH, </w:t>
      </w:r>
      <w:proofErr w:type="spellStart"/>
      <w:r w:rsidRPr="001F45C7">
        <w:t>Gregorich</w:t>
      </w:r>
      <w:proofErr w:type="spellEnd"/>
      <w:r w:rsidRPr="001F45C7">
        <w:t xml:space="preserve"> SE, Katz PP.</w:t>
      </w:r>
      <w:proofErr w:type="gramEnd"/>
      <w:r w:rsidRPr="001F45C7">
        <w:t xml:space="preserve"> </w:t>
      </w:r>
      <w:proofErr w:type="gramStart"/>
      <w:r w:rsidRPr="001F45C7">
        <w:t>Further exploration of the links between occupational exposure and chronic obstructive pulmonary disease.</w:t>
      </w:r>
      <w:proofErr w:type="gramEnd"/>
      <w:r w:rsidRPr="001F45C7">
        <w:t xml:space="preserve"> J </w:t>
      </w:r>
      <w:proofErr w:type="spellStart"/>
      <w:r w:rsidRPr="001F45C7">
        <w:t>Occup</w:t>
      </w:r>
      <w:proofErr w:type="spellEnd"/>
      <w:r w:rsidRPr="001F45C7">
        <w:t xml:space="preserve"> Environ Med. 2009</w:t>
      </w:r>
      <w:r w:rsidR="009513F5">
        <w:t>b</w:t>
      </w:r>
      <w:r w:rsidRPr="001F45C7">
        <w:t xml:space="preserve"> Jul</w:t>
      </w:r>
      <w:proofErr w:type="gramStart"/>
      <w:r w:rsidRPr="001F45C7">
        <w:t>;51</w:t>
      </w:r>
      <w:proofErr w:type="gramEnd"/>
      <w:r w:rsidRPr="001F45C7">
        <w:t xml:space="preserve">(7):804-10. </w:t>
      </w:r>
    </w:p>
    <w:p w:rsidR="00136D07" w:rsidRDefault="00136D07" w:rsidP="001F45C7">
      <w:pPr>
        <w:jc w:val="both"/>
      </w:pPr>
      <w:r w:rsidRPr="001F45C7">
        <w:t xml:space="preserve">Blanc PD1, </w:t>
      </w:r>
      <w:proofErr w:type="spellStart"/>
      <w:r w:rsidRPr="001F45C7">
        <w:t>Iribarren</w:t>
      </w:r>
      <w:proofErr w:type="spellEnd"/>
      <w:r w:rsidRPr="001F45C7">
        <w:t xml:space="preserve"> C, </w:t>
      </w:r>
      <w:proofErr w:type="spellStart"/>
      <w:r w:rsidRPr="001F45C7">
        <w:t>Trupin</w:t>
      </w:r>
      <w:proofErr w:type="spellEnd"/>
      <w:r w:rsidRPr="001F45C7">
        <w:t xml:space="preserve"> L, Earnest G, Katz PP, </w:t>
      </w:r>
      <w:proofErr w:type="spellStart"/>
      <w:r w:rsidRPr="001F45C7">
        <w:t>Balmes</w:t>
      </w:r>
      <w:proofErr w:type="spellEnd"/>
      <w:r w:rsidRPr="001F45C7">
        <w:t xml:space="preserve"> J, Sidney S, Eisner MD. Occupational exposures and the risk of COPD: dusty trades revisited. </w:t>
      </w:r>
      <w:proofErr w:type="gramStart"/>
      <w:r w:rsidRPr="001F45C7">
        <w:t>Thorax.</w:t>
      </w:r>
      <w:proofErr w:type="gramEnd"/>
      <w:r w:rsidRPr="001F45C7">
        <w:t xml:space="preserve"> 2009</w:t>
      </w:r>
      <w:r w:rsidR="009513F5">
        <w:t>a</w:t>
      </w:r>
      <w:r w:rsidRPr="001F45C7">
        <w:t xml:space="preserve"> Jan</w:t>
      </w:r>
      <w:proofErr w:type="gramStart"/>
      <w:r w:rsidRPr="001F45C7">
        <w:t>;64</w:t>
      </w:r>
      <w:proofErr w:type="gramEnd"/>
      <w:r w:rsidRPr="001F45C7">
        <w:t xml:space="preserve">(1):6-12. </w:t>
      </w:r>
    </w:p>
    <w:p w:rsidR="001A4A80" w:rsidRPr="001F45C7" w:rsidRDefault="001A4A80" w:rsidP="001A4A80">
      <w:pPr>
        <w:jc w:val="both"/>
      </w:pPr>
      <w:r>
        <w:t xml:space="preserve">Blanc PD, Menezes AM, Plana E, </w:t>
      </w:r>
      <w:proofErr w:type="spellStart"/>
      <w:r>
        <w:t>Mannino</w:t>
      </w:r>
      <w:proofErr w:type="spellEnd"/>
      <w:r>
        <w:t xml:space="preserve"> DM, </w:t>
      </w:r>
      <w:proofErr w:type="spellStart"/>
      <w:r>
        <w:t>Hallal</w:t>
      </w:r>
      <w:proofErr w:type="spellEnd"/>
      <w:r>
        <w:t xml:space="preserve"> PC, </w:t>
      </w:r>
      <w:proofErr w:type="spellStart"/>
      <w:r>
        <w:t>Torén</w:t>
      </w:r>
      <w:proofErr w:type="spellEnd"/>
      <w:r>
        <w:t xml:space="preserve"> K, et al. Occupational exposures and COPD: An ecological analysis of international data. </w:t>
      </w:r>
      <w:proofErr w:type="spellStart"/>
      <w:r>
        <w:t>Eur</w:t>
      </w:r>
      <w:proofErr w:type="spellEnd"/>
      <w:r>
        <w:t xml:space="preserve"> </w:t>
      </w:r>
      <w:proofErr w:type="spellStart"/>
      <w:r>
        <w:t>Respir</w:t>
      </w:r>
      <w:proofErr w:type="spellEnd"/>
      <w:r>
        <w:t xml:space="preserve"> J. 2009 Feb</w:t>
      </w:r>
      <w:proofErr w:type="gramStart"/>
      <w:r>
        <w:t>;33</w:t>
      </w:r>
      <w:proofErr w:type="gramEnd"/>
      <w:r>
        <w:t>(2):298–304. http://dx.doi.org/10.1183/09031936.00118808.</w:t>
      </w:r>
    </w:p>
    <w:p w:rsidR="00043564" w:rsidRDefault="00043564" w:rsidP="00043564">
      <w:pPr>
        <w:jc w:val="both"/>
      </w:pPr>
      <w:proofErr w:type="spellStart"/>
      <w:r>
        <w:lastRenderedPageBreak/>
        <w:t>Boggia</w:t>
      </w:r>
      <w:proofErr w:type="spellEnd"/>
      <w:r>
        <w:t xml:space="preserve"> B1, </w:t>
      </w:r>
      <w:proofErr w:type="spellStart"/>
      <w:r>
        <w:t>Farinaro</w:t>
      </w:r>
      <w:proofErr w:type="spellEnd"/>
      <w:r>
        <w:t xml:space="preserve"> E, </w:t>
      </w:r>
      <w:proofErr w:type="spellStart"/>
      <w:r>
        <w:t>Grieco</w:t>
      </w:r>
      <w:proofErr w:type="spellEnd"/>
      <w:r>
        <w:t xml:space="preserve"> L, </w:t>
      </w:r>
      <w:proofErr w:type="spellStart"/>
      <w:r>
        <w:t>Lucariello</w:t>
      </w:r>
      <w:proofErr w:type="spellEnd"/>
      <w:r>
        <w:t xml:space="preserve"> A, Carbone U. Burden of smoking and occupational exposure on </w:t>
      </w:r>
      <w:proofErr w:type="spellStart"/>
      <w:r>
        <w:t>etiology</w:t>
      </w:r>
      <w:proofErr w:type="spellEnd"/>
      <w:r>
        <w:t xml:space="preserve"> of chronic obstructive pulmonary disease in workers of Southern Italy.</w:t>
      </w:r>
      <w:r w:rsidRPr="00043564">
        <w:t xml:space="preserve"> </w:t>
      </w:r>
      <w:r>
        <w:t xml:space="preserve">J </w:t>
      </w:r>
      <w:proofErr w:type="spellStart"/>
      <w:r>
        <w:t>Occup</w:t>
      </w:r>
      <w:proofErr w:type="spellEnd"/>
      <w:r>
        <w:t xml:space="preserve"> Environ Med. 2008 Mar</w:t>
      </w:r>
      <w:proofErr w:type="gramStart"/>
      <w:r>
        <w:t>;50</w:t>
      </w:r>
      <w:proofErr w:type="gramEnd"/>
      <w:r>
        <w:t xml:space="preserve">(3):366-70. </w:t>
      </w:r>
      <w:proofErr w:type="spellStart"/>
      <w:proofErr w:type="gramStart"/>
      <w:r>
        <w:t>doi</w:t>
      </w:r>
      <w:proofErr w:type="spellEnd"/>
      <w:proofErr w:type="gramEnd"/>
      <w:r>
        <w:t>: 10.1097/JOM.0b013e318162f601.</w:t>
      </w:r>
    </w:p>
    <w:p w:rsidR="00136D07" w:rsidRPr="001F45C7" w:rsidRDefault="00136D07" w:rsidP="001F45C7">
      <w:pPr>
        <w:jc w:val="both"/>
      </w:pPr>
      <w:r w:rsidRPr="001F45C7">
        <w:t xml:space="preserve">Brooks SM, Weiss MA, Bernstein IL. </w:t>
      </w:r>
      <w:proofErr w:type="gramStart"/>
      <w:r w:rsidRPr="001F45C7">
        <w:t>Reactive airways dysfunction syndrome (RADS).</w:t>
      </w:r>
      <w:proofErr w:type="gramEnd"/>
      <w:r w:rsidRPr="001F45C7">
        <w:t xml:space="preserve"> </w:t>
      </w:r>
      <w:proofErr w:type="gramStart"/>
      <w:r w:rsidRPr="001F45C7">
        <w:t>persistent</w:t>
      </w:r>
      <w:proofErr w:type="gramEnd"/>
      <w:r w:rsidRPr="001F45C7">
        <w:t xml:space="preserve"> asthma syndrome after high level irritant exposures. Chest 1985</w:t>
      </w:r>
      <w:proofErr w:type="gramStart"/>
      <w:r w:rsidRPr="001F45C7">
        <w:t>;88:376</w:t>
      </w:r>
      <w:proofErr w:type="gramEnd"/>
      <w:r w:rsidRPr="001F45C7">
        <w:t>-84.</w:t>
      </w:r>
    </w:p>
    <w:p w:rsidR="00136D07" w:rsidRPr="001F45C7" w:rsidRDefault="00136D07" w:rsidP="001F45C7">
      <w:pPr>
        <w:jc w:val="both"/>
      </w:pPr>
      <w:proofErr w:type="spellStart"/>
      <w:r w:rsidRPr="001F45C7">
        <w:t>Castranova</w:t>
      </w:r>
      <w:proofErr w:type="spellEnd"/>
      <w:r w:rsidRPr="001F45C7">
        <w:t xml:space="preserve"> V, </w:t>
      </w:r>
      <w:proofErr w:type="spellStart"/>
      <w:r w:rsidRPr="001F45C7">
        <w:t>Vallyathan</w:t>
      </w:r>
      <w:proofErr w:type="spellEnd"/>
      <w:r w:rsidRPr="001F45C7">
        <w:t xml:space="preserve"> V. Silicosis and coal workers' pneumoconiosis. Environ Health </w:t>
      </w:r>
      <w:proofErr w:type="spellStart"/>
      <w:r w:rsidRPr="001F45C7">
        <w:t>Perspect</w:t>
      </w:r>
      <w:proofErr w:type="spellEnd"/>
      <w:r w:rsidRPr="001F45C7">
        <w:t xml:space="preserve"> 2000</w:t>
      </w:r>
      <w:proofErr w:type="gramStart"/>
      <w:r w:rsidRPr="001F45C7">
        <w:t>;108:675</w:t>
      </w:r>
      <w:proofErr w:type="gramEnd"/>
      <w:r w:rsidRPr="001F45C7">
        <w:t>-84.</w:t>
      </w:r>
    </w:p>
    <w:p w:rsidR="00136D07" w:rsidRPr="001F45C7" w:rsidRDefault="00136D07" w:rsidP="001F45C7">
      <w:pPr>
        <w:jc w:val="both"/>
      </w:pPr>
      <w:r w:rsidRPr="001F45C7">
        <w:t xml:space="preserve">Cockcroft A, Seal RM, Wagner JC, Lyons JP, Ryder R, </w:t>
      </w:r>
      <w:proofErr w:type="spellStart"/>
      <w:r w:rsidRPr="001F45C7">
        <w:t>Andersson</w:t>
      </w:r>
      <w:proofErr w:type="spellEnd"/>
      <w:r w:rsidRPr="001F45C7">
        <w:t xml:space="preserve"> N. Post-mortem study of emphysema in </w:t>
      </w:r>
      <w:proofErr w:type="spellStart"/>
      <w:r w:rsidRPr="001F45C7">
        <w:t>coalworkers</w:t>
      </w:r>
      <w:proofErr w:type="spellEnd"/>
      <w:r w:rsidRPr="001F45C7">
        <w:t xml:space="preserve"> and non-</w:t>
      </w:r>
      <w:proofErr w:type="spellStart"/>
      <w:r w:rsidRPr="001F45C7">
        <w:t>coalworkers</w:t>
      </w:r>
      <w:proofErr w:type="spellEnd"/>
      <w:r w:rsidRPr="001F45C7">
        <w:t xml:space="preserve">. </w:t>
      </w:r>
      <w:proofErr w:type="gramStart"/>
      <w:r w:rsidRPr="001F45C7">
        <w:t>Lancet.</w:t>
      </w:r>
      <w:proofErr w:type="gramEnd"/>
      <w:r w:rsidRPr="001F45C7">
        <w:t xml:space="preserve"> 1982 Sep 11</w:t>
      </w:r>
      <w:proofErr w:type="gramStart"/>
      <w:r w:rsidRPr="001F45C7">
        <w:t>;2</w:t>
      </w:r>
      <w:proofErr w:type="gramEnd"/>
      <w:r w:rsidRPr="001F45C7">
        <w:t>(8298):600–3.</w:t>
      </w:r>
    </w:p>
    <w:p w:rsidR="00136D07" w:rsidRPr="001F45C7" w:rsidRDefault="00136D07" w:rsidP="001F45C7">
      <w:pPr>
        <w:jc w:val="both"/>
      </w:pPr>
      <w:r w:rsidRPr="001F45C7">
        <w:t xml:space="preserve">Darby AC1, Waterhouse JC, Stevens V, Billings CG, Billings CG, Burton CM, Young C, Wight J, Blanc PD, Fishwick D. Chronic obstructive pulmonary disease among residents of an historically industrialised area. </w:t>
      </w:r>
      <w:proofErr w:type="gramStart"/>
      <w:r w:rsidRPr="001F45C7">
        <w:t>Thorax.</w:t>
      </w:r>
      <w:proofErr w:type="gramEnd"/>
      <w:r w:rsidRPr="001F45C7">
        <w:t xml:space="preserve"> 2012 Oct</w:t>
      </w:r>
      <w:proofErr w:type="gramStart"/>
      <w:r w:rsidRPr="001F45C7">
        <w:t>;67</w:t>
      </w:r>
      <w:proofErr w:type="gramEnd"/>
      <w:r w:rsidRPr="001F45C7">
        <w:t xml:space="preserve">(10):901-7. </w:t>
      </w:r>
      <w:proofErr w:type="spellStart"/>
      <w:proofErr w:type="gramStart"/>
      <w:r w:rsidRPr="001F45C7">
        <w:t>doi</w:t>
      </w:r>
      <w:proofErr w:type="spellEnd"/>
      <w:proofErr w:type="gramEnd"/>
      <w:r w:rsidRPr="001F45C7">
        <w:t xml:space="preserve">: 10.1136/thoraxjnl-2011-200543. </w:t>
      </w:r>
      <w:proofErr w:type="spellStart"/>
      <w:r w:rsidRPr="001F45C7">
        <w:t>Epub</w:t>
      </w:r>
      <w:proofErr w:type="spellEnd"/>
      <w:r w:rsidRPr="001F45C7">
        <w:t xml:space="preserve"> 2012 Jun 28.</w:t>
      </w:r>
    </w:p>
    <w:p w:rsidR="00136D07" w:rsidRPr="001F45C7" w:rsidRDefault="00136D07" w:rsidP="001F45C7">
      <w:pPr>
        <w:jc w:val="both"/>
      </w:pPr>
      <w:r w:rsidRPr="001F45C7">
        <w:t xml:space="preserve">Davison AG, </w:t>
      </w:r>
      <w:proofErr w:type="spellStart"/>
      <w:r w:rsidRPr="001F45C7">
        <w:t>Fayers</w:t>
      </w:r>
      <w:proofErr w:type="spellEnd"/>
      <w:r w:rsidRPr="001F45C7">
        <w:t xml:space="preserve"> PM, Taylor AJ, </w:t>
      </w:r>
      <w:proofErr w:type="spellStart"/>
      <w:r w:rsidRPr="001F45C7">
        <w:t>Venables</w:t>
      </w:r>
      <w:proofErr w:type="spellEnd"/>
      <w:r w:rsidRPr="001F45C7">
        <w:t xml:space="preserve"> KM, </w:t>
      </w:r>
      <w:proofErr w:type="spellStart"/>
      <w:r w:rsidRPr="001F45C7">
        <w:t>Darbyshire</w:t>
      </w:r>
      <w:proofErr w:type="spellEnd"/>
      <w:r w:rsidRPr="001F45C7">
        <w:t xml:space="preserve"> J, Pickering CA, </w:t>
      </w:r>
      <w:proofErr w:type="spellStart"/>
      <w:r w:rsidRPr="001F45C7">
        <w:t>Chettle</w:t>
      </w:r>
      <w:proofErr w:type="spellEnd"/>
      <w:r w:rsidRPr="001F45C7">
        <w:t xml:space="preserve"> DR, Franklin D, Guthrie CJ, Scott MC, et al. Cadmium fume inhalation and emphysema. </w:t>
      </w:r>
      <w:proofErr w:type="gramStart"/>
      <w:r w:rsidRPr="001F45C7">
        <w:t>Lancet.</w:t>
      </w:r>
      <w:proofErr w:type="gramEnd"/>
      <w:r w:rsidRPr="001F45C7">
        <w:t xml:space="preserve"> 1988 Mar 26</w:t>
      </w:r>
      <w:proofErr w:type="gramStart"/>
      <w:r w:rsidRPr="001F45C7">
        <w:t>;1</w:t>
      </w:r>
      <w:proofErr w:type="gramEnd"/>
      <w:r w:rsidRPr="001F45C7">
        <w:t>(8587):663-7.</w:t>
      </w:r>
    </w:p>
    <w:p w:rsidR="00136D07" w:rsidRPr="001F45C7" w:rsidRDefault="00136D07" w:rsidP="001F45C7">
      <w:pPr>
        <w:jc w:val="both"/>
      </w:pPr>
      <w:r w:rsidRPr="001F45C7">
        <w:t xml:space="preserve">de Jong K1, </w:t>
      </w:r>
      <w:proofErr w:type="spellStart"/>
      <w:r w:rsidRPr="001F45C7">
        <w:t>Boezen</w:t>
      </w:r>
      <w:proofErr w:type="spellEnd"/>
      <w:r w:rsidRPr="001F45C7">
        <w:t xml:space="preserve"> HM, </w:t>
      </w:r>
      <w:proofErr w:type="spellStart"/>
      <w:r w:rsidRPr="001F45C7">
        <w:t>Kromhout</w:t>
      </w:r>
      <w:proofErr w:type="spellEnd"/>
      <w:r w:rsidRPr="001F45C7">
        <w:t xml:space="preserve"> H, </w:t>
      </w:r>
      <w:proofErr w:type="spellStart"/>
      <w:r w:rsidRPr="001F45C7">
        <w:t>Vermeulen</w:t>
      </w:r>
      <w:proofErr w:type="spellEnd"/>
      <w:r w:rsidRPr="001F45C7">
        <w:t xml:space="preserve"> R, </w:t>
      </w:r>
      <w:proofErr w:type="spellStart"/>
      <w:r w:rsidRPr="001F45C7">
        <w:t>Postma</w:t>
      </w:r>
      <w:proofErr w:type="spellEnd"/>
      <w:r w:rsidRPr="001F45C7">
        <w:t xml:space="preserve"> DS, </w:t>
      </w:r>
      <w:proofErr w:type="spellStart"/>
      <w:r w:rsidRPr="001F45C7">
        <w:t>Vonk</w:t>
      </w:r>
      <w:proofErr w:type="spellEnd"/>
      <w:r w:rsidRPr="001F45C7">
        <w:t xml:space="preserve"> JM; </w:t>
      </w:r>
      <w:proofErr w:type="spellStart"/>
      <w:r w:rsidRPr="001F45C7">
        <w:t>LifeLines</w:t>
      </w:r>
      <w:proofErr w:type="spellEnd"/>
      <w:r w:rsidRPr="001F45C7">
        <w:t xml:space="preserve"> Cohort study. Pesticides and other occupational exposures are associated with airway obstruction: the </w:t>
      </w:r>
      <w:proofErr w:type="spellStart"/>
      <w:r w:rsidRPr="001F45C7">
        <w:t>LifeLines</w:t>
      </w:r>
      <w:proofErr w:type="spellEnd"/>
      <w:r w:rsidRPr="001F45C7">
        <w:t xml:space="preserve"> cohort study. </w:t>
      </w:r>
      <w:proofErr w:type="spellStart"/>
      <w:r w:rsidRPr="001F45C7">
        <w:t>Occup</w:t>
      </w:r>
      <w:proofErr w:type="spellEnd"/>
      <w:r w:rsidRPr="001F45C7">
        <w:t xml:space="preserve"> Environ Med. 2014 Feb</w:t>
      </w:r>
      <w:proofErr w:type="gramStart"/>
      <w:r w:rsidRPr="001F45C7">
        <w:t>;71</w:t>
      </w:r>
      <w:proofErr w:type="gramEnd"/>
      <w:r w:rsidRPr="001F45C7">
        <w:t xml:space="preserve">(2):88-96. </w:t>
      </w:r>
      <w:proofErr w:type="spellStart"/>
      <w:proofErr w:type="gramStart"/>
      <w:r w:rsidRPr="001F45C7">
        <w:t>doi</w:t>
      </w:r>
      <w:proofErr w:type="spellEnd"/>
      <w:proofErr w:type="gramEnd"/>
      <w:r w:rsidRPr="001F45C7">
        <w:t xml:space="preserve">: 10.1136/oemed-2013-101639. </w:t>
      </w:r>
      <w:proofErr w:type="spellStart"/>
      <w:r w:rsidRPr="001F45C7">
        <w:t>Epub</w:t>
      </w:r>
      <w:proofErr w:type="spellEnd"/>
      <w:r w:rsidRPr="001F45C7">
        <w:t xml:space="preserve"> 2013 Oct 10.</w:t>
      </w:r>
    </w:p>
    <w:p w:rsidR="003F5D75" w:rsidRDefault="003F5D75" w:rsidP="001F45C7">
      <w:pPr>
        <w:jc w:val="both"/>
      </w:pPr>
      <w:r>
        <w:t xml:space="preserve">de Marco R, </w:t>
      </w:r>
      <w:proofErr w:type="spellStart"/>
      <w:r>
        <w:t>Accordini</w:t>
      </w:r>
      <w:proofErr w:type="spellEnd"/>
      <w:r>
        <w:t xml:space="preserve"> S, </w:t>
      </w:r>
      <w:proofErr w:type="spellStart"/>
      <w:r>
        <w:t>Cerveri</w:t>
      </w:r>
      <w:proofErr w:type="spellEnd"/>
      <w:r>
        <w:t xml:space="preserve"> I, </w:t>
      </w:r>
      <w:proofErr w:type="spellStart"/>
      <w:r>
        <w:t>Corsico</w:t>
      </w:r>
      <w:proofErr w:type="spellEnd"/>
      <w:r>
        <w:t xml:space="preserve"> A, </w:t>
      </w:r>
      <w:proofErr w:type="spellStart"/>
      <w:r>
        <w:t>Sunyer</w:t>
      </w:r>
      <w:proofErr w:type="spellEnd"/>
      <w:r>
        <w:t xml:space="preserve"> J, </w:t>
      </w:r>
      <w:proofErr w:type="spellStart"/>
      <w:r>
        <w:t>Neukirch</w:t>
      </w:r>
      <w:proofErr w:type="spellEnd"/>
      <w:r>
        <w:t xml:space="preserve"> F, et al. </w:t>
      </w:r>
      <w:proofErr w:type="gramStart"/>
      <w:r>
        <w:t>An international survey of chronic obstructive pulmonary disease in young adults according to GOLD stages.</w:t>
      </w:r>
      <w:proofErr w:type="gramEnd"/>
      <w:r>
        <w:t xml:space="preserve"> </w:t>
      </w:r>
      <w:proofErr w:type="gramStart"/>
      <w:r>
        <w:t>Thorax.</w:t>
      </w:r>
      <w:proofErr w:type="gramEnd"/>
      <w:r>
        <w:t xml:space="preserve"> 2004 Feb</w:t>
      </w:r>
      <w:proofErr w:type="gramStart"/>
      <w:r>
        <w:t>;59</w:t>
      </w:r>
      <w:proofErr w:type="gramEnd"/>
      <w:r>
        <w:t xml:space="preserve">(2):120–5. </w:t>
      </w:r>
    </w:p>
    <w:p w:rsidR="00136D07" w:rsidRPr="001F45C7" w:rsidRDefault="00136D07" w:rsidP="001F45C7">
      <w:pPr>
        <w:jc w:val="both"/>
      </w:pPr>
      <w:r w:rsidRPr="001F45C7">
        <w:t xml:space="preserve">de Meer G1, </w:t>
      </w:r>
      <w:proofErr w:type="spellStart"/>
      <w:r w:rsidRPr="001F45C7">
        <w:t>Kerkhof</w:t>
      </w:r>
      <w:proofErr w:type="spellEnd"/>
      <w:r w:rsidRPr="001F45C7">
        <w:t xml:space="preserve"> M, </w:t>
      </w:r>
      <w:proofErr w:type="spellStart"/>
      <w:r w:rsidRPr="001F45C7">
        <w:t>Kromhout</w:t>
      </w:r>
      <w:proofErr w:type="spellEnd"/>
      <w:r w:rsidRPr="001F45C7">
        <w:t xml:space="preserve"> H, Schouten JP, </w:t>
      </w:r>
      <w:proofErr w:type="spellStart"/>
      <w:r w:rsidRPr="001F45C7">
        <w:t>Heederik</w:t>
      </w:r>
      <w:proofErr w:type="spellEnd"/>
      <w:r w:rsidRPr="001F45C7">
        <w:t xml:space="preserve"> D. Interaction of atopy and smoking on respiratory effects of occupational dust exposure: a general population-based study. Environ Health. 2004 Jun 2</w:t>
      </w:r>
      <w:proofErr w:type="gramStart"/>
      <w:r w:rsidRPr="001F45C7">
        <w:t>;3</w:t>
      </w:r>
      <w:proofErr w:type="gramEnd"/>
      <w:r w:rsidRPr="001F45C7">
        <w:t>(1):6.</w:t>
      </w:r>
    </w:p>
    <w:p w:rsidR="00136D07" w:rsidRPr="001F45C7" w:rsidRDefault="00136D07" w:rsidP="001F45C7">
      <w:pPr>
        <w:jc w:val="both"/>
      </w:pPr>
      <w:r w:rsidRPr="001F45C7">
        <w:t xml:space="preserve">Fishwick D, Sen D, Barber C, Bradshaw L, Robinson E, Sumner J; COPD Standard Collaboration Group. Occupational chronic obstructive pulmonary disease: a standard of care. </w:t>
      </w:r>
      <w:proofErr w:type="spellStart"/>
      <w:proofErr w:type="gramStart"/>
      <w:r w:rsidRPr="001F45C7">
        <w:t>Occup</w:t>
      </w:r>
      <w:proofErr w:type="spellEnd"/>
      <w:r w:rsidRPr="001F45C7">
        <w:t xml:space="preserve"> Med (</w:t>
      </w:r>
      <w:proofErr w:type="spellStart"/>
      <w:r w:rsidRPr="001F45C7">
        <w:t>Lond</w:t>
      </w:r>
      <w:proofErr w:type="spellEnd"/>
      <w:r w:rsidRPr="001F45C7">
        <w:t>).</w:t>
      </w:r>
      <w:proofErr w:type="gramEnd"/>
      <w:r w:rsidRPr="001F45C7">
        <w:t xml:space="preserve"> 2015 Jun</w:t>
      </w:r>
      <w:proofErr w:type="gramStart"/>
      <w:r w:rsidRPr="001F45C7">
        <w:t>;65</w:t>
      </w:r>
      <w:proofErr w:type="gramEnd"/>
      <w:r w:rsidRPr="001F45C7">
        <w:t xml:space="preserve">(4):270-82. </w:t>
      </w:r>
    </w:p>
    <w:p w:rsidR="00136D07" w:rsidRPr="001F45C7" w:rsidRDefault="00136D07" w:rsidP="001F45C7">
      <w:pPr>
        <w:jc w:val="both"/>
      </w:pPr>
      <w:proofErr w:type="spellStart"/>
      <w:r w:rsidRPr="001F45C7">
        <w:t>Hanania</w:t>
      </w:r>
      <w:proofErr w:type="spellEnd"/>
      <w:r w:rsidRPr="001F45C7">
        <w:t xml:space="preserve"> NA1, Celli BR, Donohue JF, Martin UJ. </w:t>
      </w:r>
      <w:proofErr w:type="gramStart"/>
      <w:r w:rsidRPr="001F45C7">
        <w:t>Bronchodilator reversibility in COPD.</w:t>
      </w:r>
      <w:proofErr w:type="gramEnd"/>
      <w:r w:rsidRPr="001F45C7">
        <w:t xml:space="preserve"> </w:t>
      </w:r>
      <w:proofErr w:type="gramStart"/>
      <w:r w:rsidRPr="001F45C7">
        <w:t>Chest.</w:t>
      </w:r>
      <w:proofErr w:type="gramEnd"/>
      <w:r w:rsidRPr="001F45C7">
        <w:t xml:space="preserve"> 2011 Oct</w:t>
      </w:r>
      <w:proofErr w:type="gramStart"/>
      <w:r w:rsidRPr="001F45C7">
        <w:t>;140</w:t>
      </w:r>
      <w:proofErr w:type="gramEnd"/>
      <w:r w:rsidRPr="001F45C7">
        <w:t xml:space="preserve">(4):1055-63. </w:t>
      </w:r>
      <w:proofErr w:type="spellStart"/>
      <w:proofErr w:type="gramStart"/>
      <w:r w:rsidRPr="001F45C7">
        <w:t>doi</w:t>
      </w:r>
      <w:proofErr w:type="spellEnd"/>
      <w:proofErr w:type="gramEnd"/>
      <w:r w:rsidRPr="001F45C7">
        <w:t>: 10.1378/chest.10-2974.</w:t>
      </w:r>
    </w:p>
    <w:p w:rsidR="00136D07" w:rsidRPr="001F45C7" w:rsidRDefault="00136D07" w:rsidP="001F45C7">
      <w:pPr>
        <w:jc w:val="both"/>
      </w:pPr>
      <w:proofErr w:type="spellStart"/>
      <w:r w:rsidRPr="001F45C7">
        <w:t>Hansell</w:t>
      </w:r>
      <w:proofErr w:type="spellEnd"/>
      <w:r w:rsidRPr="001F45C7">
        <w:t xml:space="preserve"> A1, Ghosh RE, Poole S, Zock JP, </w:t>
      </w:r>
      <w:proofErr w:type="spellStart"/>
      <w:r w:rsidRPr="001F45C7">
        <w:t>Weatherall</w:t>
      </w:r>
      <w:proofErr w:type="spellEnd"/>
      <w:r w:rsidRPr="001F45C7">
        <w:t xml:space="preserve"> M, </w:t>
      </w:r>
      <w:proofErr w:type="spellStart"/>
      <w:r w:rsidRPr="001F45C7">
        <w:t>Vermeulen</w:t>
      </w:r>
      <w:proofErr w:type="spellEnd"/>
      <w:r w:rsidRPr="001F45C7">
        <w:t xml:space="preserve"> R, </w:t>
      </w:r>
      <w:proofErr w:type="spellStart"/>
      <w:r w:rsidRPr="001F45C7">
        <w:t>Kromhout</w:t>
      </w:r>
      <w:proofErr w:type="spellEnd"/>
      <w:r w:rsidRPr="001F45C7">
        <w:t xml:space="preserve"> H, Travers J, Beasley R. Occupational risk factors for chronic respiratory disease in a New Zealand population using lifetime occupational history. J </w:t>
      </w:r>
      <w:proofErr w:type="spellStart"/>
      <w:r w:rsidRPr="001F45C7">
        <w:t>Occup</w:t>
      </w:r>
      <w:proofErr w:type="spellEnd"/>
      <w:r w:rsidRPr="001F45C7">
        <w:t xml:space="preserve"> Environ Med. 2014 Mar</w:t>
      </w:r>
      <w:proofErr w:type="gramStart"/>
      <w:r w:rsidRPr="001F45C7">
        <w:t>;56</w:t>
      </w:r>
      <w:proofErr w:type="gramEnd"/>
      <w:r w:rsidRPr="001F45C7">
        <w:t xml:space="preserve">(3):270-80. </w:t>
      </w:r>
      <w:proofErr w:type="spellStart"/>
      <w:proofErr w:type="gramStart"/>
      <w:r w:rsidRPr="001F45C7">
        <w:t>doi</w:t>
      </w:r>
      <w:proofErr w:type="spellEnd"/>
      <w:proofErr w:type="gramEnd"/>
      <w:r w:rsidRPr="001F45C7">
        <w:t>: 10.1097/01.jom.0000438382.33221.dc.</w:t>
      </w:r>
    </w:p>
    <w:p w:rsidR="00D95302" w:rsidRDefault="00D95302" w:rsidP="00D95302">
      <w:pPr>
        <w:jc w:val="both"/>
      </w:pPr>
      <w:proofErr w:type="spellStart"/>
      <w:r>
        <w:lastRenderedPageBreak/>
        <w:t>Harber</w:t>
      </w:r>
      <w:proofErr w:type="spellEnd"/>
      <w:r>
        <w:t xml:space="preserve"> P, </w:t>
      </w:r>
      <w:proofErr w:type="spellStart"/>
      <w:r>
        <w:t>Tashkin</w:t>
      </w:r>
      <w:proofErr w:type="spellEnd"/>
      <w:r>
        <w:t xml:space="preserve"> DP, Simmons M, Crawford L, </w:t>
      </w:r>
      <w:proofErr w:type="spellStart"/>
      <w:r>
        <w:t>Hnizdo</w:t>
      </w:r>
      <w:proofErr w:type="spellEnd"/>
      <w:r>
        <w:t xml:space="preserve"> E, </w:t>
      </w:r>
      <w:proofErr w:type="spellStart"/>
      <w:r>
        <w:t>Connett</w:t>
      </w:r>
      <w:proofErr w:type="spellEnd"/>
      <w:r>
        <w:t xml:space="preserve"> J; Lung Health Study Group. </w:t>
      </w:r>
      <w:proofErr w:type="gramStart"/>
      <w:r>
        <w:t>Effect of occupational exposures on decline of lung function in early chronic obstructive pulmonary disease.</w:t>
      </w:r>
      <w:proofErr w:type="gramEnd"/>
      <w:r>
        <w:t xml:space="preserve"> Am J </w:t>
      </w:r>
      <w:proofErr w:type="spellStart"/>
      <w:r>
        <w:t>Respir</w:t>
      </w:r>
      <w:proofErr w:type="spellEnd"/>
      <w:r>
        <w:t xml:space="preserve"> </w:t>
      </w:r>
      <w:proofErr w:type="spellStart"/>
      <w:r>
        <w:t>Crit</w:t>
      </w:r>
      <w:proofErr w:type="spellEnd"/>
      <w:r>
        <w:t xml:space="preserve"> Care Med. 2007 Nov 15</w:t>
      </w:r>
      <w:proofErr w:type="gramStart"/>
      <w:r>
        <w:t>;176</w:t>
      </w:r>
      <w:proofErr w:type="gramEnd"/>
      <w:r>
        <w:t xml:space="preserve">(10):994-1000. </w:t>
      </w:r>
      <w:proofErr w:type="spellStart"/>
      <w:r>
        <w:t>Epub</w:t>
      </w:r>
      <w:proofErr w:type="spellEnd"/>
      <w:r>
        <w:t xml:space="preserve"> 2007 Jul 12.</w:t>
      </w:r>
    </w:p>
    <w:p w:rsidR="00136D07" w:rsidRPr="001F45C7" w:rsidRDefault="00136D07" w:rsidP="001F45C7">
      <w:pPr>
        <w:jc w:val="both"/>
      </w:pPr>
      <w:proofErr w:type="spellStart"/>
      <w:proofErr w:type="gramStart"/>
      <w:r w:rsidRPr="001F45C7">
        <w:t>Hnizdo</w:t>
      </w:r>
      <w:proofErr w:type="spellEnd"/>
      <w:r w:rsidRPr="001F45C7">
        <w:t xml:space="preserve"> E, </w:t>
      </w:r>
      <w:proofErr w:type="spellStart"/>
      <w:r w:rsidRPr="001F45C7">
        <w:t>Sluis</w:t>
      </w:r>
      <w:proofErr w:type="spellEnd"/>
      <w:r w:rsidRPr="001F45C7">
        <w:t>-Cremer GK, Abramowitz JA.</w:t>
      </w:r>
      <w:proofErr w:type="gramEnd"/>
      <w:r w:rsidRPr="001F45C7">
        <w:t xml:space="preserve"> </w:t>
      </w:r>
      <w:proofErr w:type="gramStart"/>
      <w:r w:rsidRPr="001F45C7">
        <w:t>Emphysema type in relation to silica dust exposure in South African gold miners.</w:t>
      </w:r>
      <w:proofErr w:type="gramEnd"/>
      <w:r w:rsidRPr="001F45C7">
        <w:t xml:space="preserve"> Am Rev </w:t>
      </w:r>
      <w:proofErr w:type="spellStart"/>
      <w:r w:rsidRPr="001F45C7">
        <w:t>Respir</w:t>
      </w:r>
      <w:proofErr w:type="spellEnd"/>
      <w:r w:rsidRPr="001F45C7">
        <w:t xml:space="preserve"> Dis. 1991 Jun</w:t>
      </w:r>
      <w:proofErr w:type="gramStart"/>
      <w:r w:rsidRPr="001F45C7">
        <w:t>;143</w:t>
      </w:r>
      <w:proofErr w:type="gramEnd"/>
      <w:r w:rsidRPr="001F45C7">
        <w:t>(6):1241–7.</w:t>
      </w:r>
    </w:p>
    <w:p w:rsidR="00136D07" w:rsidRPr="001F45C7" w:rsidRDefault="00136D07" w:rsidP="001F45C7">
      <w:pPr>
        <w:jc w:val="both"/>
      </w:pPr>
      <w:proofErr w:type="spellStart"/>
      <w:r w:rsidRPr="001F45C7">
        <w:t>Hnizdo</w:t>
      </w:r>
      <w:proofErr w:type="spellEnd"/>
      <w:r w:rsidRPr="001F45C7">
        <w:t xml:space="preserve"> E, </w:t>
      </w:r>
      <w:proofErr w:type="spellStart"/>
      <w:r w:rsidRPr="001F45C7">
        <w:t>Vallyathan</w:t>
      </w:r>
      <w:proofErr w:type="spellEnd"/>
      <w:r w:rsidRPr="001F45C7">
        <w:t xml:space="preserve"> V. Chronic obstructive pulmonary disease due to occupational exposure to silica dust: a review of epidemiological and pathological evidence. </w:t>
      </w:r>
      <w:proofErr w:type="spellStart"/>
      <w:r w:rsidRPr="001F45C7">
        <w:t>Occup</w:t>
      </w:r>
      <w:proofErr w:type="spellEnd"/>
      <w:r w:rsidRPr="001F45C7">
        <w:t xml:space="preserve"> Environ Med. 2003 Apr</w:t>
      </w:r>
      <w:proofErr w:type="gramStart"/>
      <w:r w:rsidRPr="001F45C7">
        <w:t>;60</w:t>
      </w:r>
      <w:proofErr w:type="gramEnd"/>
      <w:r w:rsidRPr="001F45C7">
        <w:t>(4):237-43.</w:t>
      </w:r>
    </w:p>
    <w:p w:rsidR="00136D07" w:rsidRPr="001F45C7" w:rsidRDefault="00136D07" w:rsidP="001F45C7">
      <w:pPr>
        <w:jc w:val="both"/>
      </w:pPr>
      <w:proofErr w:type="spellStart"/>
      <w:r w:rsidRPr="001F45C7">
        <w:t>Hnizdo</w:t>
      </w:r>
      <w:proofErr w:type="spellEnd"/>
      <w:r w:rsidRPr="001F45C7">
        <w:t xml:space="preserve"> E1, Sullivan PA, Bang KM, Wagner G. Airflow obstruction attributable to work in industry and occupation among U.S. race/ethnic groups: a study of NHANES III data. Am J </w:t>
      </w:r>
      <w:proofErr w:type="spellStart"/>
      <w:r w:rsidRPr="001F45C7">
        <w:t>Ind</w:t>
      </w:r>
      <w:proofErr w:type="spellEnd"/>
      <w:r w:rsidRPr="001F45C7">
        <w:t xml:space="preserve"> Med. 2004 Aug</w:t>
      </w:r>
      <w:proofErr w:type="gramStart"/>
      <w:r w:rsidRPr="001F45C7">
        <w:t>;46</w:t>
      </w:r>
      <w:proofErr w:type="gramEnd"/>
      <w:r w:rsidRPr="001F45C7">
        <w:t>(2):126-35.</w:t>
      </w:r>
    </w:p>
    <w:p w:rsidR="00136D07" w:rsidRPr="001F45C7" w:rsidRDefault="00136D07" w:rsidP="001F45C7">
      <w:pPr>
        <w:jc w:val="both"/>
      </w:pPr>
      <w:proofErr w:type="spellStart"/>
      <w:r w:rsidRPr="001F45C7">
        <w:t>Hnizdo</w:t>
      </w:r>
      <w:proofErr w:type="spellEnd"/>
      <w:r w:rsidRPr="001F45C7">
        <w:t xml:space="preserve"> E1, Sullivan PA, Bang KM, Wagner G. Association between chronic obstructive pulmonary disease and employment by industry and occupation in the US population: a study of data from the Third National Health and Nutrition Examination Survey. </w:t>
      </w:r>
      <w:proofErr w:type="gramStart"/>
      <w:r w:rsidRPr="001F45C7">
        <w:t xml:space="preserve">Am J </w:t>
      </w:r>
      <w:proofErr w:type="spellStart"/>
      <w:r w:rsidRPr="001F45C7">
        <w:t>Epidemiol</w:t>
      </w:r>
      <w:proofErr w:type="spellEnd"/>
      <w:r w:rsidRPr="001F45C7">
        <w:t>.</w:t>
      </w:r>
      <w:proofErr w:type="gramEnd"/>
      <w:r w:rsidRPr="001F45C7">
        <w:t xml:space="preserve"> 2002 Oct 15</w:t>
      </w:r>
      <w:proofErr w:type="gramStart"/>
      <w:r w:rsidRPr="001F45C7">
        <w:t>;156</w:t>
      </w:r>
      <w:proofErr w:type="gramEnd"/>
      <w:r w:rsidRPr="001F45C7">
        <w:t>(8):738-46.</w:t>
      </w:r>
    </w:p>
    <w:p w:rsidR="0073469C" w:rsidRPr="001F45C7" w:rsidRDefault="00AE406F" w:rsidP="0073469C">
      <w:pPr>
        <w:jc w:val="both"/>
      </w:pPr>
      <w:r w:rsidRPr="001F45C7">
        <w:t xml:space="preserve">Holm M, Kim JL, </w:t>
      </w:r>
      <w:proofErr w:type="spellStart"/>
      <w:r w:rsidRPr="001F45C7">
        <w:t>Lillienberg</w:t>
      </w:r>
      <w:proofErr w:type="spellEnd"/>
      <w:r w:rsidRPr="001F45C7">
        <w:t xml:space="preserve"> L, </w:t>
      </w:r>
      <w:proofErr w:type="spellStart"/>
      <w:r w:rsidRPr="001F45C7">
        <w:t>Storaas</w:t>
      </w:r>
      <w:proofErr w:type="spellEnd"/>
      <w:r w:rsidRPr="001F45C7">
        <w:t xml:space="preserve"> T, </w:t>
      </w:r>
      <w:proofErr w:type="spellStart"/>
      <w:r w:rsidRPr="001F45C7">
        <w:t>Jögi</w:t>
      </w:r>
      <w:proofErr w:type="spellEnd"/>
      <w:r w:rsidRPr="001F45C7">
        <w:t xml:space="preserve"> R, </w:t>
      </w:r>
      <w:proofErr w:type="spellStart"/>
      <w:r w:rsidRPr="001F45C7">
        <w:t>Svanes</w:t>
      </w:r>
      <w:proofErr w:type="spellEnd"/>
      <w:r w:rsidRPr="001F45C7">
        <w:t xml:space="preserve"> C, </w:t>
      </w:r>
      <w:proofErr w:type="spellStart"/>
      <w:r w:rsidRPr="001F45C7">
        <w:t>Schlünssen</w:t>
      </w:r>
      <w:proofErr w:type="spellEnd"/>
      <w:r w:rsidRPr="001F45C7">
        <w:t xml:space="preserve"> V, Forsberg B, </w:t>
      </w:r>
      <w:proofErr w:type="spellStart"/>
      <w:r w:rsidRPr="001F45C7">
        <w:t>Gíslason</w:t>
      </w:r>
      <w:proofErr w:type="spellEnd"/>
      <w:r w:rsidRPr="001F45C7">
        <w:t xml:space="preserve"> T, Janson C, </w:t>
      </w:r>
      <w:proofErr w:type="spellStart"/>
      <w:r w:rsidRPr="001F45C7">
        <w:t>Torén</w:t>
      </w:r>
      <w:proofErr w:type="spellEnd"/>
      <w:r w:rsidRPr="001F45C7">
        <w:t xml:space="preserve"> K; RHINE Study Group, Northern Europe.</w:t>
      </w:r>
      <w:r w:rsidR="0073469C" w:rsidRPr="0073469C">
        <w:t xml:space="preserve"> </w:t>
      </w:r>
      <w:r w:rsidR="0073469C" w:rsidRPr="001F45C7">
        <w:t xml:space="preserve">Incidence and prevalence of chronic bronchitis: impact of smoking and welding. </w:t>
      </w:r>
      <w:proofErr w:type="gramStart"/>
      <w:r w:rsidR="0073469C" w:rsidRPr="001F45C7">
        <w:t>The RHINE study.</w:t>
      </w:r>
      <w:proofErr w:type="gramEnd"/>
    </w:p>
    <w:p w:rsidR="00AE406F" w:rsidRPr="001F45C7" w:rsidRDefault="00AE406F" w:rsidP="001F45C7">
      <w:pPr>
        <w:jc w:val="both"/>
      </w:pPr>
    </w:p>
    <w:p w:rsidR="00CD35DD" w:rsidRDefault="00CD35DD" w:rsidP="001F45C7">
      <w:pPr>
        <w:jc w:val="both"/>
      </w:pPr>
      <w:r>
        <w:t xml:space="preserve">Hutchins S. EPICOH abstract 2017. </w:t>
      </w:r>
    </w:p>
    <w:p w:rsidR="00CD35DD" w:rsidRDefault="00CD35DD" w:rsidP="001F45C7">
      <w:pPr>
        <w:jc w:val="both"/>
      </w:pPr>
    </w:p>
    <w:p w:rsidR="00AE406F" w:rsidRPr="001F45C7" w:rsidRDefault="00AE406F" w:rsidP="001F45C7">
      <w:pPr>
        <w:jc w:val="both"/>
      </w:pPr>
      <w:proofErr w:type="spellStart"/>
      <w:r w:rsidRPr="001F45C7">
        <w:t>Int</w:t>
      </w:r>
      <w:proofErr w:type="spellEnd"/>
      <w:r w:rsidRPr="001F45C7">
        <w:t xml:space="preserve"> J </w:t>
      </w:r>
      <w:proofErr w:type="spellStart"/>
      <w:r w:rsidRPr="001F45C7">
        <w:t>Tuberc</w:t>
      </w:r>
      <w:proofErr w:type="spellEnd"/>
      <w:r w:rsidRPr="001F45C7">
        <w:t xml:space="preserve"> Lung Dis. 2012 Apr</w:t>
      </w:r>
      <w:proofErr w:type="gramStart"/>
      <w:r w:rsidRPr="001F45C7">
        <w:t>;16</w:t>
      </w:r>
      <w:proofErr w:type="gramEnd"/>
      <w:r w:rsidRPr="001F45C7">
        <w:t xml:space="preserve">(4):553-7. </w:t>
      </w:r>
      <w:proofErr w:type="spellStart"/>
      <w:proofErr w:type="gramStart"/>
      <w:r w:rsidRPr="001F45C7">
        <w:t>doi</w:t>
      </w:r>
      <w:proofErr w:type="spellEnd"/>
      <w:proofErr w:type="gramEnd"/>
      <w:r w:rsidRPr="001F45C7">
        <w:t>: 10.5588/ijtld.11.0288.</w:t>
      </w:r>
    </w:p>
    <w:p w:rsidR="00136D07" w:rsidRPr="001F45C7" w:rsidRDefault="00136D07" w:rsidP="001F45C7">
      <w:pPr>
        <w:jc w:val="both"/>
      </w:pPr>
      <w:proofErr w:type="spellStart"/>
      <w:r w:rsidRPr="001F45C7">
        <w:t>Idolor</w:t>
      </w:r>
      <w:proofErr w:type="spellEnd"/>
      <w:r w:rsidRPr="001F45C7">
        <w:t xml:space="preserve"> LF1, DE </w:t>
      </w:r>
      <w:proofErr w:type="spellStart"/>
      <w:r w:rsidRPr="001F45C7">
        <w:t>Guia</w:t>
      </w:r>
      <w:proofErr w:type="spellEnd"/>
      <w:r w:rsidRPr="001F45C7">
        <w:t xml:space="preserve"> TS, Francisco NA, </w:t>
      </w:r>
      <w:proofErr w:type="spellStart"/>
      <w:r w:rsidRPr="001F45C7">
        <w:t>Roa</w:t>
      </w:r>
      <w:proofErr w:type="spellEnd"/>
      <w:r w:rsidRPr="001F45C7">
        <w:t xml:space="preserve"> CC, </w:t>
      </w:r>
      <w:proofErr w:type="spellStart"/>
      <w:r w:rsidRPr="001F45C7">
        <w:t>Ayuyao</w:t>
      </w:r>
      <w:proofErr w:type="spellEnd"/>
      <w:r w:rsidRPr="001F45C7">
        <w:t xml:space="preserve"> FG, </w:t>
      </w:r>
      <w:proofErr w:type="spellStart"/>
      <w:r w:rsidRPr="001F45C7">
        <w:t>Tady</w:t>
      </w:r>
      <w:proofErr w:type="spellEnd"/>
      <w:r w:rsidRPr="001F45C7">
        <w:t xml:space="preserve"> CZ, Tan DT, Banal-Yang S, </w:t>
      </w:r>
      <w:proofErr w:type="spellStart"/>
      <w:r w:rsidRPr="001F45C7">
        <w:t>Balanag</w:t>
      </w:r>
      <w:proofErr w:type="spellEnd"/>
      <w:r w:rsidRPr="001F45C7">
        <w:t xml:space="preserve"> VM Jr, Reyes MT, </w:t>
      </w:r>
      <w:proofErr w:type="spellStart"/>
      <w:r w:rsidRPr="001F45C7">
        <w:t>Dantes</w:t>
      </w:r>
      <w:proofErr w:type="spellEnd"/>
      <w:r w:rsidRPr="001F45C7">
        <w:t xml:space="preserve"> RB. </w:t>
      </w:r>
      <w:proofErr w:type="gramStart"/>
      <w:r w:rsidRPr="001F45C7">
        <w:t>Burden of obstructive lung disease in a rural setting in the Philippines.</w:t>
      </w:r>
      <w:proofErr w:type="gramEnd"/>
      <w:r w:rsidRPr="001F45C7">
        <w:t xml:space="preserve"> </w:t>
      </w:r>
      <w:proofErr w:type="spellStart"/>
      <w:proofErr w:type="gramStart"/>
      <w:r w:rsidRPr="001F45C7">
        <w:t>Respirology</w:t>
      </w:r>
      <w:proofErr w:type="spellEnd"/>
      <w:r w:rsidRPr="001F45C7">
        <w:t>.</w:t>
      </w:r>
      <w:proofErr w:type="gramEnd"/>
      <w:r w:rsidRPr="001F45C7">
        <w:t xml:space="preserve"> 2011 Oct</w:t>
      </w:r>
      <w:proofErr w:type="gramStart"/>
      <w:r w:rsidRPr="001F45C7">
        <w:t>;16</w:t>
      </w:r>
      <w:proofErr w:type="gramEnd"/>
      <w:r w:rsidRPr="001F45C7">
        <w:t xml:space="preserve">(7):1111-8. </w:t>
      </w:r>
      <w:proofErr w:type="spellStart"/>
      <w:proofErr w:type="gramStart"/>
      <w:r w:rsidRPr="001F45C7">
        <w:t>doi</w:t>
      </w:r>
      <w:proofErr w:type="spellEnd"/>
      <w:proofErr w:type="gramEnd"/>
      <w:r w:rsidRPr="001F45C7">
        <w:t>: 10.1111/j.1440-1843.2011.02027.x.</w:t>
      </w:r>
    </w:p>
    <w:p w:rsidR="00136D07" w:rsidRPr="001F45C7" w:rsidRDefault="00136D07" w:rsidP="001F45C7">
      <w:pPr>
        <w:jc w:val="both"/>
      </w:pPr>
      <w:proofErr w:type="spellStart"/>
      <w:r w:rsidRPr="001F45C7">
        <w:t>Jaén</w:t>
      </w:r>
      <w:proofErr w:type="spellEnd"/>
      <w:r w:rsidRPr="001F45C7">
        <w:t xml:space="preserve"> A1, Zock JP, </w:t>
      </w:r>
      <w:proofErr w:type="spellStart"/>
      <w:r w:rsidRPr="001F45C7">
        <w:t>Kogevinas</w:t>
      </w:r>
      <w:proofErr w:type="spellEnd"/>
      <w:r w:rsidRPr="001F45C7">
        <w:t xml:space="preserve"> M, Ferrer A, </w:t>
      </w:r>
      <w:proofErr w:type="spellStart"/>
      <w:r w:rsidRPr="001F45C7">
        <w:t>Marín</w:t>
      </w:r>
      <w:proofErr w:type="spellEnd"/>
      <w:r w:rsidRPr="001F45C7">
        <w:t xml:space="preserve"> A. Occupation, smoking, and chronic obstructive respiratory disorders: a cross sectional study in an industrial area of Catalonia, Spain. Environ Health. 2006 Feb 14</w:t>
      </w:r>
      <w:proofErr w:type="gramStart"/>
      <w:r w:rsidRPr="001F45C7">
        <w:t>;5:2</w:t>
      </w:r>
      <w:proofErr w:type="gramEnd"/>
      <w:r w:rsidRPr="001F45C7">
        <w:t>.</w:t>
      </w:r>
    </w:p>
    <w:p w:rsidR="00136D07" w:rsidRPr="001F45C7" w:rsidRDefault="00136D07" w:rsidP="001F45C7">
      <w:pPr>
        <w:jc w:val="both"/>
      </w:pPr>
      <w:proofErr w:type="spellStart"/>
      <w:r w:rsidRPr="001F45C7">
        <w:t>Kainu</w:t>
      </w:r>
      <w:proofErr w:type="spellEnd"/>
      <w:r w:rsidRPr="001F45C7">
        <w:t xml:space="preserve"> A1, </w:t>
      </w:r>
      <w:proofErr w:type="spellStart"/>
      <w:r w:rsidRPr="001F45C7">
        <w:t>Rouhos</w:t>
      </w:r>
      <w:proofErr w:type="spellEnd"/>
      <w:r w:rsidRPr="001F45C7">
        <w:t xml:space="preserve"> A, </w:t>
      </w:r>
      <w:proofErr w:type="spellStart"/>
      <w:r w:rsidRPr="001F45C7">
        <w:t>Sovijärvi</w:t>
      </w:r>
      <w:proofErr w:type="spellEnd"/>
      <w:r w:rsidRPr="001F45C7">
        <w:t xml:space="preserve"> A, </w:t>
      </w:r>
      <w:proofErr w:type="spellStart"/>
      <w:r w:rsidRPr="001F45C7">
        <w:t>Lindqvist</w:t>
      </w:r>
      <w:proofErr w:type="spellEnd"/>
      <w:r w:rsidRPr="001F45C7">
        <w:t xml:space="preserve"> A, </w:t>
      </w:r>
      <w:proofErr w:type="spellStart"/>
      <w:r w:rsidRPr="001F45C7">
        <w:t>Sarna</w:t>
      </w:r>
      <w:proofErr w:type="spellEnd"/>
      <w:r w:rsidRPr="001F45C7">
        <w:t xml:space="preserve"> S, </w:t>
      </w:r>
      <w:proofErr w:type="spellStart"/>
      <w:proofErr w:type="gramStart"/>
      <w:r w:rsidRPr="001F45C7">
        <w:t>Lundbäck</w:t>
      </w:r>
      <w:proofErr w:type="spellEnd"/>
      <w:proofErr w:type="gramEnd"/>
      <w:r w:rsidRPr="001F45C7">
        <w:t xml:space="preserve"> B. COPD in Helsinki, Finland: socioeconomic status based on occupation has an important impact on prevalence. </w:t>
      </w:r>
      <w:proofErr w:type="spellStart"/>
      <w:r w:rsidRPr="001F45C7">
        <w:t>Scand</w:t>
      </w:r>
      <w:proofErr w:type="spellEnd"/>
      <w:r w:rsidRPr="001F45C7">
        <w:t xml:space="preserve"> J Public Health. 2013 Aug</w:t>
      </w:r>
      <w:proofErr w:type="gramStart"/>
      <w:r w:rsidRPr="001F45C7">
        <w:t>;41</w:t>
      </w:r>
      <w:proofErr w:type="gramEnd"/>
      <w:r w:rsidRPr="001F45C7">
        <w:t xml:space="preserve">(6):570-8. </w:t>
      </w:r>
      <w:proofErr w:type="spellStart"/>
      <w:proofErr w:type="gramStart"/>
      <w:r w:rsidRPr="001F45C7">
        <w:t>doi</w:t>
      </w:r>
      <w:proofErr w:type="spellEnd"/>
      <w:proofErr w:type="gramEnd"/>
      <w:r w:rsidRPr="001F45C7">
        <w:t xml:space="preserve">: 10.1177/1403494813484554. </w:t>
      </w:r>
      <w:proofErr w:type="spellStart"/>
      <w:r w:rsidRPr="001F45C7">
        <w:t>Epub</w:t>
      </w:r>
      <w:proofErr w:type="spellEnd"/>
      <w:r w:rsidRPr="001F45C7">
        <w:t xml:space="preserve"> 2013 Apr 18.</w:t>
      </w:r>
    </w:p>
    <w:p w:rsidR="00136D07" w:rsidRPr="001F45C7" w:rsidRDefault="00136D07" w:rsidP="001F45C7">
      <w:pPr>
        <w:jc w:val="both"/>
      </w:pPr>
      <w:proofErr w:type="gramStart"/>
      <w:r w:rsidRPr="001F45C7">
        <w:t xml:space="preserve">Kim H, Herbert R, </w:t>
      </w:r>
      <w:proofErr w:type="spellStart"/>
      <w:r w:rsidRPr="001F45C7">
        <w:t>Landrigan</w:t>
      </w:r>
      <w:proofErr w:type="spellEnd"/>
      <w:r w:rsidRPr="001F45C7">
        <w:t xml:space="preserve"> P, Markowitz SB, Moline JM, </w:t>
      </w:r>
      <w:proofErr w:type="spellStart"/>
      <w:r w:rsidRPr="001F45C7">
        <w:t>Savitz</w:t>
      </w:r>
      <w:proofErr w:type="spellEnd"/>
      <w:r w:rsidRPr="001F45C7">
        <w:t xml:space="preserve"> DA, Todd AC, </w:t>
      </w:r>
      <w:proofErr w:type="spellStart"/>
      <w:r w:rsidRPr="001F45C7">
        <w:t>Udasin</w:t>
      </w:r>
      <w:proofErr w:type="spellEnd"/>
      <w:r w:rsidRPr="001F45C7">
        <w:t xml:space="preserve"> IG, </w:t>
      </w:r>
      <w:proofErr w:type="spellStart"/>
      <w:r w:rsidRPr="001F45C7">
        <w:t>Wisnivesky</w:t>
      </w:r>
      <w:proofErr w:type="spellEnd"/>
      <w:r w:rsidRPr="001F45C7">
        <w:t xml:space="preserve"> JP.</w:t>
      </w:r>
      <w:proofErr w:type="gramEnd"/>
      <w:r w:rsidRPr="001F45C7">
        <w:t xml:space="preserve"> </w:t>
      </w:r>
      <w:proofErr w:type="gramStart"/>
      <w:r w:rsidRPr="001F45C7">
        <w:t xml:space="preserve">Increased rates of asthma among World Trade </w:t>
      </w:r>
      <w:proofErr w:type="spellStart"/>
      <w:r w:rsidRPr="001F45C7">
        <w:t>Center</w:t>
      </w:r>
      <w:proofErr w:type="spellEnd"/>
      <w:r w:rsidRPr="001F45C7">
        <w:t xml:space="preserve"> disaster responders.</w:t>
      </w:r>
      <w:proofErr w:type="gramEnd"/>
      <w:r w:rsidRPr="001F45C7">
        <w:t xml:space="preserve"> Am J </w:t>
      </w:r>
      <w:proofErr w:type="spellStart"/>
      <w:r w:rsidRPr="001F45C7">
        <w:t>Ind</w:t>
      </w:r>
      <w:proofErr w:type="spellEnd"/>
      <w:r w:rsidRPr="001F45C7">
        <w:t xml:space="preserve"> Med. 2012 Jan</w:t>
      </w:r>
      <w:proofErr w:type="gramStart"/>
      <w:r w:rsidRPr="001F45C7">
        <w:t>;55</w:t>
      </w:r>
      <w:proofErr w:type="gramEnd"/>
      <w:r w:rsidRPr="001F45C7">
        <w:t>(1):44-53.</w:t>
      </w:r>
    </w:p>
    <w:p w:rsidR="00136D07" w:rsidRPr="001F45C7" w:rsidRDefault="00136D07" w:rsidP="001F45C7">
      <w:pPr>
        <w:jc w:val="both"/>
      </w:pPr>
      <w:r w:rsidRPr="001F45C7">
        <w:t xml:space="preserve">Kim V, </w:t>
      </w:r>
      <w:proofErr w:type="spellStart"/>
      <w:r w:rsidRPr="001F45C7">
        <w:t>Criner</w:t>
      </w:r>
      <w:proofErr w:type="spellEnd"/>
      <w:r w:rsidRPr="001F45C7">
        <w:t xml:space="preserve"> GJ. </w:t>
      </w:r>
      <w:proofErr w:type="gramStart"/>
      <w:r w:rsidRPr="001F45C7">
        <w:t>Chronic bronchitis and chronic obstructive pulmonary disease.</w:t>
      </w:r>
      <w:proofErr w:type="gramEnd"/>
      <w:r w:rsidRPr="001F45C7">
        <w:t xml:space="preserve"> Am J </w:t>
      </w:r>
      <w:proofErr w:type="spellStart"/>
      <w:r w:rsidRPr="001F45C7">
        <w:t>Respir</w:t>
      </w:r>
      <w:proofErr w:type="spellEnd"/>
      <w:r w:rsidRPr="001F45C7">
        <w:t xml:space="preserve"> </w:t>
      </w:r>
      <w:proofErr w:type="spellStart"/>
      <w:r w:rsidRPr="001F45C7">
        <w:t>Crit</w:t>
      </w:r>
      <w:proofErr w:type="spellEnd"/>
      <w:r w:rsidRPr="001F45C7">
        <w:t xml:space="preserve"> Care Med. 2013 Feb 1</w:t>
      </w:r>
      <w:proofErr w:type="gramStart"/>
      <w:r w:rsidRPr="001F45C7">
        <w:t>;187</w:t>
      </w:r>
      <w:proofErr w:type="gramEnd"/>
      <w:r w:rsidRPr="001F45C7">
        <w:t>(3):228-37.</w:t>
      </w:r>
    </w:p>
    <w:p w:rsidR="00136D07" w:rsidRPr="001F45C7" w:rsidRDefault="00136D07" w:rsidP="001F45C7">
      <w:pPr>
        <w:jc w:val="both"/>
      </w:pPr>
      <w:proofErr w:type="spellStart"/>
      <w:r w:rsidRPr="001F45C7">
        <w:lastRenderedPageBreak/>
        <w:t>Kirschvink</w:t>
      </w:r>
      <w:proofErr w:type="spellEnd"/>
      <w:r w:rsidRPr="001F45C7">
        <w:t xml:space="preserve"> N, </w:t>
      </w:r>
      <w:proofErr w:type="spellStart"/>
      <w:r w:rsidRPr="001F45C7">
        <w:t>Vincke</w:t>
      </w:r>
      <w:proofErr w:type="spellEnd"/>
      <w:r w:rsidRPr="001F45C7">
        <w:t xml:space="preserve"> G, </w:t>
      </w:r>
      <w:proofErr w:type="spellStart"/>
      <w:r w:rsidRPr="001F45C7">
        <w:t>Fiévez</w:t>
      </w:r>
      <w:proofErr w:type="spellEnd"/>
      <w:r w:rsidRPr="001F45C7">
        <w:t xml:space="preserve"> L, </w:t>
      </w:r>
      <w:proofErr w:type="spellStart"/>
      <w:r w:rsidRPr="001F45C7">
        <w:t>Onclinx</w:t>
      </w:r>
      <w:proofErr w:type="spellEnd"/>
      <w:r w:rsidRPr="001F45C7">
        <w:t xml:space="preserve"> C, Wirth D, </w:t>
      </w:r>
      <w:proofErr w:type="spellStart"/>
      <w:r w:rsidRPr="001F45C7">
        <w:t>Belleflamme</w:t>
      </w:r>
      <w:proofErr w:type="spellEnd"/>
      <w:r w:rsidRPr="001F45C7">
        <w:t xml:space="preserve"> M, Louis R, </w:t>
      </w:r>
      <w:proofErr w:type="spellStart"/>
      <w:r w:rsidRPr="001F45C7">
        <w:t>Cataldo</w:t>
      </w:r>
      <w:proofErr w:type="spellEnd"/>
      <w:r w:rsidRPr="001F45C7">
        <w:t xml:space="preserve"> D, Peck MJ, </w:t>
      </w:r>
      <w:proofErr w:type="spellStart"/>
      <w:r w:rsidRPr="001F45C7">
        <w:t>Gustin</w:t>
      </w:r>
      <w:proofErr w:type="spellEnd"/>
      <w:r w:rsidRPr="001F45C7">
        <w:t xml:space="preserve"> P. Repeated cadmium </w:t>
      </w:r>
      <w:proofErr w:type="spellStart"/>
      <w:r w:rsidRPr="001F45C7">
        <w:t>nebulizations</w:t>
      </w:r>
      <w:proofErr w:type="spellEnd"/>
      <w:r w:rsidRPr="001F45C7">
        <w:t xml:space="preserve"> induce pulmonary MMP-2 and MMP-9 production and emphysema in rats. </w:t>
      </w:r>
      <w:proofErr w:type="gramStart"/>
      <w:r w:rsidRPr="001F45C7">
        <w:t>Toxicology.</w:t>
      </w:r>
      <w:proofErr w:type="gramEnd"/>
      <w:r w:rsidRPr="001F45C7">
        <w:t xml:space="preserve"> 2005 Jul 1</w:t>
      </w:r>
      <w:proofErr w:type="gramStart"/>
      <w:r w:rsidRPr="001F45C7">
        <w:t>;211</w:t>
      </w:r>
      <w:proofErr w:type="gramEnd"/>
      <w:r w:rsidRPr="001F45C7">
        <w:t xml:space="preserve">(1-2):36-48. </w:t>
      </w:r>
      <w:proofErr w:type="spellStart"/>
      <w:r w:rsidRPr="001F45C7">
        <w:t>Epub</w:t>
      </w:r>
      <w:proofErr w:type="spellEnd"/>
      <w:r w:rsidRPr="001F45C7">
        <w:t xml:space="preserve"> 2005 Mar 29.</w:t>
      </w:r>
    </w:p>
    <w:p w:rsidR="00136D07" w:rsidRPr="001F45C7" w:rsidRDefault="00136D07" w:rsidP="001F45C7">
      <w:pPr>
        <w:jc w:val="both"/>
      </w:pPr>
      <w:r w:rsidRPr="001F45C7">
        <w:t xml:space="preserve">Lam KB1, Yin P, Jiang CQ, Zhang WS, </w:t>
      </w:r>
      <w:proofErr w:type="spellStart"/>
      <w:r w:rsidRPr="001F45C7">
        <w:t>Adab</w:t>
      </w:r>
      <w:proofErr w:type="spellEnd"/>
      <w:r w:rsidRPr="001F45C7">
        <w:t xml:space="preserve"> P, Miller MR, Thomas GN, Ayres JG, Lam TH, Cheng KK. Past dust and GAS/FUME exposure and COPD in Chinese: the Guangzhou Biobank Cohort Study. </w:t>
      </w:r>
      <w:proofErr w:type="spellStart"/>
      <w:r w:rsidRPr="001F45C7">
        <w:t>Respir</w:t>
      </w:r>
      <w:proofErr w:type="spellEnd"/>
      <w:r w:rsidRPr="001F45C7">
        <w:t xml:space="preserve"> Med. 2012 Oct</w:t>
      </w:r>
      <w:proofErr w:type="gramStart"/>
      <w:r w:rsidRPr="001F45C7">
        <w:t>;106</w:t>
      </w:r>
      <w:proofErr w:type="gramEnd"/>
      <w:r w:rsidRPr="001F45C7">
        <w:t xml:space="preserve">(10):1421-8. </w:t>
      </w:r>
      <w:proofErr w:type="spellStart"/>
      <w:proofErr w:type="gramStart"/>
      <w:r w:rsidRPr="001F45C7">
        <w:t>doi</w:t>
      </w:r>
      <w:proofErr w:type="spellEnd"/>
      <w:proofErr w:type="gramEnd"/>
      <w:r w:rsidRPr="001F45C7">
        <w:t xml:space="preserve">: 10.1016/j.rmed.2012.05.009. </w:t>
      </w:r>
      <w:proofErr w:type="spellStart"/>
      <w:r w:rsidRPr="001F45C7">
        <w:t>Epub</w:t>
      </w:r>
      <w:proofErr w:type="spellEnd"/>
      <w:r w:rsidRPr="001F45C7">
        <w:t xml:space="preserve"> 2012 Jul 12.</w:t>
      </w:r>
    </w:p>
    <w:p w:rsidR="00136D07" w:rsidRPr="001F45C7" w:rsidRDefault="00136D07" w:rsidP="001F45C7">
      <w:pPr>
        <w:jc w:val="both"/>
      </w:pPr>
      <w:proofErr w:type="spellStart"/>
      <w:r w:rsidRPr="001F45C7">
        <w:t>Lamprecht</w:t>
      </w:r>
      <w:proofErr w:type="spellEnd"/>
      <w:r w:rsidRPr="001F45C7">
        <w:t xml:space="preserve"> B, </w:t>
      </w:r>
      <w:proofErr w:type="spellStart"/>
      <w:r w:rsidRPr="001F45C7">
        <w:t>McBurnie</w:t>
      </w:r>
      <w:proofErr w:type="spellEnd"/>
      <w:r w:rsidRPr="001F45C7">
        <w:t xml:space="preserve"> MA, Vollmer WM, </w:t>
      </w:r>
      <w:proofErr w:type="spellStart"/>
      <w:r w:rsidRPr="001F45C7">
        <w:t>Gudmundsson</w:t>
      </w:r>
      <w:proofErr w:type="spellEnd"/>
      <w:r w:rsidRPr="001F45C7">
        <w:t xml:space="preserve"> G, </w:t>
      </w:r>
      <w:proofErr w:type="spellStart"/>
      <w:r w:rsidRPr="001F45C7">
        <w:t>Welte</w:t>
      </w:r>
      <w:proofErr w:type="spellEnd"/>
      <w:r w:rsidRPr="001F45C7">
        <w:t xml:space="preserve"> T, </w:t>
      </w:r>
      <w:proofErr w:type="spellStart"/>
      <w:r w:rsidRPr="001F45C7">
        <w:t>Nizankowska-Mogilnicka</w:t>
      </w:r>
      <w:proofErr w:type="spellEnd"/>
      <w:r w:rsidRPr="001F45C7">
        <w:t xml:space="preserve"> E, </w:t>
      </w:r>
      <w:proofErr w:type="spellStart"/>
      <w:r w:rsidRPr="001F45C7">
        <w:t>Studnicka</w:t>
      </w:r>
      <w:proofErr w:type="spellEnd"/>
      <w:r w:rsidRPr="001F45C7">
        <w:t xml:space="preserve"> M, Bateman E, </w:t>
      </w:r>
      <w:proofErr w:type="spellStart"/>
      <w:r w:rsidRPr="001F45C7">
        <w:t>Anto</w:t>
      </w:r>
      <w:proofErr w:type="spellEnd"/>
      <w:r w:rsidRPr="001F45C7">
        <w:t xml:space="preserve"> JM, Burney P, </w:t>
      </w:r>
      <w:proofErr w:type="spellStart"/>
      <w:r w:rsidRPr="001F45C7">
        <w:t>Mannino</w:t>
      </w:r>
      <w:proofErr w:type="spellEnd"/>
      <w:r w:rsidRPr="001F45C7">
        <w:t xml:space="preserve"> DM, </w:t>
      </w:r>
      <w:proofErr w:type="spellStart"/>
      <w:r w:rsidRPr="001F45C7">
        <w:t>Buist</w:t>
      </w:r>
      <w:proofErr w:type="spellEnd"/>
      <w:r w:rsidRPr="001F45C7">
        <w:t xml:space="preserve"> SA; BOLD Collaborative Research Group. COPD in never smokers: results from the population-based burden of obstructive lung disease study. </w:t>
      </w:r>
      <w:proofErr w:type="gramStart"/>
      <w:r w:rsidRPr="001F45C7">
        <w:t>Chest.</w:t>
      </w:r>
      <w:proofErr w:type="gramEnd"/>
      <w:r w:rsidRPr="001F45C7">
        <w:t xml:space="preserve"> 2011 Apr</w:t>
      </w:r>
      <w:proofErr w:type="gramStart"/>
      <w:r w:rsidRPr="001F45C7">
        <w:t>;139</w:t>
      </w:r>
      <w:proofErr w:type="gramEnd"/>
      <w:r w:rsidRPr="001F45C7">
        <w:t xml:space="preserve">(4):752-63. </w:t>
      </w:r>
      <w:proofErr w:type="spellStart"/>
      <w:proofErr w:type="gramStart"/>
      <w:r w:rsidRPr="001F45C7">
        <w:t>doi</w:t>
      </w:r>
      <w:proofErr w:type="spellEnd"/>
      <w:proofErr w:type="gramEnd"/>
      <w:r w:rsidRPr="001F45C7">
        <w:t xml:space="preserve">: 10.1378/chest.10-1253. </w:t>
      </w:r>
      <w:proofErr w:type="spellStart"/>
      <w:r w:rsidRPr="001F45C7">
        <w:t>Epub</w:t>
      </w:r>
      <w:proofErr w:type="spellEnd"/>
      <w:r w:rsidRPr="001F45C7">
        <w:t xml:space="preserve"> 2010 Sep 30.</w:t>
      </w:r>
    </w:p>
    <w:p w:rsidR="00136D07" w:rsidRPr="001F45C7" w:rsidRDefault="00136D07" w:rsidP="001F45C7">
      <w:pPr>
        <w:jc w:val="both"/>
      </w:pPr>
      <w:proofErr w:type="spellStart"/>
      <w:r w:rsidRPr="001F45C7">
        <w:t>Lamprecht</w:t>
      </w:r>
      <w:proofErr w:type="spellEnd"/>
      <w:r w:rsidRPr="001F45C7">
        <w:t xml:space="preserve"> B1, </w:t>
      </w:r>
      <w:proofErr w:type="spellStart"/>
      <w:r w:rsidRPr="001F45C7">
        <w:t>Schirnhofer</w:t>
      </w:r>
      <w:proofErr w:type="spellEnd"/>
      <w:r w:rsidRPr="001F45C7">
        <w:t xml:space="preserve"> L, Kaiser B, </w:t>
      </w:r>
      <w:proofErr w:type="spellStart"/>
      <w:r w:rsidRPr="001F45C7">
        <w:t>Studnicka</w:t>
      </w:r>
      <w:proofErr w:type="spellEnd"/>
      <w:r w:rsidRPr="001F45C7">
        <w:t xml:space="preserve"> M, </w:t>
      </w:r>
      <w:proofErr w:type="spellStart"/>
      <w:r w:rsidRPr="001F45C7">
        <w:t>Buist</w:t>
      </w:r>
      <w:proofErr w:type="spellEnd"/>
      <w:r w:rsidRPr="001F45C7">
        <w:t xml:space="preserve"> AS. Farming and the prevalence of non-reversible airways obstruction: results from a population-based study. Am J </w:t>
      </w:r>
      <w:proofErr w:type="spellStart"/>
      <w:r w:rsidRPr="001F45C7">
        <w:t>Ind</w:t>
      </w:r>
      <w:proofErr w:type="spellEnd"/>
      <w:r w:rsidRPr="001F45C7">
        <w:t xml:space="preserve"> Med. 2007 Jun</w:t>
      </w:r>
      <w:proofErr w:type="gramStart"/>
      <w:r w:rsidRPr="001F45C7">
        <w:t>;50</w:t>
      </w:r>
      <w:proofErr w:type="gramEnd"/>
      <w:r w:rsidRPr="001F45C7">
        <w:t>(6):421-6.</w:t>
      </w:r>
    </w:p>
    <w:p w:rsidR="00136D07" w:rsidRPr="001F45C7" w:rsidRDefault="00136D07" w:rsidP="001F45C7">
      <w:pPr>
        <w:jc w:val="both"/>
      </w:pPr>
      <w:proofErr w:type="gramStart"/>
      <w:r w:rsidRPr="001F45C7">
        <w:t xml:space="preserve">Lange P1, </w:t>
      </w:r>
      <w:proofErr w:type="spellStart"/>
      <w:r w:rsidRPr="001F45C7">
        <w:t>Parner</w:t>
      </w:r>
      <w:proofErr w:type="spellEnd"/>
      <w:r w:rsidRPr="001F45C7">
        <w:t xml:space="preserve"> J, Prescott E, </w:t>
      </w:r>
      <w:proofErr w:type="spellStart"/>
      <w:r w:rsidRPr="001F45C7">
        <w:t>Vestbo</w:t>
      </w:r>
      <w:proofErr w:type="spellEnd"/>
      <w:r w:rsidRPr="001F45C7">
        <w:t xml:space="preserve"> J. Chronic bronchitis in an elderly population.</w:t>
      </w:r>
      <w:proofErr w:type="gramEnd"/>
      <w:r w:rsidRPr="001F45C7">
        <w:t xml:space="preserve"> </w:t>
      </w:r>
      <w:proofErr w:type="gramStart"/>
      <w:r w:rsidRPr="001F45C7">
        <w:t>Age Ageing.</w:t>
      </w:r>
      <w:proofErr w:type="gramEnd"/>
      <w:r w:rsidRPr="001F45C7">
        <w:t xml:space="preserve"> 2003 Nov</w:t>
      </w:r>
      <w:proofErr w:type="gramStart"/>
      <w:r w:rsidRPr="001F45C7">
        <w:t>;32</w:t>
      </w:r>
      <w:proofErr w:type="gramEnd"/>
      <w:r w:rsidRPr="001F45C7">
        <w:t>(6):636-42.</w:t>
      </w:r>
    </w:p>
    <w:p w:rsidR="00136D07" w:rsidRPr="001F45C7" w:rsidRDefault="00136D07" w:rsidP="001F45C7">
      <w:pPr>
        <w:jc w:val="both"/>
      </w:pPr>
      <w:r w:rsidRPr="001F45C7">
        <w:t xml:space="preserve">Lee SJ, Kim SW, Kong KA, </w:t>
      </w:r>
      <w:proofErr w:type="spellStart"/>
      <w:r w:rsidRPr="001F45C7">
        <w:t>Ryu</w:t>
      </w:r>
      <w:proofErr w:type="spellEnd"/>
      <w:r w:rsidRPr="001F45C7">
        <w:t xml:space="preserve"> YJ, Lee JH, Chang JH. </w:t>
      </w:r>
      <w:proofErr w:type="gramStart"/>
      <w:r w:rsidRPr="001F45C7">
        <w:t>Risk factors for chronic obstructive pulmonary disease among never-smokers in Korea.</w:t>
      </w:r>
      <w:proofErr w:type="gramEnd"/>
      <w:r w:rsidRPr="001F45C7">
        <w:t xml:space="preserve"> </w:t>
      </w:r>
      <w:proofErr w:type="spellStart"/>
      <w:r w:rsidRPr="001F45C7">
        <w:t>Int</w:t>
      </w:r>
      <w:proofErr w:type="spellEnd"/>
      <w:r w:rsidRPr="001F45C7">
        <w:t xml:space="preserve"> J </w:t>
      </w:r>
      <w:proofErr w:type="spellStart"/>
      <w:r w:rsidRPr="001F45C7">
        <w:t>Chron</w:t>
      </w:r>
      <w:proofErr w:type="spellEnd"/>
      <w:r w:rsidRPr="001F45C7">
        <w:t xml:space="preserve"> Obstruct </w:t>
      </w:r>
      <w:proofErr w:type="spellStart"/>
      <w:r w:rsidRPr="001F45C7">
        <w:t>Pulmon</w:t>
      </w:r>
      <w:proofErr w:type="spellEnd"/>
      <w:r w:rsidRPr="001F45C7">
        <w:t xml:space="preserve"> Dis. 2015 Mar 5</w:t>
      </w:r>
      <w:proofErr w:type="gramStart"/>
      <w:r w:rsidRPr="001F45C7">
        <w:t>;10:497</w:t>
      </w:r>
      <w:proofErr w:type="gramEnd"/>
      <w:r w:rsidRPr="001F45C7">
        <w:t>-506.</w:t>
      </w:r>
    </w:p>
    <w:p w:rsidR="00136D07" w:rsidRPr="001F45C7" w:rsidRDefault="00136D07" w:rsidP="001F45C7">
      <w:pPr>
        <w:jc w:val="both"/>
      </w:pPr>
      <w:proofErr w:type="gramStart"/>
      <w:r w:rsidRPr="001F45C7">
        <w:t xml:space="preserve">LeVan TD1, </w:t>
      </w:r>
      <w:proofErr w:type="spellStart"/>
      <w:r w:rsidRPr="001F45C7">
        <w:t>Koh</w:t>
      </w:r>
      <w:proofErr w:type="spellEnd"/>
      <w:r w:rsidRPr="001F45C7">
        <w:t xml:space="preserve"> WP, Lee HP, </w:t>
      </w:r>
      <w:proofErr w:type="spellStart"/>
      <w:r w:rsidRPr="001F45C7">
        <w:t>Koh</w:t>
      </w:r>
      <w:proofErr w:type="spellEnd"/>
      <w:r w:rsidRPr="001F45C7">
        <w:t xml:space="preserve"> D, Yu MC, London SJ.</w:t>
      </w:r>
      <w:proofErr w:type="gramEnd"/>
      <w:r w:rsidRPr="001F45C7">
        <w:t xml:space="preserve"> </w:t>
      </w:r>
      <w:proofErr w:type="spellStart"/>
      <w:r w:rsidRPr="001F45C7">
        <w:t>Vapor</w:t>
      </w:r>
      <w:proofErr w:type="spellEnd"/>
      <w:r w:rsidRPr="001F45C7">
        <w:t xml:space="preserve">, dust, and smoke exposure in relation to adult-onset asthma and chronic respiratory symptoms: the Singapore Chinese Health Study. </w:t>
      </w:r>
      <w:proofErr w:type="gramStart"/>
      <w:r w:rsidRPr="001F45C7">
        <w:t xml:space="preserve">Am J </w:t>
      </w:r>
      <w:proofErr w:type="spellStart"/>
      <w:r w:rsidRPr="001F45C7">
        <w:t>Epidemiol</w:t>
      </w:r>
      <w:proofErr w:type="spellEnd"/>
      <w:r w:rsidRPr="001F45C7">
        <w:t>.</w:t>
      </w:r>
      <w:proofErr w:type="gramEnd"/>
      <w:r w:rsidRPr="001F45C7">
        <w:t xml:space="preserve"> 2006 Jun 15</w:t>
      </w:r>
      <w:proofErr w:type="gramStart"/>
      <w:r w:rsidRPr="001F45C7">
        <w:t>;163</w:t>
      </w:r>
      <w:proofErr w:type="gramEnd"/>
      <w:r w:rsidRPr="001F45C7">
        <w:t xml:space="preserve">(12):1118-28. </w:t>
      </w:r>
      <w:proofErr w:type="spellStart"/>
      <w:r w:rsidRPr="001F45C7">
        <w:t>Epub</w:t>
      </w:r>
      <w:proofErr w:type="spellEnd"/>
      <w:r w:rsidRPr="001F45C7">
        <w:t xml:space="preserve"> 2006 May 17.</w:t>
      </w:r>
    </w:p>
    <w:p w:rsidR="00136D07" w:rsidRPr="001F45C7" w:rsidRDefault="00136D07" w:rsidP="001F45C7">
      <w:pPr>
        <w:jc w:val="both"/>
      </w:pPr>
      <w:r w:rsidRPr="001F45C7">
        <w:t xml:space="preserve">Lindberg A1, </w:t>
      </w:r>
      <w:proofErr w:type="spellStart"/>
      <w:r w:rsidRPr="001F45C7">
        <w:t>Jonsson</w:t>
      </w:r>
      <w:proofErr w:type="spellEnd"/>
      <w:r w:rsidRPr="001F45C7">
        <w:t xml:space="preserve"> AC, </w:t>
      </w:r>
      <w:proofErr w:type="spellStart"/>
      <w:r w:rsidRPr="001F45C7">
        <w:t>Rönmark</w:t>
      </w:r>
      <w:proofErr w:type="spellEnd"/>
      <w:r w:rsidRPr="001F45C7">
        <w:t xml:space="preserve"> E, Lundgren R, Larsson LG, </w:t>
      </w:r>
      <w:proofErr w:type="spellStart"/>
      <w:r w:rsidRPr="001F45C7">
        <w:t>Lundbäck</w:t>
      </w:r>
      <w:proofErr w:type="spellEnd"/>
      <w:r w:rsidRPr="001F45C7">
        <w:t xml:space="preserve"> B. Ten-year cumulative incidence of COPD and risk factors for incident disease in a symptomatic cohort. </w:t>
      </w:r>
      <w:proofErr w:type="gramStart"/>
      <w:r w:rsidRPr="001F45C7">
        <w:t>Chest.</w:t>
      </w:r>
      <w:proofErr w:type="gramEnd"/>
      <w:r w:rsidRPr="001F45C7">
        <w:t xml:space="preserve"> 2005 May</w:t>
      </w:r>
      <w:proofErr w:type="gramStart"/>
      <w:r w:rsidRPr="001F45C7">
        <w:t>;127</w:t>
      </w:r>
      <w:proofErr w:type="gramEnd"/>
      <w:r w:rsidRPr="001F45C7">
        <w:t>(5):1544-52.</w:t>
      </w:r>
    </w:p>
    <w:p w:rsidR="00136D07" w:rsidRPr="001F45C7" w:rsidRDefault="00136D07" w:rsidP="001F45C7">
      <w:pPr>
        <w:jc w:val="both"/>
      </w:pPr>
      <w:proofErr w:type="spellStart"/>
      <w:r w:rsidRPr="001F45C7">
        <w:t>Mak</w:t>
      </w:r>
      <w:proofErr w:type="spellEnd"/>
      <w:r w:rsidRPr="001F45C7">
        <w:t xml:space="preserve"> GK1, Gould MK, </w:t>
      </w:r>
      <w:proofErr w:type="spellStart"/>
      <w:r w:rsidRPr="001F45C7">
        <w:t>Kuschner</w:t>
      </w:r>
      <w:proofErr w:type="spellEnd"/>
      <w:r w:rsidRPr="001F45C7">
        <w:t xml:space="preserve"> WG. Occupational inhalant exposure and respiratory disorders among never-smokers referred to a hospital pulmonary function laboratory. Am J Med Sci. 2001 Sep</w:t>
      </w:r>
      <w:proofErr w:type="gramStart"/>
      <w:r w:rsidRPr="001F45C7">
        <w:t>;322</w:t>
      </w:r>
      <w:proofErr w:type="gramEnd"/>
      <w:r w:rsidRPr="001F45C7">
        <w:t>(3):121-6.</w:t>
      </w:r>
    </w:p>
    <w:p w:rsidR="00FB24A9" w:rsidRDefault="002866AB" w:rsidP="00FB24A9">
      <w:pPr>
        <w:jc w:val="both"/>
      </w:pPr>
      <w:proofErr w:type="spellStart"/>
      <w:r>
        <w:t>Marchetti</w:t>
      </w:r>
      <w:proofErr w:type="spellEnd"/>
      <w:r>
        <w:t xml:space="preserve"> N1, </w:t>
      </w:r>
      <w:proofErr w:type="spellStart"/>
      <w:r>
        <w:t>Garshick</w:t>
      </w:r>
      <w:proofErr w:type="spellEnd"/>
      <w:r>
        <w:t xml:space="preserve"> E, Kinney GL, McKenzie A, Stinson D, Lutz SM, Lynch DA, </w:t>
      </w:r>
      <w:proofErr w:type="spellStart"/>
      <w:r>
        <w:t>Criner</w:t>
      </w:r>
      <w:proofErr w:type="spellEnd"/>
      <w:r>
        <w:t xml:space="preserve"> GJ, Silverman EK, Crapo JD; </w:t>
      </w:r>
      <w:proofErr w:type="spellStart"/>
      <w:r>
        <w:t>COPDGene</w:t>
      </w:r>
      <w:proofErr w:type="spellEnd"/>
      <w:r>
        <w:t xml:space="preserve"> Investigators.</w:t>
      </w:r>
      <w:r w:rsidR="00FB24A9">
        <w:t xml:space="preserve"> </w:t>
      </w:r>
      <w:proofErr w:type="gramStart"/>
      <w:r w:rsidR="00FB24A9">
        <w:t xml:space="preserve">Association between occupational exposure and lung function, respiratory symptoms, and high-resolution computed tomography imaging in </w:t>
      </w:r>
      <w:proofErr w:type="spellStart"/>
      <w:r w:rsidR="00FB24A9">
        <w:t>COPDGene</w:t>
      </w:r>
      <w:proofErr w:type="spellEnd"/>
      <w:r w:rsidR="00FB24A9">
        <w:t>.</w:t>
      </w:r>
      <w:proofErr w:type="gramEnd"/>
      <w:r w:rsidR="00FB24A9" w:rsidRPr="00FB24A9">
        <w:t xml:space="preserve"> </w:t>
      </w:r>
      <w:r w:rsidR="00FB24A9">
        <w:t xml:space="preserve">Am J </w:t>
      </w:r>
      <w:proofErr w:type="spellStart"/>
      <w:r w:rsidR="00FB24A9">
        <w:t>Respir</w:t>
      </w:r>
      <w:proofErr w:type="spellEnd"/>
      <w:r w:rsidR="00FB24A9">
        <w:t xml:space="preserve"> </w:t>
      </w:r>
      <w:proofErr w:type="spellStart"/>
      <w:r w:rsidR="00FB24A9">
        <w:t>Crit</w:t>
      </w:r>
      <w:proofErr w:type="spellEnd"/>
      <w:r w:rsidR="00FB24A9">
        <w:t xml:space="preserve"> Care Med. 2014 Oct 1</w:t>
      </w:r>
      <w:proofErr w:type="gramStart"/>
      <w:r w:rsidR="00FB24A9">
        <w:t>;190</w:t>
      </w:r>
      <w:proofErr w:type="gramEnd"/>
      <w:r w:rsidR="00FB24A9">
        <w:t xml:space="preserve">(7):756-62. </w:t>
      </w:r>
      <w:proofErr w:type="spellStart"/>
      <w:proofErr w:type="gramStart"/>
      <w:r w:rsidR="00FB24A9">
        <w:t>doi</w:t>
      </w:r>
      <w:proofErr w:type="spellEnd"/>
      <w:proofErr w:type="gramEnd"/>
      <w:r w:rsidR="00FB24A9">
        <w:t>: 10.1164/rccm.201403-0493OC.</w:t>
      </w:r>
    </w:p>
    <w:p w:rsidR="00136D07" w:rsidRPr="001F45C7" w:rsidRDefault="00136D07" w:rsidP="001F45C7">
      <w:pPr>
        <w:jc w:val="both"/>
      </w:pPr>
      <w:r w:rsidRPr="001F45C7">
        <w:t xml:space="preserve">Matheson MC1, </w:t>
      </w:r>
      <w:proofErr w:type="spellStart"/>
      <w:r w:rsidRPr="001F45C7">
        <w:t>Benke</w:t>
      </w:r>
      <w:proofErr w:type="spellEnd"/>
      <w:r w:rsidRPr="001F45C7">
        <w:t xml:space="preserve"> G, Raven J, Sim MR, </w:t>
      </w:r>
      <w:proofErr w:type="spellStart"/>
      <w:r w:rsidRPr="001F45C7">
        <w:t>Kromhout</w:t>
      </w:r>
      <w:proofErr w:type="spellEnd"/>
      <w:r w:rsidRPr="001F45C7">
        <w:t xml:space="preserve"> H, </w:t>
      </w:r>
      <w:proofErr w:type="spellStart"/>
      <w:r w:rsidRPr="001F45C7">
        <w:t>Vermeulen</w:t>
      </w:r>
      <w:proofErr w:type="spellEnd"/>
      <w:r w:rsidRPr="001F45C7">
        <w:t xml:space="preserve"> R, Johns DP, Walters EH, Abramson MJ. Biological dust exposure in the workplace is a risk factor for chronic obstructive pulmonary disease. </w:t>
      </w:r>
      <w:proofErr w:type="gramStart"/>
      <w:r w:rsidRPr="001F45C7">
        <w:t>Thorax.</w:t>
      </w:r>
      <w:proofErr w:type="gramEnd"/>
      <w:r w:rsidRPr="001F45C7">
        <w:t xml:space="preserve"> 2005 Aug</w:t>
      </w:r>
      <w:proofErr w:type="gramStart"/>
      <w:r w:rsidRPr="001F45C7">
        <w:t>;60</w:t>
      </w:r>
      <w:proofErr w:type="gramEnd"/>
      <w:r w:rsidRPr="001F45C7">
        <w:t>(8):645-51.</w:t>
      </w:r>
    </w:p>
    <w:p w:rsidR="00136D07" w:rsidRPr="001F45C7" w:rsidRDefault="00136D07" w:rsidP="001F45C7">
      <w:pPr>
        <w:jc w:val="both"/>
      </w:pPr>
      <w:proofErr w:type="gramStart"/>
      <w:r w:rsidRPr="001F45C7">
        <w:t xml:space="preserve">Mayer AS, </w:t>
      </w:r>
      <w:proofErr w:type="spellStart"/>
      <w:r w:rsidRPr="001F45C7">
        <w:t>Stoller</w:t>
      </w:r>
      <w:proofErr w:type="spellEnd"/>
      <w:r w:rsidRPr="001F45C7">
        <w:t xml:space="preserve"> JK, Bucher </w:t>
      </w:r>
      <w:proofErr w:type="spellStart"/>
      <w:r w:rsidRPr="001F45C7">
        <w:t>Bartelson</w:t>
      </w:r>
      <w:proofErr w:type="spellEnd"/>
      <w:r w:rsidRPr="001F45C7">
        <w:t xml:space="preserve"> B, James </w:t>
      </w:r>
      <w:proofErr w:type="spellStart"/>
      <w:r w:rsidRPr="001F45C7">
        <w:t>Ruttenber</w:t>
      </w:r>
      <w:proofErr w:type="spellEnd"/>
      <w:r w:rsidRPr="001F45C7">
        <w:t xml:space="preserve"> A, </w:t>
      </w:r>
      <w:proofErr w:type="spellStart"/>
      <w:r w:rsidRPr="001F45C7">
        <w:t>Sandhaus</w:t>
      </w:r>
      <w:proofErr w:type="spellEnd"/>
      <w:r w:rsidRPr="001F45C7">
        <w:t xml:space="preserve"> RA, Newman LS.</w:t>
      </w:r>
      <w:proofErr w:type="gramEnd"/>
      <w:r w:rsidRPr="001F45C7">
        <w:t xml:space="preserve"> Occupational exposure risks in individuals with PI*Z </w:t>
      </w:r>
      <w:proofErr w:type="gramStart"/>
      <w:r w:rsidRPr="001F45C7">
        <w:t>alpha(</w:t>
      </w:r>
      <w:proofErr w:type="gramEnd"/>
      <w:r w:rsidRPr="001F45C7">
        <w:t xml:space="preserve">1)-antitrypsin deficiency. Am J </w:t>
      </w:r>
      <w:proofErr w:type="spellStart"/>
      <w:r w:rsidRPr="001F45C7">
        <w:t>Respir</w:t>
      </w:r>
      <w:proofErr w:type="spellEnd"/>
      <w:r w:rsidRPr="001F45C7">
        <w:t xml:space="preserve"> </w:t>
      </w:r>
      <w:proofErr w:type="spellStart"/>
      <w:r w:rsidRPr="001F45C7">
        <w:t>Crit</w:t>
      </w:r>
      <w:proofErr w:type="spellEnd"/>
      <w:r w:rsidRPr="001F45C7">
        <w:t xml:space="preserve"> Care Med. 2000 Aug</w:t>
      </w:r>
      <w:proofErr w:type="gramStart"/>
      <w:r w:rsidRPr="001F45C7">
        <w:t>;162</w:t>
      </w:r>
      <w:proofErr w:type="gramEnd"/>
      <w:r w:rsidRPr="001F45C7">
        <w:t>(2 Pt 1):553–8.</w:t>
      </w:r>
    </w:p>
    <w:p w:rsidR="00136D07" w:rsidRPr="001F45C7" w:rsidRDefault="00136D07" w:rsidP="001F45C7">
      <w:pPr>
        <w:jc w:val="both"/>
      </w:pPr>
      <w:proofErr w:type="spellStart"/>
      <w:r w:rsidRPr="001F45C7">
        <w:lastRenderedPageBreak/>
        <w:t>Mazitova</w:t>
      </w:r>
      <w:proofErr w:type="spellEnd"/>
      <w:r w:rsidRPr="001F45C7">
        <w:t xml:space="preserve"> NN1, </w:t>
      </w:r>
      <w:proofErr w:type="spellStart"/>
      <w:r w:rsidRPr="001F45C7">
        <w:t>Saveliev</w:t>
      </w:r>
      <w:proofErr w:type="spellEnd"/>
      <w:r w:rsidRPr="001F45C7">
        <w:t xml:space="preserve"> AA, </w:t>
      </w:r>
      <w:proofErr w:type="spellStart"/>
      <w:r w:rsidRPr="001F45C7">
        <w:t>Berheeva</w:t>
      </w:r>
      <w:proofErr w:type="spellEnd"/>
      <w:r w:rsidRPr="001F45C7">
        <w:t xml:space="preserve"> ZM, </w:t>
      </w:r>
      <w:proofErr w:type="spellStart"/>
      <w:r w:rsidRPr="001F45C7">
        <w:t>Amirov</w:t>
      </w:r>
      <w:proofErr w:type="spellEnd"/>
      <w:r w:rsidRPr="001F45C7">
        <w:t xml:space="preserve"> </w:t>
      </w:r>
      <w:proofErr w:type="spellStart"/>
      <w:r w:rsidRPr="001F45C7">
        <w:t>NKh</w:t>
      </w:r>
      <w:proofErr w:type="spellEnd"/>
      <w:r w:rsidRPr="001F45C7">
        <w:t xml:space="preserve">. COPD and occupation: a retrospective cohort study of industrial workers. </w:t>
      </w:r>
      <w:proofErr w:type="spellStart"/>
      <w:r w:rsidRPr="001F45C7">
        <w:t>Arh</w:t>
      </w:r>
      <w:proofErr w:type="spellEnd"/>
      <w:r w:rsidRPr="001F45C7">
        <w:t xml:space="preserve"> </w:t>
      </w:r>
      <w:proofErr w:type="spellStart"/>
      <w:r w:rsidRPr="001F45C7">
        <w:t>Hig</w:t>
      </w:r>
      <w:proofErr w:type="spellEnd"/>
      <w:r w:rsidRPr="001F45C7">
        <w:t xml:space="preserve"> Rada </w:t>
      </w:r>
      <w:proofErr w:type="spellStart"/>
      <w:r w:rsidRPr="001F45C7">
        <w:t>Toksikol</w:t>
      </w:r>
      <w:proofErr w:type="spellEnd"/>
      <w:r w:rsidRPr="001F45C7">
        <w:t>. 2012 Sep</w:t>
      </w:r>
      <w:proofErr w:type="gramStart"/>
      <w:r w:rsidRPr="001F45C7">
        <w:t>;63</w:t>
      </w:r>
      <w:proofErr w:type="gramEnd"/>
      <w:r w:rsidRPr="001F45C7">
        <w:t xml:space="preserve">(3):345-56. </w:t>
      </w:r>
      <w:proofErr w:type="spellStart"/>
      <w:proofErr w:type="gramStart"/>
      <w:r w:rsidRPr="001F45C7">
        <w:t>doi</w:t>
      </w:r>
      <w:proofErr w:type="spellEnd"/>
      <w:proofErr w:type="gramEnd"/>
      <w:r w:rsidRPr="001F45C7">
        <w:t>: 10.2478/10004-1254-63-2012-2178.</w:t>
      </w:r>
    </w:p>
    <w:p w:rsidR="00136D07" w:rsidRPr="001F45C7" w:rsidRDefault="00136D07" w:rsidP="001F45C7">
      <w:pPr>
        <w:jc w:val="both"/>
      </w:pPr>
      <w:r w:rsidRPr="001F45C7">
        <w:t xml:space="preserve">Mehta AJ, </w:t>
      </w:r>
      <w:proofErr w:type="spellStart"/>
      <w:r w:rsidRPr="001F45C7">
        <w:t>Miedinger</w:t>
      </w:r>
      <w:proofErr w:type="spellEnd"/>
      <w:r w:rsidRPr="001F45C7">
        <w:t xml:space="preserve"> D, </w:t>
      </w:r>
      <w:proofErr w:type="spellStart"/>
      <w:r w:rsidRPr="001F45C7">
        <w:t>Keidel</w:t>
      </w:r>
      <w:proofErr w:type="spellEnd"/>
      <w:r w:rsidRPr="001F45C7">
        <w:t xml:space="preserve"> D, </w:t>
      </w:r>
      <w:proofErr w:type="spellStart"/>
      <w:r w:rsidRPr="001F45C7">
        <w:t>Bettschart</w:t>
      </w:r>
      <w:proofErr w:type="spellEnd"/>
      <w:r w:rsidRPr="001F45C7">
        <w:t xml:space="preserve"> R, </w:t>
      </w:r>
      <w:proofErr w:type="spellStart"/>
      <w:r w:rsidRPr="001F45C7">
        <w:t>Bircher</w:t>
      </w:r>
      <w:proofErr w:type="spellEnd"/>
      <w:r w:rsidRPr="001F45C7">
        <w:t xml:space="preserve"> A, </w:t>
      </w:r>
      <w:proofErr w:type="spellStart"/>
      <w:r w:rsidRPr="001F45C7">
        <w:t>Bridevaux</w:t>
      </w:r>
      <w:proofErr w:type="spellEnd"/>
      <w:r w:rsidRPr="001F45C7">
        <w:t xml:space="preserve"> PO, </w:t>
      </w:r>
      <w:proofErr w:type="spellStart"/>
      <w:r w:rsidRPr="001F45C7">
        <w:t>Curjuric</w:t>
      </w:r>
      <w:proofErr w:type="spellEnd"/>
      <w:r w:rsidRPr="001F45C7">
        <w:t xml:space="preserve"> I, </w:t>
      </w:r>
      <w:proofErr w:type="spellStart"/>
      <w:r w:rsidRPr="001F45C7">
        <w:t>Kromhout</w:t>
      </w:r>
      <w:proofErr w:type="spellEnd"/>
      <w:r w:rsidRPr="001F45C7">
        <w:t xml:space="preserve"> H, </w:t>
      </w:r>
      <w:proofErr w:type="spellStart"/>
      <w:r w:rsidRPr="001F45C7">
        <w:t>Rochat</w:t>
      </w:r>
      <w:proofErr w:type="spellEnd"/>
      <w:r w:rsidRPr="001F45C7">
        <w:t xml:space="preserve"> T, </w:t>
      </w:r>
      <w:proofErr w:type="spellStart"/>
      <w:r w:rsidRPr="001F45C7">
        <w:t>Rothe</w:t>
      </w:r>
      <w:proofErr w:type="spellEnd"/>
      <w:r w:rsidRPr="001F45C7">
        <w:t xml:space="preserve"> T, </w:t>
      </w:r>
      <w:proofErr w:type="spellStart"/>
      <w:r w:rsidRPr="001F45C7">
        <w:t>Russi</w:t>
      </w:r>
      <w:proofErr w:type="spellEnd"/>
      <w:r w:rsidRPr="001F45C7">
        <w:t xml:space="preserve"> EW, </w:t>
      </w:r>
      <w:proofErr w:type="spellStart"/>
      <w:r w:rsidRPr="001F45C7">
        <w:t>Schikowski</w:t>
      </w:r>
      <w:proofErr w:type="spellEnd"/>
      <w:r w:rsidRPr="001F45C7">
        <w:t xml:space="preserve"> T, Schindler C, Schwartz J, Turk A, </w:t>
      </w:r>
      <w:proofErr w:type="spellStart"/>
      <w:r w:rsidRPr="001F45C7">
        <w:t>Vermeulen</w:t>
      </w:r>
      <w:proofErr w:type="spellEnd"/>
      <w:r w:rsidRPr="001F45C7">
        <w:t xml:space="preserve"> R, Probst-</w:t>
      </w:r>
      <w:proofErr w:type="spellStart"/>
      <w:r w:rsidRPr="001F45C7">
        <w:t>Hensch</w:t>
      </w:r>
      <w:proofErr w:type="spellEnd"/>
      <w:r w:rsidRPr="001F45C7">
        <w:t xml:space="preserve"> N, </w:t>
      </w:r>
      <w:proofErr w:type="spellStart"/>
      <w:r w:rsidRPr="001F45C7">
        <w:t>Künzli</w:t>
      </w:r>
      <w:proofErr w:type="spellEnd"/>
      <w:r w:rsidRPr="001F45C7">
        <w:t xml:space="preserve"> N; SAPALDIA Team. </w:t>
      </w:r>
      <w:proofErr w:type="gramStart"/>
      <w:r w:rsidRPr="001F45C7">
        <w:t>Occupational exposure to dusts, gases, and fumes and incidence of chronic obstructive pulmonary disease in the Swiss Cohort Study on Air Pollution and Lung and Heart Diseases in Adults.</w:t>
      </w:r>
      <w:proofErr w:type="gramEnd"/>
      <w:r w:rsidRPr="001F45C7">
        <w:t xml:space="preserve"> Am J </w:t>
      </w:r>
      <w:proofErr w:type="spellStart"/>
      <w:r w:rsidRPr="001F45C7">
        <w:t>Respir</w:t>
      </w:r>
      <w:proofErr w:type="spellEnd"/>
      <w:r w:rsidRPr="001F45C7">
        <w:t xml:space="preserve"> </w:t>
      </w:r>
      <w:proofErr w:type="spellStart"/>
      <w:r w:rsidRPr="001F45C7">
        <w:t>Crit</w:t>
      </w:r>
      <w:proofErr w:type="spellEnd"/>
      <w:r w:rsidRPr="001F45C7">
        <w:t xml:space="preserve"> Care Med. 2012 Jun 15</w:t>
      </w:r>
      <w:proofErr w:type="gramStart"/>
      <w:r w:rsidRPr="001F45C7">
        <w:t>;185</w:t>
      </w:r>
      <w:proofErr w:type="gramEnd"/>
      <w:r w:rsidRPr="001F45C7">
        <w:t xml:space="preserve">(12):1292-300. </w:t>
      </w:r>
      <w:proofErr w:type="spellStart"/>
      <w:proofErr w:type="gramStart"/>
      <w:r w:rsidRPr="001F45C7">
        <w:t>doi</w:t>
      </w:r>
      <w:proofErr w:type="spellEnd"/>
      <w:proofErr w:type="gramEnd"/>
      <w:r w:rsidRPr="001F45C7">
        <w:t xml:space="preserve">: 10.1164/rccm.201110-1917OC. </w:t>
      </w:r>
      <w:proofErr w:type="spellStart"/>
      <w:r w:rsidRPr="001F45C7">
        <w:t>Epub</w:t>
      </w:r>
      <w:proofErr w:type="spellEnd"/>
      <w:r w:rsidRPr="001F45C7">
        <w:t xml:space="preserve"> 2012 Apr 6.</w:t>
      </w:r>
    </w:p>
    <w:p w:rsidR="00136D07" w:rsidRPr="001F45C7" w:rsidRDefault="00136D07" w:rsidP="001F45C7">
      <w:pPr>
        <w:jc w:val="both"/>
      </w:pPr>
      <w:r w:rsidRPr="001F45C7">
        <w:t xml:space="preserve">Melville AM1, </w:t>
      </w:r>
      <w:proofErr w:type="spellStart"/>
      <w:r w:rsidRPr="001F45C7">
        <w:t>Pless-Mulloli</w:t>
      </w:r>
      <w:proofErr w:type="spellEnd"/>
      <w:r w:rsidRPr="001F45C7">
        <w:t xml:space="preserve"> T, </w:t>
      </w:r>
      <w:proofErr w:type="spellStart"/>
      <w:r w:rsidRPr="001F45C7">
        <w:t>Afolabi</w:t>
      </w:r>
      <w:proofErr w:type="spellEnd"/>
      <w:r w:rsidRPr="001F45C7">
        <w:t xml:space="preserve"> OA, Stenton SC. COPD prevalence and its association with occupational exposures in a general population. </w:t>
      </w:r>
      <w:proofErr w:type="spellStart"/>
      <w:r w:rsidRPr="001F45C7">
        <w:t>Eur</w:t>
      </w:r>
      <w:proofErr w:type="spellEnd"/>
      <w:r w:rsidRPr="001F45C7">
        <w:t xml:space="preserve"> </w:t>
      </w:r>
      <w:proofErr w:type="spellStart"/>
      <w:r w:rsidRPr="001F45C7">
        <w:t>Respir</w:t>
      </w:r>
      <w:proofErr w:type="spellEnd"/>
      <w:r w:rsidRPr="001F45C7">
        <w:t xml:space="preserve"> J. 2010 Sep</w:t>
      </w:r>
      <w:proofErr w:type="gramStart"/>
      <w:r w:rsidRPr="001F45C7">
        <w:t>;36</w:t>
      </w:r>
      <w:proofErr w:type="gramEnd"/>
      <w:r w:rsidRPr="001F45C7">
        <w:t xml:space="preserve">(3):488-93. </w:t>
      </w:r>
      <w:proofErr w:type="spellStart"/>
      <w:proofErr w:type="gramStart"/>
      <w:r w:rsidRPr="001F45C7">
        <w:t>doi</w:t>
      </w:r>
      <w:proofErr w:type="spellEnd"/>
      <w:proofErr w:type="gramEnd"/>
      <w:r w:rsidRPr="001F45C7">
        <w:t xml:space="preserve">: 10.1183/09031936.00038309. </w:t>
      </w:r>
      <w:proofErr w:type="spellStart"/>
      <w:r w:rsidRPr="001F45C7">
        <w:t>Epub</w:t>
      </w:r>
      <w:proofErr w:type="spellEnd"/>
      <w:r w:rsidRPr="001F45C7">
        <w:t xml:space="preserve"> 2010 Jan 28.</w:t>
      </w:r>
    </w:p>
    <w:p w:rsidR="00136D07" w:rsidRPr="001F45C7" w:rsidRDefault="00136D07" w:rsidP="001F45C7">
      <w:pPr>
        <w:jc w:val="both"/>
      </w:pPr>
      <w:proofErr w:type="spellStart"/>
      <w:r w:rsidRPr="001F45C7">
        <w:t>Montnémery</w:t>
      </w:r>
      <w:proofErr w:type="spellEnd"/>
      <w:r w:rsidRPr="001F45C7">
        <w:t xml:space="preserve"> P, </w:t>
      </w:r>
      <w:proofErr w:type="spellStart"/>
      <w:r w:rsidRPr="001F45C7">
        <w:t>Bengtsson</w:t>
      </w:r>
      <w:proofErr w:type="spellEnd"/>
      <w:r w:rsidRPr="001F45C7">
        <w:t xml:space="preserve"> P, Elliot A, </w:t>
      </w:r>
      <w:proofErr w:type="spellStart"/>
      <w:r w:rsidRPr="001F45C7">
        <w:t>Lindholm</w:t>
      </w:r>
      <w:proofErr w:type="spellEnd"/>
      <w:r w:rsidRPr="001F45C7">
        <w:t xml:space="preserve"> LH, Nyberg P, </w:t>
      </w:r>
      <w:proofErr w:type="spellStart"/>
      <w:r w:rsidRPr="001F45C7">
        <w:t>Löfdahl</w:t>
      </w:r>
      <w:proofErr w:type="spellEnd"/>
      <w:r w:rsidRPr="001F45C7">
        <w:t xml:space="preserve"> CG. </w:t>
      </w:r>
      <w:proofErr w:type="gramStart"/>
      <w:r w:rsidRPr="001F45C7">
        <w:t>Prevalence of obstructive lung diseases and respiratory symptoms in relation to living environment and socio-economic group.</w:t>
      </w:r>
      <w:proofErr w:type="gramEnd"/>
      <w:r w:rsidRPr="001F45C7">
        <w:t xml:space="preserve"> </w:t>
      </w:r>
      <w:proofErr w:type="spellStart"/>
      <w:r w:rsidRPr="001F45C7">
        <w:t>Respir</w:t>
      </w:r>
      <w:proofErr w:type="spellEnd"/>
      <w:r w:rsidRPr="001F45C7">
        <w:t xml:space="preserve"> Med. 2001 Sep</w:t>
      </w:r>
      <w:proofErr w:type="gramStart"/>
      <w:r w:rsidRPr="001F45C7">
        <w:t>;95</w:t>
      </w:r>
      <w:proofErr w:type="gramEnd"/>
      <w:r w:rsidRPr="001F45C7">
        <w:t>(9):744-52.</w:t>
      </w:r>
    </w:p>
    <w:p w:rsidR="00136D07" w:rsidRPr="001F45C7" w:rsidRDefault="00136D07" w:rsidP="001F45C7">
      <w:pPr>
        <w:jc w:val="both"/>
      </w:pPr>
      <w:proofErr w:type="gramStart"/>
      <w:r w:rsidRPr="001F45C7">
        <w:t>Morgan WK. Industrial bronchitis.</w:t>
      </w:r>
      <w:proofErr w:type="gramEnd"/>
      <w:r w:rsidRPr="001F45C7">
        <w:t xml:space="preserve"> Br J </w:t>
      </w:r>
      <w:proofErr w:type="spellStart"/>
      <w:r w:rsidRPr="001F45C7">
        <w:t>Ind</w:t>
      </w:r>
      <w:proofErr w:type="spellEnd"/>
      <w:r w:rsidRPr="001F45C7">
        <w:t xml:space="preserve"> Med. 1978 Nov; 35(4): 285–291.</w:t>
      </w:r>
    </w:p>
    <w:p w:rsidR="00070540" w:rsidRDefault="00070540" w:rsidP="001F45C7">
      <w:pPr>
        <w:jc w:val="both"/>
      </w:pPr>
      <w:proofErr w:type="spellStart"/>
      <w:r w:rsidRPr="00070540">
        <w:t>Obaseki</w:t>
      </w:r>
      <w:proofErr w:type="spellEnd"/>
      <w:r w:rsidRPr="00070540">
        <w:t xml:space="preserve"> DO, </w:t>
      </w:r>
      <w:proofErr w:type="gramStart"/>
      <w:r w:rsidRPr="00070540">
        <w:t>et</w:t>
      </w:r>
      <w:proofErr w:type="gramEnd"/>
      <w:r w:rsidRPr="00070540">
        <w:t xml:space="preserve">. </w:t>
      </w:r>
      <w:proofErr w:type="gramStart"/>
      <w:r w:rsidRPr="00070540">
        <w:t>al</w:t>
      </w:r>
      <w:proofErr w:type="gramEnd"/>
      <w:r w:rsidRPr="00070540">
        <w:t xml:space="preserve">. Chronic Airflow Obstruction in a Black African Population: Results of BOLD Study, Ile-Ife, Nigeria. </w:t>
      </w:r>
      <w:proofErr w:type="gramStart"/>
      <w:r w:rsidRPr="00070540">
        <w:t>COPD.</w:t>
      </w:r>
      <w:proofErr w:type="gramEnd"/>
      <w:r w:rsidRPr="00070540">
        <w:t xml:space="preserve"> </w:t>
      </w:r>
      <w:proofErr w:type="gramStart"/>
      <w:r w:rsidRPr="00070540">
        <w:t>2016 Feb; 13:42-9.</w:t>
      </w:r>
      <w:proofErr w:type="gramEnd"/>
    </w:p>
    <w:p w:rsidR="00136D07" w:rsidRPr="001F45C7" w:rsidRDefault="00136D07" w:rsidP="001F45C7">
      <w:pPr>
        <w:jc w:val="both"/>
      </w:pPr>
      <w:proofErr w:type="spellStart"/>
      <w:r w:rsidRPr="001F45C7">
        <w:t>Omland</w:t>
      </w:r>
      <w:proofErr w:type="spellEnd"/>
      <w:r w:rsidRPr="001F45C7">
        <w:t xml:space="preserve"> O, </w:t>
      </w:r>
      <w:proofErr w:type="spellStart"/>
      <w:r w:rsidRPr="001F45C7">
        <w:t>Würtz</w:t>
      </w:r>
      <w:proofErr w:type="spellEnd"/>
      <w:r w:rsidRPr="001F45C7">
        <w:t xml:space="preserve"> ET, </w:t>
      </w:r>
      <w:proofErr w:type="spellStart"/>
      <w:r w:rsidRPr="001F45C7">
        <w:t>Aasen</w:t>
      </w:r>
      <w:proofErr w:type="spellEnd"/>
      <w:r w:rsidRPr="001F45C7">
        <w:t xml:space="preserve"> TB, Blanc P, </w:t>
      </w:r>
      <w:proofErr w:type="spellStart"/>
      <w:r w:rsidRPr="001F45C7">
        <w:t>Brisman</w:t>
      </w:r>
      <w:proofErr w:type="spellEnd"/>
      <w:r w:rsidRPr="001F45C7">
        <w:t xml:space="preserve"> JB, Miller MR, Pedersen OF, </w:t>
      </w:r>
      <w:proofErr w:type="spellStart"/>
      <w:r w:rsidRPr="001F45C7">
        <w:t>Schlünssen</w:t>
      </w:r>
      <w:proofErr w:type="spellEnd"/>
      <w:r w:rsidRPr="001F45C7">
        <w:t xml:space="preserve"> V, </w:t>
      </w:r>
      <w:proofErr w:type="spellStart"/>
      <w:r w:rsidRPr="001F45C7">
        <w:t>Sigsgaard</w:t>
      </w:r>
      <w:proofErr w:type="spellEnd"/>
      <w:r w:rsidRPr="001F45C7">
        <w:t xml:space="preserve"> T, </w:t>
      </w:r>
      <w:proofErr w:type="spellStart"/>
      <w:r w:rsidRPr="001F45C7">
        <w:t>Ulrik</w:t>
      </w:r>
      <w:proofErr w:type="spellEnd"/>
      <w:r w:rsidRPr="001F45C7">
        <w:t xml:space="preserve"> CS, </w:t>
      </w:r>
      <w:proofErr w:type="spellStart"/>
      <w:r w:rsidRPr="001F45C7">
        <w:t>Viskum</w:t>
      </w:r>
      <w:proofErr w:type="spellEnd"/>
      <w:r w:rsidRPr="001F45C7">
        <w:t xml:space="preserve"> S. Occupational chronic obstructive pulmonary disease: a systematic literature review. </w:t>
      </w:r>
      <w:proofErr w:type="spellStart"/>
      <w:r w:rsidRPr="001F45C7">
        <w:t>Scand</w:t>
      </w:r>
      <w:proofErr w:type="spellEnd"/>
      <w:r w:rsidRPr="001F45C7">
        <w:t xml:space="preserve"> J Work Environ Health. 2014 Jan</w:t>
      </w:r>
      <w:proofErr w:type="gramStart"/>
      <w:r w:rsidRPr="001F45C7">
        <w:t>;40</w:t>
      </w:r>
      <w:proofErr w:type="gramEnd"/>
      <w:r w:rsidRPr="001F45C7">
        <w:t xml:space="preserve">(1):19-35. </w:t>
      </w:r>
    </w:p>
    <w:p w:rsidR="00136D07" w:rsidRPr="001F45C7" w:rsidRDefault="00136D07" w:rsidP="001F45C7">
      <w:pPr>
        <w:jc w:val="both"/>
      </w:pPr>
      <w:proofErr w:type="spellStart"/>
      <w:r w:rsidRPr="001F45C7">
        <w:t>Pallasaho</w:t>
      </w:r>
      <w:proofErr w:type="spellEnd"/>
      <w:r w:rsidRPr="001F45C7">
        <w:t xml:space="preserve"> P1, </w:t>
      </w:r>
      <w:proofErr w:type="spellStart"/>
      <w:r w:rsidRPr="001F45C7">
        <w:t>Kainu</w:t>
      </w:r>
      <w:proofErr w:type="spellEnd"/>
      <w:r w:rsidRPr="001F45C7">
        <w:t xml:space="preserve"> A, </w:t>
      </w:r>
      <w:proofErr w:type="spellStart"/>
      <w:r w:rsidRPr="001F45C7">
        <w:t>Sovijärvi</w:t>
      </w:r>
      <w:proofErr w:type="spellEnd"/>
      <w:r w:rsidRPr="001F45C7">
        <w:t xml:space="preserve"> A, </w:t>
      </w:r>
      <w:proofErr w:type="spellStart"/>
      <w:r w:rsidRPr="001F45C7">
        <w:t>Lindqvist</w:t>
      </w:r>
      <w:proofErr w:type="spellEnd"/>
      <w:r w:rsidRPr="001F45C7">
        <w:t xml:space="preserve"> A, </w:t>
      </w:r>
      <w:proofErr w:type="spellStart"/>
      <w:r w:rsidRPr="001F45C7">
        <w:t>Piirilä</w:t>
      </w:r>
      <w:proofErr w:type="spellEnd"/>
      <w:r w:rsidRPr="001F45C7">
        <w:t xml:space="preserve"> PL. Combined effect of smoking and occupational exposure to dusts, gases or fumes on the incidence of COPD. </w:t>
      </w:r>
      <w:proofErr w:type="gramStart"/>
      <w:r w:rsidRPr="001F45C7">
        <w:t>COPD.</w:t>
      </w:r>
      <w:proofErr w:type="gramEnd"/>
      <w:r w:rsidRPr="001F45C7">
        <w:t xml:space="preserve"> 2014 Feb</w:t>
      </w:r>
      <w:proofErr w:type="gramStart"/>
      <w:r w:rsidRPr="001F45C7">
        <w:t>;11</w:t>
      </w:r>
      <w:proofErr w:type="gramEnd"/>
      <w:r w:rsidRPr="001F45C7">
        <w:t xml:space="preserve">(1):88-95. </w:t>
      </w:r>
      <w:proofErr w:type="spellStart"/>
      <w:proofErr w:type="gramStart"/>
      <w:r w:rsidRPr="001F45C7">
        <w:t>doi</w:t>
      </w:r>
      <w:proofErr w:type="spellEnd"/>
      <w:proofErr w:type="gramEnd"/>
      <w:r w:rsidRPr="001F45C7">
        <w:t xml:space="preserve">: 10.3109/15412555.2013.830095. </w:t>
      </w:r>
      <w:proofErr w:type="spellStart"/>
      <w:r w:rsidRPr="001F45C7">
        <w:t>Epub</w:t>
      </w:r>
      <w:proofErr w:type="spellEnd"/>
      <w:r w:rsidRPr="001F45C7">
        <w:t xml:space="preserve"> 2013 Oct 10.</w:t>
      </w:r>
    </w:p>
    <w:p w:rsidR="00136D07" w:rsidRDefault="00136D07" w:rsidP="001F45C7">
      <w:pPr>
        <w:jc w:val="both"/>
      </w:pPr>
      <w:r w:rsidRPr="001F45C7">
        <w:t xml:space="preserve">Paulin LM, </w:t>
      </w:r>
      <w:proofErr w:type="spellStart"/>
      <w:r w:rsidRPr="001F45C7">
        <w:t>Diette</w:t>
      </w:r>
      <w:proofErr w:type="spellEnd"/>
      <w:r w:rsidRPr="001F45C7">
        <w:t xml:space="preserve"> GB, Blanc PD, </w:t>
      </w:r>
      <w:proofErr w:type="spellStart"/>
      <w:r w:rsidRPr="001F45C7">
        <w:t>Putcha</w:t>
      </w:r>
      <w:proofErr w:type="spellEnd"/>
      <w:r w:rsidRPr="001F45C7">
        <w:t xml:space="preserve"> N, Eisner MD, </w:t>
      </w:r>
      <w:proofErr w:type="spellStart"/>
      <w:r w:rsidRPr="001F45C7">
        <w:t>Kanner</w:t>
      </w:r>
      <w:proofErr w:type="spellEnd"/>
      <w:r w:rsidRPr="001F45C7">
        <w:t xml:space="preserve"> RE, Belli AJ, Christenson S, </w:t>
      </w:r>
      <w:proofErr w:type="spellStart"/>
      <w:r w:rsidRPr="001F45C7">
        <w:t>Tashkin</w:t>
      </w:r>
      <w:proofErr w:type="spellEnd"/>
      <w:r w:rsidRPr="001F45C7">
        <w:t xml:space="preserve"> DP, Han M, Barr RG, Hansel NN; SPIROMICS Research Group. Occupational exposures are associated with worse morbidity in patients with chronic obstructive pulmonary disease. Am J </w:t>
      </w:r>
      <w:proofErr w:type="spellStart"/>
      <w:r w:rsidRPr="001F45C7">
        <w:t>Respir</w:t>
      </w:r>
      <w:proofErr w:type="spellEnd"/>
      <w:r w:rsidRPr="001F45C7">
        <w:t xml:space="preserve"> </w:t>
      </w:r>
      <w:proofErr w:type="spellStart"/>
      <w:r w:rsidRPr="001F45C7">
        <w:t>Crit</w:t>
      </w:r>
      <w:proofErr w:type="spellEnd"/>
      <w:r w:rsidRPr="001F45C7">
        <w:t xml:space="preserve"> Care Med. 2015 Mar 1</w:t>
      </w:r>
      <w:proofErr w:type="gramStart"/>
      <w:r w:rsidRPr="001F45C7">
        <w:t>;191</w:t>
      </w:r>
      <w:proofErr w:type="gramEnd"/>
      <w:r w:rsidRPr="001F45C7">
        <w:t xml:space="preserve">(5):557-65. </w:t>
      </w:r>
    </w:p>
    <w:p w:rsidR="00136D07" w:rsidRPr="001F45C7" w:rsidRDefault="00136D07" w:rsidP="001F45C7">
      <w:pPr>
        <w:jc w:val="both"/>
      </w:pPr>
      <w:proofErr w:type="spellStart"/>
      <w:proofErr w:type="gramStart"/>
      <w:r w:rsidRPr="001F45C7">
        <w:t>Pauwels</w:t>
      </w:r>
      <w:proofErr w:type="spellEnd"/>
      <w:r w:rsidRPr="001F45C7">
        <w:t xml:space="preserve"> RA, </w:t>
      </w:r>
      <w:proofErr w:type="spellStart"/>
      <w:r w:rsidRPr="001F45C7">
        <w:t>Buist</w:t>
      </w:r>
      <w:proofErr w:type="spellEnd"/>
      <w:r w:rsidRPr="001F45C7">
        <w:t xml:space="preserve"> AS, Calverley PM, Jenkins CR, Hurd SS; GOLD Scientific Committee.</w:t>
      </w:r>
      <w:proofErr w:type="gramEnd"/>
      <w:r w:rsidRPr="001F45C7">
        <w:t xml:space="preserve"> </w:t>
      </w:r>
      <w:proofErr w:type="gramStart"/>
      <w:r w:rsidRPr="001F45C7">
        <w:t>Global strategy for the diagnosis, management, and prevention of chronic obstructive pulmonary disease.</w:t>
      </w:r>
      <w:proofErr w:type="gramEnd"/>
      <w:r w:rsidRPr="001F45C7">
        <w:t xml:space="preserve"> NHLBI/WHO Global Initiative for Chronic Obstructive Lung Disease (GOLD) Workshop summary. Am J </w:t>
      </w:r>
      <w:proofErr w:type="spellStart"/>
      <w:r w:rsidRPr="001F45C7">
        <w:t>Respir</w:t>
      </w:r>
      <w:proofErr w:type="spellEnd"/>
      <w:r w:rsidRPr="001F45C7">
        <w:t xml:space="preserve"> </w:t>
      </w:r>
      <w:proofErr w:type="spellStart"/>
      <w:r w:rsidRPr="001F45C7">
        <w:t>Crit</w:t>
      </w:r>
      <w:proofErr w:type="spellEnd"/>
      <w:r w:rsidRPr="001F45C7">
        <w:t xml:space="preserve"> Care Med. 2001 Apr</w:t>
      </w:r>
      <w:proofErr w:type="gramStart"/>
      <w:r w:rsidRPr="001F45C7">
        <w:t>;163</w:t>
      </w:r>
      <w:proofErr w:type="gramEnd"/>
      <w:r w:rsidRPr="001F45C7">
        <w:t>(5):1256-76.</w:t>
      </w:r>
    </w:p>
    <w:p w:rsidR="00136D07" w:rsidRPr="001F45C7" w:rsidRDefault="00136D07" w:rsidP="001F45C7">
      <w:pPr>
        <w:jc w:val="both"/>
      </w:pPr>
      <w:proofErr w:type="gramStart"/>
      <w:r w:rsidRPr="001F45C7">
        <w:t>Pérez-</w:t>
      </w:r>
      <w:proofErr w:type="spellStart"/>
      <w:r w:rsidRPr="001F45C7">
        <w:t>Rial</w:t>
      </w:r>
      <w:proofErr w:type="spellEnd"/>
      <w:r w:rsidRPr="001F45C7">
        <w:t xml:space="preserve"> S1, </w:t>
      </w:r>
      <w:proofErr w:type="spellStart"/>
      <w:r w:rsidRPr="001F45C7">
        <w:t>Girón-Martínez</w:t>
      </w:r>
      <w:proofErr w:type="spellEnd"/>
      <w:r w:rsidRPr="001F45C7">
        <w:t xml:space="preserve"> Á1, </w:t>
      </w:r>
      <w:proofErr w:type="spellStart"/>
      <w:r w:rsidRPr="001F45C7">
        <w:t>Peces</w:t>
      </w:r>
      <w:proofErr w:type="spellEnd"/>
      <w:r w:rsidRPr="001F45C7">
        <w:t>-Barba G2.</w:t>
      </w:r>
      <w:proofErr w:type="gramEnd"/>
      <w:r w:rsidRPr="001F45C7">
        <w:t xml:space="preserve"> </w:t>
      </w:r>
      <w:proofErr w:type="gramStart"/>
      <w:r w:rsidRPr="001F45C7">
        <w:t>Animal models of chronic obstructive pulmonary disease.</w:t>
      </w:r>
      <w:proofErr w:type="gramEnd"/>
      <w:r w:rsidRPr="001F45C7">
        <w:t xml:space="preserve"> </w:t>
      </w:r>
      <w:proofErr w:type="gramStart"/>
      <w:r w:rsidRPr="001F45C7">
        <w:t xml:space="preserve">Arch </w:t>
      </w:r>
      <w:proofErr w:type="spellStart"/>
      <w:r w:rsidRPr="001F45C7">
        <w:t>Bronconeumol</w:t>
      </w:r>
      <w:proofErr w:type="spellEnd"/>
      <w:r w:rsidRPr="001F45C7">
        <w:t>.</w:t>
      </w:r>
      <w:proofErr w:type="gramEnd"/>
      <w:r w:rsidRPr="001F45C7">
        <w:t xml:space="preserve"> 2015 Mar</w:t>
      </w:r>
      <w:proofErr w:type="gramStart"/>
      <w:r w:rsidRPr="001F45C7">
        <w:t>;51</w:t>
      </w:r>
      <w:proofErr w:type="gramEnd"/>
      <w:r w:rsidRPr="001F45C7">
        <w:t xml:space="preserve">(3):121-7. </w:t>
      </w:r>
      <w:proofErr w:type="spellStart"/>
      <w:proofErr w:type="gramStart"/>
      <w:r w:rsidRPr="001F45C7">
        <w:t>doi</w:t>
      </w:r>
      <w:proofErr w:type="spellEnd"/>
      <w:proofErr w:type="gramEnd"/>
      <w:r w:rsidRPr="001F45C7">
        <w:t xml:space="preserve">: 10.1016/j.arbres.2014.06.016. </w:t>
      </w:r>
      <w:proofErr w:type="spellStart"/>
      <w:r w:rsidRPr="001F45C7">
        <w:t>Epub</w:t>
      </w:r>
      <w:proofErr w:type="spellEnd"/>
      <w:r w:rsidRPr="001F45C7">
        <w:t xml:space="preserve"> 2014 Sep 5.</w:t>
      </w:r>
    </w:p>
    <w:p w:rsidR="00136D07" w:rsidRPr="001F45C7" w:rsidRDefault="00136D07" w:rsidP="001F45C7">
      <w:pPr>
        <w:jc w:val="both"/>
      </w:pPr>
      <w:proofErr w:type="spellStart"/>
      <w:r w:rsidRPr="001F45C7">
        <w:t>Piitulainen</w:t>
      </w:r>
      <w:proofErr w:type="spellEnd"/>
      <w:r w:rsidRPr="001F45C7">
        <w:t xml:space="preserve"> E, </w:t>
      </w:r>
      <w:proofErr w:type="spellStart"/>
      <w:r w:rsidRPr="001F45C7">
        <w:t>Tornling</w:t>
      </w:r>
      <w:proofErr w:type="spellEnd"/>
      <w:r w:rsidRPr="001F45C7">
        <w:t xml:space="preserve"> G, Eriksson S. Effect of age and occupational exposure to airway irritants on lung function in non-smoking individuals with alpha 1-antitrypsin deficiency (</w:t>
      </w:r>
      <w:proofErr w:type="spellStart"/>
      <w:r w:rsidRPr="001F45C7">
        <w:t>PiZZ</w:t>
      </w:r>
      <w:proofErr w:type="spellEnd"/>
      <w:r w:rsidRPr="001F45C7">
        <w:t xml:space="preserve">). </w:t>
      </w:r>
      <w:proofErr w:type="gramStart"/>
      <w:r w:rsidRPr="001F45C7">
        <w:t>Thorax.</w:t>
      </w:r>
      <w:proofErr w:type="gramEnd"/>
      <w:r w:rsidRPr="001F45C7">
        <w:t xml:space="preserve"> 1997 Mar</w:t>
      </w:r>
      <w:proofErr w:type="gramStart"/>
      <w:r w:rsidRPr="001F45C7">
        <w:t>;52</w:t>
      </w:r>
      <w:proofErr w:type="gramEnd"/>
      <w:r w:rsidRPr="001F45C7">
        <w:t>(3):244–8.</w:t>
      </w:r>
    </w:p>
    <w:p w:rsidR="00136D07" w:rsidRPr="001F45C7" w:rsidRDefault="00136D07" w:rsidP="001F45C7">
      <w:pPr>
        <w:jc w:val="both"/>
      </w:pPr>
      <w:r w:rsidRPr="001F45C7">
        <w:lastRenderedPageBreak/>
        <w:t xml:space="preserve">Rom WN. </w:t>
      </w:r>
      <w:proofErr w:type="gramStart"/>
      <w:r w:rsidRPr="001F45C7">
        <w:t>Relationship of inflammatory cell cytokines to disease severity in individuals with occupational inorganic dust exposure.</w:t>
      </w:r>
      <w:proofErr w:type="gramEnd"/>
      <w:r w:rsidRPr="001F45C7">
        <w:t xml:space="preserve"> Am J </w:t>
      </w:r>
      <w:proofErr w:type="spellStart"/>
      <w:r w:rsidRPr="001F45C7">
        <w:t>Ind</w:t>
      </w:r>
      <w:proofErr w:type="spellEnd"/>
      <w:r w:rsidRPr="001F45C7">
        <w:t xml:space="preserve"> Med 1991</w:t>
      </w:r>
      <w:proofErr w:type="gramStart"/>
      <w:r w:rsidRPr="001F45C7">
        <w:t>;19:15</w:t>
      </w:r>
      <w:proofErr w:type="gramEnd"/>
      <w:r w:rsidRPr="001F45C7">
        <w:t>-27.</w:t>
      </w:r>
    </w:p>
    <w:p w:rsidR="00136D07" w:rsidRPr="001F45C7" w:rsidRDefault="00136D07" w:rsidP="001F45C7">
      <w:pPr>
        <w:jc w:val="both"/>
      </w:pPr>
      <w:r w:rsidRPr="001F45C7">
        <w:t xml:space="preserve">Scholes S1, Moody A1, Mindell JS1. Estimating population prevalence of potential airflow obstruction using different spirometric criteria: a pooled cross-sectional analysis of persons aged 40-95 years in England and Wales. </w:t>
      </w:r>
      <w:proofErr w:type="gramStart"/>
      <w:r w:rsidRPr="001F45C7">
        <w:t>BMJ Open.</w:t>
      </w:r>
      <w:proofErr w:type="gramEnd"/>
      <w:r w:rsidRPr="001F45C7">
        <w:t xml:space="preserve"> 2014 Jul 23</w:t>
      </w:r>
      <w:proofErr w:type="gramStart"/>
      <w:r w:rsidRPr="001F45C7">
        <w:t>;4</w:t>
      </w:r>
      <w:proofErr w:type="gramEnd"/>
      <w:r w:rsidRPr="001F45C7">
        <w:t xml:space="preserve">(7):e005685. </w:t>
      </w:r>
      <w:proofErr w:type="spellStart"/>
      <w:proofErr w:type="gramStart"/>
      <w:r w:rsidRPr="001F45C7">
        <w:t>doi</w:t>
      </w:r>
      <w:proofErr w:type="spellEnd"/>
      <w:proofErr w:type="gramEnd"/>
      <w:r w:rsidRPr="001F45C7">
        <w:t>: 10.1136/bmjopen-2014-005685.</w:t>
      </w:r>
    </w:p>
    <w:p w:rsidR="00136D07" w:rsidRPr="001F45C7" w:rsidRDefault="00136D07" w:rsidP="001F45C7">
      <w:pPr>
        <w:jc w:val="both"/>
      </w:pPr>
      <w:r w:rsidRPr="001F45C7">
        <w:t xml:space="preserve">Shapiro SD. Animal models for COPD. </w:t>
      </w:r>
      <w:proofErr w:type="gramStart"/>
      <w:r w:rsidRPr="001F45C7">
        <w:t>Chest.</w:t>
      </w:r>
      <w:proofErr w:type="gramEnd"/>
      <w:r w:rsidRPr="001F45C7">
        <w:t xml:space="preserve"> 2000 May</w:t>
      </w:r>
      <w:proofErr w:type="gramStart"/>
      <w:r w:rsidRPr="001F45C7">
        <w:t>;117</w:t>
      </w:r>
      <w:proofErr w:type="gramEnd"/>
      <w:r w:rsidRPr="001F45C7">
        <w:t xml:space="preserve">(5 </w:t>
      </w:r>
      <w:proofErr w:type="spellStart"/>
      <w:r w:rsidRPr="001F45C7">
        <w:t>Suppl</w:t>
      </w:r>
      <w:proofErr w:type="spellEnd"/>
      <w:r w:rsidRPr="001F45C7">
        <w:t xml:space="preserve"> 1):223S–7S.</w:t>
      </w:r>
    </w:p>
    <w:p w:rsidR="001C01A2" w:rsidRDefault="001C01A2" w:rsidP="001F45C7">
      <w:pPr>
        <w:jc w:val="both"/>
      </w:pPr>
      <w:r w:rsidRPr="001C01A2">
        <w:t xml:space="preserve">Sheikh M. </w:t>
      </w:r>
      <w:proofErr w:type="spellStart"/>
      <w:r w:rsidRPr="001C01A2">
        <w:t>Alifa</w:t>
      </w:r>
      <w:proofErr w:type="spellEnd"/>
      <w:r w:rsidRPr="001C01A2">
        <w:t xml:space="preserve"> SM </w:t>
      </w:r>
      <w:proofErr w:type="gramStart"/>
      <w:r w:rsidRPr="001C01A2">
        <w:t>et</w:t>
      </w:r>
      <w:proofErr w:type="gramEnd"/>
      <w:r w:rsidRPr="001C01A2">
        <w:t xml:space="preserve">. </w:t>
      </w:r>
      <w:proofErr w:type="gramStart"/>
      <w:r w:rsidRPr="001C01A2">
        <w:t>al</w:t>
      </w:r>
      <w:proofErr w:type="gramEnd"/>
      <w:r w:rsidRPr="001C01A2">
        <w:t xml:space="preserve">. Occupational exposure and risk of chronic obstructive pulmonary disease: a systematic review and meta-analysis. Expert Rev </w:t>
      </w:r>
      <w:proofErr w:type="spellStart"/>
      <w:r w:rsidRPr="001C01A2">
        <w:t>Respir</w:t>
      </w:r>
      <w:proofErr w:type="spellEnd"/>
      <w:r w:rsidRPr="001C01A2">
        <w:t xml:space="preserve"> Med 2016; 10: 861 -72.  </w:t>
      </w:r>
    </w:p>
    <w:p w:rsidR="00136D07" w:rsidRPr="001F45C7" w:rsidRDefault="00136D07" w:rsidP="001F45C7">
      <w:pPr>
        <w:jc w:val="both"/>
      </w:pPr>
      <w:r w:rsidRPr="001F45C7">
        <w:t xml:space="preserve">Suadicani P1, Hein HO, Meyer HW, </w:t>
      </w:r>
      <w:proofErr w:type="spellStart"/>
      <w:r w:rsidRPr="001F45C7">
        <w:t>Gyntelberg</w:t>
      </w:r>
      <w:proofErr w:type="spellEnd"/>
      <w:r w:rsidRPr="001F45C7">
        <w:t xml:space="preserve"> F. Exposure to cold and draught, alcohol consumption, and the NS-phenotype are associated with chronic bronchitis: an epidemiological investigation of 3387 men aged 53-75 years: the Copenhagen Male Study. </w:t>
      </w:r>
      <w:proofErr w:type="spellStart"/>
      <w:r w:rsidRPr="001F45C7">
        <w:t>Occup</w:t>
      </w:r>
      <w:proofErr w:type="spellEnd"/>
      <w:r w:rsidRPr="001F45C7">
        <w:t xml:space="preserve"> Environ Med. 2001 Mar</w:t>
      </w:r>
      <w:proofErr w:type="gramStart"/>
      <w:r w:rsidRPr="001F45C7">
        <w:t>;58</w:t>
      </w:r>
      <w:proofErr w:type="gramEnd"/>
      <w:r w:rsidRPr="001F45C7">
        <w:t>(3):160-4.</w:t>
      </w:r>
    </w:p>
    <w:p w:rsidR="00136D07" w:rsidRPr="001F45C7" w:rsidRDefault="00136D07" w:rsidP="001F45C7">
      <w:pPr>
        <w:jc w:val="both"/>
      </w:pPr>
      <w:proofErr w:type="spellStart"/>
      <w:r w:rsidRPr="001F45C7">
        <w:t>Sunyer</w:t>
      </w:r>
      <w:proofErr w:type="spellEnd"/>
      <w:r w:rsidRPr="001F45C7">
        <w:t xml:space="preserve"> J1, Zock JP, </w:t>
      </w:r>
      <w:proofErr w:type="spellStart"/>
      <w:r w:rsidRPr="001F45C7">
        <w:t>Kromhout</w:t>
      </w:r>
      <w:proofErr w:type="spellEnd"/>
      <w:r w:rsidRPr="001F45C7">
        <w:t xml:space="preserve"> H, Garcia-Esteban R, Radon K, Jarvis D, </w:t>
      </w:r>
      <w:proofErr w:type="spellStart"/>
      <w:r w:rsidRPr="001F45C7">
        <w:t>Toren</w:t>
      </w:r>
      <w:proofErr w:type="spellEnd"/>
      <w:r w:rsidRPr="001F45C7">
        <w:t xml:space="preserve"> K, </w:t>
      </w:r>
      <w:proofErr w:type="spellStart"/>
      <w:r w:rsidRPr="001F45C7">
        <w:t>Künzli</w:t>
      </w:r>
      <w:proofErr w:type="spellEnd"/>
      <w:r w:rsidRPr="001F45C7">
        <w:t xml:space="preserve"> N, </w:t>
      </w:r>
      <w:proofErr w:type="spellStart"/>
      <w:r w:rsidRPr="001F45C7">
        <w:t>Norbäck</w:t>
      </w:r>
      <w:proofErr w:type="spellEnd"/>
      <w:r w:rsidRPr="001F45C7">
        <w:t xml:space="preserve"> D, </w:t>
      </w:r>
      <w:proofErr w:type="spellStart"/>
      <w:r w:rsidRPr="001F45C7">
        <w:t>d'Errico</w:t>
      </w:r>
      <w:proofErr w:type="spellEnd"/>
      <w:r w:rsidRPr="001F45C7">
        <w:t xml:space="preserve"> A, </w:t>
      </w:r>
      <w:proofErr w:type="spellStart"/>
      <w:r w:rsidRPr="001F45C7">
        <w:t>Urrutia</w:t>
      </w:r>
      <w:proofErr w:type="spellEnd"/>
      <w:r w:rsidRPr="001F45C7">
        <w:t xml:space="preserve"> I, </w:t>
      </w:r>
      <w:proofErr w:type="spellStart"/>
      <w:r w:rsidRPr="001F45C7">
        <w:t>Payo</w:t>
      </w:r>
      <w:proofErr w:type="spellEnd"/>
      <w:r w:rsidRPr="001F45C7">
        <w:t xml:space="preserve"> F, </w:t>
      </w:r>
      <w:proofErr w:type="spellStart"/>
      <w:r w:rsidRPr="001F45C7">
        <w:t>Olivieri</w:t>
      </w:r>
      <w:proofErr w:type="spellEnd"/>
      <w:r w:rsidRPr="001F45C7">
        <w:t xml:space="preserve"> M, Villani S, Van </w:t>
      </w:r>
      <w:proofErr w:type="spellStart"/>
      <w:r w:rsidRPr="001F45C7">
        <w:t>Sprundel</w:t>
      </w:r>
      <w:proofErr w:type="spellEnd"/>
      <w:r w:rsidRPr="001F45C7">
        <w:t xml:space="preserve"> M, </w:t>
      </w:r>
      <w:proofErr w:type="spellStart"/>
      <w:r w:rsidRPr="001F45C7">
        <w:t>Antó</w:t>
      </w:r>
      <w:proofErr w:type="spellEnd"/>
      <w:r w:rsidRPr="001F45C7">
        <w:t xml:space="preserve"> JM, </w:t>
      </w:r>
      <w:proofErr w:type="spellStart"/>
      <w:r w:rsidRPr="001F45C7">
        <w:t>Kogevinas</w:t>
      </w:r>
      <w:proofErr w:type="spellEnd"/>
      <w:r w:rsidRPr="001F45C7">
        <w:t xml:space="preserve"> M; Occupational Group of the European Community Respiratory Health Survey. </w:t>
      </w:r>
      <w:proofErr w:type="gramStart"/>
      <w:r w:rsidRPr="001F45C7">
        <w:t>Lung function decline, chronic bronchitis, and occupational exposures in young adults.</w:t>
      </w:r>
      <w:proofErr w:type="gramEnd"/>
      <w:r w:rsidRPr="001F45C7">
        <w:t xml:space="preserve"> Am J </w:t>
      </w:r>
      <w:proofErr w:type="spellStart"/>
      <w:r w:rsidRPr="001F45C7">
        <w:t>Respir</w:t>
      </w:r>
      <w:proofErr w:type="spellEnd"/>
      <w:r w:rsidRPr="001F45C7">
        <w:t xml:space="preserve"> </w:t>
      </w:r>
      <w:proofErr w:type="spellStart"/>
      <w:r w:rsidRPr="001F45C7">
        <w:t>Crit</w:t>
      </w:r>
      <w:proofErr w:type="spellEnd"/>
      <w:r w:rsidRPr="001F45C7">
        <w:t xml:space="preserve"> Care Med. 2005 Nov 1</w:t>
      </w:r>
      <w:proofErr w:type="gramStart"/>
      <w:r w:rsidRPr="001F45C7">
        <w:t>;172</w:t>
      </w:r>
      <w:proofErr w:type="gramEnd"/>
      <w:r w:rsidRPr="001F45C7">
        <w:t xml:space="preserve">(9):1139-45. </w:t>
      </w:r>
      <w:proofErr w:type="spellStart"/>
      <w:r w:rsidRPr="001F45C7">
        <w:t>Epub</w:t>
      </w:r>
      <w:proofErr w:type="spellEnd"/>
      <w:r w:rsidRPr="001F45C7">
        <w:t xml:space="preserve"> 2005 Jul 22.</w:t>
      </w:r>
    </w:p>
    <w:p w:rsidR="00136D07" w:rsidRPr="001F45C7" w:rsidRDefault="00136D07" w:rsidP="001F45C7">
      <w:pPr>
        <w:jc w:val="both"/>
      </w:pPr>
      <w:proofErr w:type="spellStart"/>
      <w:r w:rsidRPr="001F45C7">
        <w:t>Torén</w:t>
      </w:r>
      <w:proofErr w:type="spellEnd"/>
      <w:r w:rsidRPr="001F45C7">
        <w:t xml:space="preserve"> K, </w:t>
      </w:r>
      <w:proofErr w:type="spellStart"/>
      <w:r w:rsidRPr="001F45C7">
        <w:t>Järvholm</w:t>
      </w:r>
      <w:proofErr w:type="spellEnd"/>
      <w:r w:rsidRPr="001F45C7">
        <w:t xml:space="preserve"> B. Effect of occupational exposure to </w:t>
      </w:r>
      <w:proofErr w:type="spellStart"/>
      <w:r w:rsidRPr="001F45C7">
        <w:t>vapors</w:t>
      </w:r>
      <w:proofErr w:type="spellEnd"/>
      <w:r w:rsidRPr="001F45C7">
        <w:t xml:space="preserve">, gases, dusts, and fumes on COPD mortality risk among Swedish construction workers: a longitudinal cohort study. </w:t>
      </w:r>
      <w:proofErr w:type="gramStart"/>
      <w:r w:rsidRPr="001F45C7">
        <w:t>Chest.</w:t>
      </w:r>
      <w:proofErr w:type="gramEnd"/>
      <w:r w:rsidRPr="001F45C7">
        <w:t xml:space="preserve"> 2014 May</w:t>
      </w:r>
      <w:proofErr w:type="gramStart"/>
      <w:r w:rsidRPr="001F45C7">
        <w:t>;145</w:t>
      </w:r>
      <w:proofErr w:type="gramEnd"/>
      <w:r w:rsidRPr="001F45C7">
        <w:t>(5):992-7.</w:t>
      </w:r>
    </w:p>
    <w:p w:rsidR="00861EB4" w:rsidRDefault="00136D07" w:rsidP="00861EB4">
      <w:pPr>
        <w:jc w:val="both"/>
      </w:pPr>
      <w:proofErr w:type="spellStart"/>
      <w:r w:rsidRPr="001F45C7">
        <w:t>Trupin</w:t>
      </w:r>
      <w:proofErr w:type="spellEnd"/>
      <w:r w:rsidRPr="001F45C7">
        <w:t xml:space="preserve"> L1, Earnest G, San Pedro M, </w:t>
      </w:r>
      <w:proofErr w:type="spellStart"/>
      <w:r w:rsidRPr="001F45C7">
        <w:t>Balmes</w:t>
      </w:r>
      <w:proofErr w:type="spellEnd"/>
      <w:r w:rsidRPr="001F45C7">
        <w:t xml:space="preserve"> JR, Eisner MD, </w:t>
      </w:r>
      <w:proofErr w:type="spellStart"/>
      <w:r w:rsidRPr="001F45C7">
        <w:t>Yelin</w:t>
      </w:r>
      <w:proofErr w:type="spellEnd"/>
      <w:r w:rsidRPr="001F45C7">
        <w:t xml:space="preserve"> E, Katz PP, Blanc PD. </w:t>
      </w:r>
      <w:proofErr w:type="gramStart"/>
      <w:r w:rsidRPr="001F45C7">
        <w:t>The occupational burden of chronic obstructive pulmonary disease.</w:t>
      </w:r>
      <w:proofErr w:type="gramEnd"/>
      <w:r w:rsidRPr="001F45C7">
        <w:t xml:space="preserve"> </w:t>
      </w:r>
      <w:proofErr w:type="spellStart"/>
      <w:r w:rsidRPr="001F45C7">
        <w:t>Eur</w:t>
      </w:r>
      <w:proofErr w:type="spellEnd"/>
      <w:r w:rsidRPr="001F45C7">
        <w:t xml:space="preserve"> </w:t>
      </w:r>
      <w:proofErr w:type="spellStart"/>
      <w:r w:rsidR="00076268">
        <w:t>Respir</w:t>
      </w:r>
      <w:proofErr w:type="spellEnd"/>
      <w:r w:rsidR="00076268">
        <w:t xml:space="preserve"> J. 2003 Sep</w:t>
      </w:r>
      <w:proofErr w:type="gramStart"/>
      <w:r w:rsidR="00076268">
        <w:t>;22</w:t>
      </w:r>
      <w:proofErr w:type="gramEnd"/>
      <w:r w:rsidR="00076268">
        <w:t>(3):462-9.</w:t>
      </w:r>
    </w:p>
    <w:p w:rsidR="003A04CF" w:rsidRPr="003A04CF" w:rsidRDefault="003A04CF" w:rsidP="003A04CF">
      <w:pPr>
        <w:jc w:val="both"/>
      </w:pPr>
      <w:proofErr w:type="gramStart"/>
      <w:r w:rsidRPr="003A04CF">
        <w:t>van</w:t>
      </w:r>
      <w:proofErr w:type="gramEnd"/>
      <w:r w:rsidRPr="003A04CF">
        <w:t xml:space="preserve"> </w:t>
      </w:r>
      <w:proofErr w:type="spellStart"/>
      <w:r w:rsidRPr="003A04CF">
        <w:t>Koeverden</w:t>
      </w:r>
      <w:proofErr w:type="spellEnd"/>
      <w:r w:rsidRPr="003A04CF">
        <w:t xml:space="preserve"> I, Blanc PD,  Bowler RP, </w:t>
      </w:r>
      <w:proofErr w:type="spellStart"/>
      <w:r w:rsidRPr="003A04CF">
        <w:t>Arjomandi</w:t>
      </w:r>
      <w:proofErr w:type="spellEnd"/>
      <w:r w:rsidRPr="003A04CF">
        <w:t xml:space="preserve"> M. </w:t>
      </w:r>
      <w:proofErr w:type="spellStart"/>
      <w:r w:rsidRPr="003A04CF">
        <w:t>COPDGene</w:t>
      </w:r>
      <w:proofErr w:type="spellEnd"/>
      <w:r w:rsidRPr="003A04CF">
        <w:t xml:space="preserve"> Study Cohort – COPD Risk. J Chronic </w:t>
      </w:r>
      <w:proofErr w:type="spellStart"/>
      <w:r w:rsidRPr="003A04CF">
        <w:t>Obstr</w:t>
      </w:r>
      <w:proofErr w:type="spellEnd"/>
      <w:r w:rsidRPr="003A04CF">
        <w:t xml:space="preserve"> </w:t>
      </w:r>
      <w:proofErr w:type="spellStart"/>
      <w:r w:rsidRPr="003A04CF">
        <w:t>Pulm</w:t>
      </w:r>
      <w:proofErr w:type="spellEnd"/>
      <w:r w:rsidRPr="003A04CF">
        <w:t xml:space="preserve"> Dis [2015</w:t>
      </w:r>
      <w:proofErr w:type="gramStart"/>
      <w:r w:rsidRPr="003A04CF">
        <w:t>;12:182</w:t>
      </w:r>
      <w:proofErr w:type="gramEnd"/>
      <w:r w:rsidRPr="003A04CF">
        <w:t>-9]</w:t>
      </w:r>
    </w:p>
    <w:p w:rsidR="0002633C" w:rsidRPr="003A04CF" w:rsidRDefault="00861EB4" w:rsidP="0002633C">
      <w:pPr>
        <w:jc w:val="both"/>
      </w:pPr>
      <w:proofErr w:type="spellStart"/>
      <w:r w:rsidRPr="003A04CF">
        <w:t>Weinmann</w:t>
      </w:r>
      <w:proofErr w:type="spellEnd"/>
      <w:r w:rsidRPr="003A04CF">
        <w:t xml:space="preserve"> S, Vollmer WM, Breen V, </w:t>
      </w:r>
      <w:proofErr w:type="spellStart"/>
      <w:r w:rsidRPr="003A04CF">
        <w:t>Heumann</w:t>
      </w:r>
      <w:proofErr w:type="spellEnd"/>
      <w:r w:rsidRPr="003A04CF">
        <w:t xml:space="preserve"> M, </w:t>
      </w:r>
      <w:proofErr w:type="spellStart"/>
      <w:r w:rsidRPr="003A04CF">
        <w:t>Hnizdo</w:t>
      </w:r>
      <w:proofErr w:type="spellEnd"/>
      <w:r w:rsidRPr="003A04CF">
        <w:t xml:space="preserve"> E, </w:t>
      </w:r>
      <w:proofErr w:type="spellStart"/>
      <w:r w:rsidRPr="003A04CF">
        <w:t>Villnave</w:t>
      </w:r>
      <w:proofErr w:type="spellEnd"/>
      <w:r w:rsidRPr="003A04CF">
        <w:t xml:space="preserve"> J, </w:t>
      </w:r>
      <w:proofErr w:type="spellStart"/>
      <w:r w:rsidRPr="003A04CF">
        <w:t>Doney</w:t>
      </w:r>
      <w:proofErr w:type="spellEnd"/>
      <w:r w:rsidRPr="003A04CF">
        <w:t xml:space="preserve"> B, Graziani M, </w:t>
      </w:r>
      <w:proofErr w:type="spellStart"/>
      <w:r w:rsidRPr="003A04CF">
        <w:t>McBurnie</w:t>
      </w:r>
      <w:proofErr w:type="spellEnd"/>
      <w:r w:rsidRPr="003A04CF">
        <w:t xml:space="preserve"> MA, </w:t>
      </w:r>
      <w:proofErr w:type="spellStart"/>
      <w:r w:rsidRPr="003A04CF">
        <w:t>Buist</w:t>
      </w:r>
      <w:proofErr w:type="spellEnd"/>
      <w:r w:rsidRPr="003A04CF">
        <w:t xml:space="preserve"> AS. COPD and occupational exposures: a case-control study.</w:t>
      </w:r>
      <w:r w:rsidR="0002633C" w:rsidRPr="003A04CF">
        <w:t xml:space="preserve"> J </w:t>
      </w:r>
      <w:proofErr w:type="spellStart"/>
      <w:r w:rsidR="0002633C" w:rsidRPr="003A04CF">
        <w:t>Occup</w:t>
      </w:r>
      <w:proofErr w:type="spellEnd"/>
      <w:r w:rsidR="0002633C" w:rsidRPr="003A04CF">
        <w:t xml:space="preserve"> Environ Med. 2008 May</w:t>
      </w:r>
      <w:proofErr w:type="gramStart"/>
      <w:r w:rsidR="0002633C" w:rsidRPr="003A04CF">
        <w:t>;50</w:t>
      </w:r>
      <w:proofErr w:type="gramEnd"/>
      <w:r w:rsidR="0002633C" w:rsidRPr="003A04CF">
        <w:t xml:space="preserve">(5):561-9. </w:t>
      </w:r>
      <w:proofErr w:type="spellStart"/>
      <w:proofErr w:type="gramStart"/>
      <w:r w:rsidR="0002633C" w:rsidRPr="003A04CF">
        <w:t>doi</w:t>
      </w:r>
      <w:proofErr w:type="spellEnd"/>
      <w:proofErr w:type="gramEnd"/>
      <w:r w:rsidR="0002633C" w:rsidRPr="003A04CF">
        <w:t>: 10.1097/JOM.0b013e3181651556.</w:t>
      </w:r>
      <w:r w:rsidR="00294410" w:rsidRPr="003A04CF">
        <w:t xml:space="preserve"> </w:t>
      </w:r>
      <w:proofErr w:type="gramStart"/>
      <w:r w:rsidR="00294410" w:rsidRPr="003A04CF">
        <w:t>abstract</w:t>
      </w:r>
      <w:proofErr w:type="gramEnd"/>
      <w:r w:rsidR="00294410" w:rsidRPr="003A04CF">
        <w:t xml:space="preserve"> only</w:t>
      </w:r>
    </w:p>
    <w:p w:rsidR="00233BDD" w:rsidRPr="001F45C7" w:rsidRDefault="00233BDD" w:rsidP="00233BDD">
      <w:pPr>
        <w:jc w:val="both"/>
      </w:pPr>
      <w:proofErr w:type="spellStart"/>
      <w:r w:rsidRPr="001F45C7">
        <w:t>Würtz</w:t>
      </w:r>
      <w:proofErr w:type="spellEnd"/>
      <w:r w:rsidRPr="001F45C7">
        <w:t xml:space="preserve"> ET1, </w:t>
      </w:r>
      <w:proofErr w:type="spellStart"/>
      <w:r w:rsidRPr="001F45C7">
        <w:t>Schlünssen</w:t>
      </w:r>
      <w:proofErr w:type="spellEnd"/>
      <w:r w:rsidRPr="001F45C7">
        <w:t xml:space="preserve"> V2, </w:t>
      </w:r>
      <w:proofErr w:type="spellStart"/>
      <w:r w:rsidRPr="001F45C7">
        <w:t>Malling</w:t>
      </w:r>
      <w:proofErr w:type="spellEnd"/>
      <w:r w:rsidRPr="001F45C7">
        <w:t xml:space="preserve"> TH1, Hansen JG3, </w:t>
      </w:r>
      <w:proofErr w:type="spellStart"/>
      <w:r w:rsidRPr="001F45C7">
        <w:t>Omland</w:t>
      </w:r>
      <w:proofErr w:type="spellEnd"/>
      <w:r w:rsidRPr="001F45C7">
        <w:t xml:space="preserve"> Ø4. Occupational COPD among Danish never-smokers: a population-based study. </w:t>
      </w:r>
      <w:proofErr w:type="spellStart"/>
      <w:r w:rsidRPr="001F45C7">
        <w:t>Occup</w:t>
      </w:r>
      <w:proofErr w:type="spellEnd"/>
      <w:r w:rsidRPr="001F45C7">
        <w:t xml:space="preserve"> Environ Med. 2015</w:t>
      </w:r>
      <w:r>
        <w:t>a</w:t>
      </w:r>
      <w:r w:rsidRPr="001F45C7">
        <w:t xml:space="preserve"> Jun</w:t>
      </w:r>
      <w:proofErr w:type="gramStart"/>
      <w:r w:rsidRPr="001F45C7">
        <w:t>;72</w:t>
      </w:r>
      <w:proofErr w:type="gramEnd"/>
      <w:r w:rsidRPr="001F45C7">
        <w:t>(6):456-9.</w:t>
      </w:r>
    </w:p>
    <w:p w:rsidR="00136D07" w:rsidRPr="001F45C7" w:rsidRDefault="00136D07" w:rsidP="001F45C7">
      <w:pPr>
        <w:jc w:val="both"/>
      </w:pPr>
      <w:proofErr w:type="spellStart"/>
      <w:r w:rsidRPr="001F45C7">
        <w:t>Würtz</w:t>
      </w:r>
      <w:proofErr w:type="spellEnd"/>
      <w:r w:rsidRPr="001F45C7">
        <w:t xml:space="preserve"> ET1, </w:t>
      </w:r>
      <w:proofErr w:type="spellStart"/>
      <w:r w:rsidRPr="001F45C7">
        <w:t>Schlünssen</w:t>
      </w:r>
      <w:proofErr w:type="spellEnd"/>
      <w:r w:rsidRPr="001F45C7">
        <w:t xml:space="preserve"> V, </w:t>
      </w:r>
      <w:proofErr w:type="spellStart"/>
      <w:r w:rsidRPr="001F45C7">
        <w:t>Malling</w:t>
      </w:r>
      <w:proofErr w:type="spellEnd"/>
      <w:r w:rsidRPr="001F45C7">
        <w:t xml:space="preserve"> TH, Hansen JG, </w:t>
      </w:r>
      <w:proofErr w:type="spellStart"/>
      <w:r w:rsidRPr="001F45C7">
        <w:t>Omland</w:t>
      </w:r>
      <w:proofErr w:type="spellEnd"/>
      <w:r w:rsidRPr="001F45C7">
        <w:t xml:space="preserve"> Ø. Occupational Chronic Obstructive Pulmonary Disease in </w:t>
      </w:r>
      <w:proofErr w:type="gramStart"/>
      <w:r w:rsidRPr="001F45C7">
        <w:t>a Danish</w:t>
      </w:r>
      <w:proofErr w:type="gramEnd"/>
      <w:r w:rsidRPr="001F45C7">
        <w:t xml:space="preserve"> Population-Based Study. </w:t>
      </w:r>
      <w:proofErr w:type="gramStart"/>
      <w:r w:rsidRPr="001F45C7">
        <w:t>COPD.</w:t>
      </w:r>
      <w:proofErr w:type="gramEnd"/>
      <w:r w:rsidRPr="001F45C7">
        <w:t xml:space="preserve"> 2015</w:t>
      </w:r>
      <w:r w:rsidR="00233BDD">
        <w:t>b</w:t>
      </w:r>
      <w:r w:rsidRPr="001F45C7">
        <w:t xml:space="preserve"> Aug</w:t>
      </w:r>
      <w:proofErr w:type="gramStart"/>
      <w:r w:rsidRPr="001F45C7">
        <w:t>;12</w:t>
      </w:r>
      <w:proofErr w:type="gramEnd"/>
      <w:r w:rsidRPr="001F45C7">
        <w:t>(4):435-43.</w:t>
      </w:r>
    </w:p>
    <w:p w:rsidR="00136D07" w:rsidRPr="001F45C7" w:rsidRDefault="00136D07" w:rsidP="001F45C7">
      <w:pPr>
        <w:jc w:val="both"/>
      </w:pPr>
      <w:r w:rsidRPr="001F45C7">
        <w:t xml:space="preserve">Xu F1, Yin X, Zhang M, Shen H, Lu L, Xu Y. Prevalence of physician-diagnosed COPD and its association with smoking among urban and rural residents in regional mainland China. </w:t>
      </w:r>
      <w:proofErr w:type="gramStart"/>
      <w:r w:rsidRPr="001F45C7">
        <w:t>Chest.</w:t>
      </w:r>
      <w:proofErr w:type="gramEnd"/>
      <w:r w:rsidRPr="001F45C7">
        <w:t xml:space="preserve"> 2005 Oct</w:t>
      </w:r>
      <w:proofErr w:type="gramStart"/>
      <w:r w:rsidRPr="001F45C7">
        <w:t>;128</w:t>
      </w:r>
      <w:proofErr w:type="gramEnd"/>
      <w:r w:rsidRPr="001F45C7">
        <w:t>(4):2818-23.</w:t>
      </w:r>
    </w:p>
    <w:p w:rsidR="00136D07" w:rsidRPr="001F45C7" w:rsidRDefault="00136D07" w:rsidP="001F45C7">
      <w:pPr>
        <w:jc w:val="both"/>
      </w:pPr>
      <w:r w:rsidRPr="001F45C7">
        <w:lastRenderedPageBreak/>
        <w:t xml:space="preserve">Zhong N1, Wang C, Yao W, Chen P, Kang J, Huang S, Chen B, Wang C, Ni D, Zhou Y, Liu S, Wang X, Wang D, Lu J, Zheng J, Ran P. Prevalence of chronic obstructive pulmonary disease in China: a large, population-based survey. Am J </w:t>
      </w:r>
      <w:proofErr w:type="spellStart"/>
      <w:r w:rsidRPr="001F45C7">
        <w:t>Respir</w:t>
      </w:r>
      <w:proofErr w:type="spellEnd"/>
      <w:r w:rsidRPr="001F45C7">
        <w:t xml:space="preserve"> </w:t>
      </w:r>
      <w:proofErr w:type="spellStart"/>
      <w:r w:rsidRPr="001F45C7">
        <w:t>Crit</w:t>
      </w:r>
      <w:proofErr w:type="spellEnd"/>
      <w:r w:rsidRPr="001F45C7">
        <w:t xml:space="preserve"> Care Med. 2007 Oct 15</w:t>
      </w:r>
      <w:proofErr w:type="gramStart"/>
      <w:r w:rsidRPr="001F45C7">
        <w:t>;176</w:t>
      </w:r>
      <w:proofErr w:type="gramEnd"/>
      <w:r w:rsidRPr="001F45C7">
        <w:t xml:space="preserve">(8):753-60. </w:t>
      </w:r>
      <w:proofErr w:type="spellStart"/>
      <w:r w:rsidRPr="001F45C7">
        <w:t>Epub</w:t>
      </w:r>
      <w:proofErr w:type="spellEnd"/>
      <w:r w:rsidRPr="001F45C7">
        <w:t xml:space="preserve"> 2007 Jun 15.</w:t>
      </w:r>
    </w:p>
    <w:p w:rsidR="00136D07" w:rsidRPr="001F45C7" w:rsidRDefault="00136D07" w:rsidP="001F45C7">
      <w:pPr>
        <w:jc w:val="both"/>
      </w:pPr>
      <w:r w:rsidRPr="001F45C7">
        <w:t xml:space="preserve">Zock JP1, </w:t>
      </w:r>
      <w:proofErr w:type="spellStart"/>
      <w:r w:rsidRPr="001F45C7">
        <w:t>Sunyer</w:t>
      </w:r>
      <w:proofErr w:type="spellEnd"/>
      <w:r w:rsidRPr="001F45C7">
        <w:t xml:space="preserve"> J, </w:t>
      </w:r>
      <w:proofErr w:type="spellStart"/>
      <w:r w:rsidRPr="001F45C7">
        <w:t>Kogevinas</w:t>
      </w:r>
      <w:proofErr w:type="spellEnd"/>
      <w:r w:rsidRPr="001F45C7">
        <w:t xml:space="preserve"> M, </w:t>
      </w:r>
      <w:proofErr w:type="spellStart"/>
      <w:r w:rsidRPr="001F45C7">
        <w:t>Kromhout</w:t>
      </w:r>
      <w:proofErr w:type="spellEnd"/>
      <w:r w:rsidRPr="001F45C7">
        <w:t xml:space="preserve"> H, Burney P, </w:t>
      </w:r>
      <w:proofErr w:type="spellStart"/>
      <w:r w:rsidRPr="001F45C7">
        <w:t>Antó</w:t>
      </w:r>
      <w:proofErr w:type="spellEnd"/>
      <w:r w:rsidRPr="001F45C7">
        <w:t xml:space="preserve"> JM. Occupation, chronic bronchitis, and lung function in young adults. </w:t>
      </w:r>
      <w:proofErr w:type="gramStart"/>
      <w:r w:rsidRPr="001F45C7">
        <w:t>An international study.</w:t>
      </w:r>
      <w:proofErr w:type="gramEnd"/>
      <w:r w:rsidRPr="001F45C7">
        <w:t xml:space="preserve"> Am J </w:t>
      </w:r>
      <w:proofErr w:type="spellStart"/>
      <w:r w:rsidRPr="001F45C7">
        <w:t>Respir</w:t>
      </w:r>
      <w:proofErr w:type="spellEnd"/>
      <w:r w:rsidRPr="001F45C7">
        <w:t xml:space="preserve"> </w:t>
      </w:r>
      <w:proofErr w:type="spellStart"/>
      <w:r w:rsidRPr="001F45C7">
        <w:t>Crit</w:t>
      </w:r>
      <w:proofErr w:type="spellEnd"/>
      <w:r w:rsidRPr="001F45C7">
        <w:t xml:space="preserve"> Care Med. 2001 Jun</w:t>
      </w:r>
      <w:proofErr w:type="gramStart"/>
      <w:r w:rsidRPr="001F45C7">
        <w:t>;163</w:t>
      </w:r>
      <w:proofErr w:type="gramEnd"/>
      <w:r w:rsidRPr="001F45C7">
        <w:t>(7):1572-7.</w:t>
      </w:r>
    </w:p>
    <w:p w:rsidR="001A53C2" w:rsidRPr="001F45C7" w:rsidRDefault="001A53C2" w:rsidP="001F45C7">
      <w:pPr>
        <w:jc w:val="both"/>
      </w:pPr>
    </w:p>
    <w:p w:rsidR="00E56B49" w:rsidRPr="001F45C7" w:rsidRDefault="00E56B49" w:rsidP="001F45C7">
      <w:pPr>
        <w:jc w:val="both"/>
        <w:sectPr w:rsidR="00E56B49" w:rsidRPr="001F45C7" w:rsidSect="00E56B49">
          <w:pgSz w:w="11906" w:h="16838"/>
          <w:pgMar w:top="1440" w:right="1440" w:bottom="1440" w:left="1440" w:header="708" w:footer="708" w:gutter="0"/>
          <w:cols w:space="708"/>
          <w:docGrid w:linePitch="360"/>
        </w:sectPr>
      </w:pPr>
    </w:p>
    <w:p w:rsidR="00C75D1C" w:rsidRPr="001F45C7" w:rsidRDefault="00C75D1C" w:rsidP="001F45C7">
      <w:pPr>
        <w:jc w:val="both"/>
      </w:pPr>
    </w:p>
    <w:p w:rsidR="00C27340" w:rsidRPr="001F45C7" w:rsidRDefault="00C27340" w:rsidP="00393C2D">
      <w:r w:rsidRPr="001F45C7">
        <w:t xml:space="preserve">Table </w:t>
      </w:r>
      <w:r w:rsidR="00C75EC3">
        <w:t>1</w:t>
      </w:r>
      <w:r w:rsidR="00375791" w:rsidRPr="001F45C7">
        <w:t>;</w:t>
      </w:r>
      <w:r w:rsidRPr="001F45C7">
        <w:t xml:space="preserve"> COPD studies</w:t>
      </w:r>
      <w:r w:rsidR="00BD2D93" w:rsidRPr="001F45C7">
        <w:t xml:space="preserve"> </w:t>
      </w:r>
      <w:r w:rsidR="00C61F4A">
        <w:t>summarised</w:t>
      </w:r>
    </w:p>
    <w:tbl>
      <w:tblPr>
        <w:tblStyle w:val="TableGrid"/>
        <w:tblW w:w="12724" w:type="dxa"/>
        <w:tblLayout w:type="fixed"/>
        <w:tblLook w:val="04A0" w:firstRow="1" w:lastRow="0" w:firstColumn="1" w:lastColumn="0" w:noHBand="0" w:noVBand="1"/>
      </w:tblPr>
      <w:tblGrid>
        <w:gridCol w:w="1526"/>
        <w:gridCol w:w="3119"/>
        <w:gridCol w:w="3827"/>
        <w:gridCol w:w="1843"/>
        <w:gridCol w:w="2409"/>
      </w:tblGrid>
      <w:tr w:rsidR="00152CFC" w:rsidRPr="004C5425" w:rsidTr="00152CFC">
        <w:tc>
          <w:tcPr>
            <w:tcW w:w="1526" w:type="dxa"/>
          </w:tcPr>
          <w:p w:rsidR="00152CFC" w:rsidRPr="00492A7C" w:rsidRDefault="00152CFC" w:rsidP="00492A7C">
            <w:pPr>
              <w:spacing w:line="276" w:lineRule="auto"/>
              <w:rPr>
                <w:b/>
                <w:sz w:val="18"/>
                <w:szCs w:val="18"/>
              </w:rPr>
            </w:pPr>
            <w:r w:rsidRPr="00492A7C">
              <w:rPr>
                <w:b/>
                <w:sz w:val="18"/>
                <w:szCs w:val="18"/>
              </w:rPr>
              <w:t>Author and date</w:t>
            </w:r>
          </w:p>
        </w:tc>
        <w:tc>
          <w:tcPr>
            <w:tcW w:w="3119" w:type="dxa"/>
          </w:tcPr>
          <w:p w:rsidR="00152CFC" w:rsidRPr="00492A7C" w:rsidRDefault="00152CFC" w:rsidP="00CC1C1B">
            <w:pPr>
              <w:spacing w:line="276" w:lineRule="auto"/>
              <w:rPr>
                <w:b/>
                <w:sz w:val="18"/>
                <w:szCs w:val="18"/>
              </w:rPr>
            </w:pPr>
            <w:r w:rsidRPr="00492A7C">
              <w:rPr>
                <w:b/>
                <w:sz w:val="18"/>
                <w:szCs w:val="18"/>
              </w:rPr>
              <w:t>OR (95% CI).</w:t>
            </w:r>
          </w:p>
          <w:p w:rsidR="00152CFC" w:rsidRPr="00492A7C" w:rsidRDefault="00152CFC" w:rsidP="00CC1C1B">
            <w:pPr>
              <w:spacing w:line="276" w:lineRule="auto"/>
              <w:rPr>
                <w:b/>
                <w:sz w:val="18"/>
                <w:szCs w:val="18"/>
              </w:rPr>
            </w:pPr>
            <w:r w:rsidRPr="00492A7C">
              <w:rPr>
                <w:b/>
                <w:sz w:val="18"/>
                <w:szCs w:val="18"/>
              </w:rPr>
              <w:t xml:space="preserve">PAF for COPD; </w:t>
            </w:r>
            <w:r w:rsidRPr="00492A7C">
              <w:rPr>
                <w:sz w:val="18"/>
                <w:szCs w:val="18"/>
              </w:rPr>
              <w:t>significant (SIG, not significant (NS)</w:t>
            </w:r>
          </w:p>
        </w:tc>
        <w:tc>
          <w:tcPr>
            <w:tcW w:w="3827" w:type="dxa"/>
          </w:tcPr>
          <w:p w:rsidR="00152CFC" w:rsidRPr="00492A7C" w:rsidRDefault="00152CFC" w:rsidP="00492A7C">
            <w:pPr>
              <w:spacing w:line="276" w:lineRule="auto"/>
              <w:rPr>
                <w:b/>
                <w:sz w:val="18"/>
                <w:szCs w:val="18"/>
              </w:rPr>
            </w:pPr>
            <w:r w:rsidRPr="00492A7C">
              <w:rPr>
                <w:b/>
                <w:sz w:val="18"/>
                <w:szCs w:val="18"/>
              </w:rPr>
              <w:t>Numbers of cases, non-cases, participants where available</w:t>
            </w:r>
          </w:p>
        </w:tc>
        <w:tc>
          <w:tcPr>
            <w:tcW w:w="1843" w:type="dxa"/>
          </w:tcPr>
          <w:p w:rsidR="00152CFC" w:rsidRPr="00492A7C" w:rsidRDefault="00152CFC" w:rsidP="004E08AD">
            <w:pPr>
              <w:spacing w:line="276" w:lineRule="auto"/>
              <w:rPr>
                <w:b/>
                <w:sz w:val="18"/>
                <w:szCs w:val="18"/>
              </w:rPr>
            </w:pPr>
            <w:r w:rsidRPr="00492A7C">
              <w:rPr>
                <w:b/>
                <w:sz w:val="18"/>
                <w:szCs w:val="18"/>
              </w:rPr>
              <w:t>Definition of COPD</w:t>
            </w:r>
          </w:p>
          <w:p w:rsidR="00152CFC" w:rsidRPr="00492A7C" w:rsidRDefault="00152CFC" w:rsidP="004E08AD">
            <w:pPr>
              <w:spacing w:line="276" w:lineRule="auto"/>
              <w:rPr>
                <w:b/>
                <w:sz w:val="18"/>
                <w:szCs w:val="18"/>
              </w:rPr>
            </w:pPr>
          </w:p>
        </w:tc>
        <w:tc>
          <w:tcPr>
            <w:tcW w:w="2409" w:type="dxa"/>
          </w:tcPr>
          <w:p w:rsidR="00152CFC" w:rsidRDefault="00152CFC" w:rsidP="005835D6">
            <w:pPr>
              <w:spacing w:line="276" w:lineRule="auto"/>
              <w:ind w:left="-1810" w:firstLine="1810"/>
              <w:rPr>
                <w:b/>
                <w:sz w:val="18"/>
                <w:szCs w:val="18"/>
              </w:rPr>
            </w:pPr>
            <w:r>
              <w:rPr>
                <w:b/>
                <w:sz w:val="18"/>
                <w:szCs w:val="18"/>
              </w:rPr>
              <w:t xml:space="preserve">Exposure </w:t>
            </w:r>
          </w:p>
          <w:p w:rsidR="00152CFC" w:rsidRPr="00492A7C" w:rsidRDefault="00152CFC" w:rsidP="005835D6">
            <w:pPr>
              <w:spacing w:line="276" w:lineRule="auto"/>
              <w:ind w:left="-1810" w:firstLine="1810"/>
              <w:rPr>
                <w:b/>
                <w:sz w:val="18"/>
                <w:szCs w:val="18"/>
              </w:rPr>
            </w:pPr>
            <w:r>
              <w:rPr>
                <w:b/>
                <w:sz w:val="18"/>
                <w:szCs w:val="18"/>
              </w:rPr>
              <w:t>Stratified by</w:t>
            </w:r>
          </w:p>
        </w:tc>
      </w:tr>
      <w:tr w:rsidR="00152CFC" w:rsidRPr="004C5425" w:rsidTr="00152CFC">
        <w:tc>
          <w:tcPr>
            <w:tcW w:w="1526" w:type="dxa"/>
          </w:tcPr>
          <w:p w:rsidR="00152CFC" w:rsidRPr="004C5425" w:rsidRDefault="00152CFC" w:rsidP="00492A7C">
            <w:pPr>
              <w:spacing w:line="276" w:lineRule="auto"/>
              <w:rPr>
                <w:sz w:val="18"/>
                <w:szCs w:val="18"/>
              </w:rPr>
            </w:pPr>
            <w:r>
              <w:rPr>
                <w:sz w:val="18"/>
                <w:szCs w:val="18"/>
              </w:rPr>
              <w:t>Hutchings 2016</w:t>
            </w:r>
          </w:p>
        </w:tc>
        <w:tc>
          <w:tcPr>
            <w:tcW w:w="3119" w:type="dxa"/>
          </w:tcPr>
          <w:p w:rsidR="00152CFC" w:rsidRDefault="00152CFC" w:rsidP="00393C2D">
            <w:pPr>
              <w:spacing w:line="276" w:lineRule="auto"/>
              <w:rPr>
                <w:sz w:val="18"/>
                <w:szCs w:val="18"/>
              </w:rPr>
            </w:pPr>
            <w:r w:rsidRPr="004C5425">
              <w:rPr>
                <w:sz w:val="18"/>
                <w:szCs w:val="18"/>
              </w:rPr>
              <w:t>11.5% overall (1.3%-36.3%)</w:t>
            </w:r>
            <w:r>
              <w:rPr>
                <w:sz w:val="18"/>
                <w:szCs w:val="18"/>
              </w:rPr>
              <w:t>, SIG</w:t>
            </w:r>
          </w:p>
          <w:p w:rsidR="00152CFC" w:rsidRPr="004C5425" w:rsidRDefault="00152CFC" w:rsidP="00393C2D">
            <w:pPr>
              <w:spacing w:line="276" w:lineRule="auto"/>
              <w:rPr>
                <w:sz w:val="18"/>
                <w:szCs w:val="18"/>
              </w:rPr>
            </w:pPr>
            <w:r w:rsidRPr="004C5425">
              <w:rPr>
                <w:sz w:val="18"/>
                <w:szCs w:val="18"/>
              </w:rPr>
              <w:t>18.7% for males</w:t>
            </w:r>
          </w:p>
          <w:p w:rsidR="00152CFC" w:rsidRPr="004C5425" w:rsidRDefault="00152CFC" w:rsidP="00492A7C">
            <w:pPr>
              <w:spacing w:line="276" w:lineRule="auto"/>
              <w:rPr>
                <w:sz w:val="18"/>
                <w:szCs w:val="18"/>
              </w:rPr>
            </w:pPr>
            <w:r w:rsidRPr="004C5425">
              <w:rPr>
                <w:sz w:val="18"/>
                <w:szCs w:val="18"/>
              </w:rPr>
              <w:t>8.0% for females</w:t>
            </w:r>
          </w:p>
        </w:tc>
        <w:tc>
          <w:tcPr>
            <w:tcW w:w="3827" w:type="dxa"/>
          </w:tcPr>
          <w:p w:rsidR="00152CFC" w:rsidRDefault="00152CFC" w:rsidP="00393C2D">
            <w:pPr>
              <w:spacing w:line="276" w:lineRule="auto"/>
              <w:rPr>
                <w:sz w:val="18"/>
                <w:szCs w:val="18"/>
              </w:rPr>
            </w:pPr>
            <w:r w:rsidRPr="004C5425">
              <w:rPr>
                <w:sz w:val="18"/>
                <w:szCs w:val="18"/>
              </w:rPr>
              <w:t>Proportion of population exposed</w:t>
            </w:r>
            <w:r>
              <w:rPr>
                <w:sz w:val="18"/>
                <w:szCs w:val="18"/>
              </w:rPr>
              <w:t>;</w:t>
            </w:r>
          </w:p>
          <w:p w:rsidR="00152CFC" w:rsidRDefault="00152CFC" w:rsidP="00393C2D">
            <w:pPr>
              <w:spacing w:line="276" w:lineRule="auto"/>
              <w:rPr>
                <w:sz w:val="18"/>
                <w:szCs w:val="18"/>
              </w:rPr>
            </w:pPr>
            <w:r w:rsidRPr="004C5425">
              <w:rPr>
                <w:sz w:val="18"/>
                <w:szCs w:val="18"/>
              </w:rPr>
              <w:t>25.5% for males</w:t>
            </w:r>
          </w:p>
          <w:p w:rsidR="00152CFC" w:rsidRPr="004C5425" w:rsidRDefault="00152CFC" w:rsidP="00492A7C">
            <w:pPr>
              <w:spacing w:line="276" w:lineRule="auto"/>
              <w:rPr>
                <w:sz w:val="18"/>
                <w:szCs w:val="18"/>
              </w:rPr>
            </w:pPr>
            <w:r>
              <w:rPr>
                <w:sz w:val="18"/>
                <w:szCs w:val="18"/>
              </w:rPr>
              <w:t>10.8% for females</w:t>
            </w:r>
          </w:p>
        </w:tc>
        <w:tc>
          <w:tcPr>
            <w:tcW w:w="1843" w:type="dxa"/>
          </w:tcPr>
          <w:p w:rsidR="00152CFC" w:rsidRPr="004C5425" w:rsidRDefault="00152CFC" w:rsidP="00393C2D">
            <w:pPr>
              <w:spacing w:line="276" w:lineRule="auto"/>
              <w:rPr>
                <w:sz w:val="18"/>
                <w:szCs w:val="18"/>
              </w:rPr>
            </w:pPr>
            <w:r>
              <w:rPr>
                <w:sz w:val="18"/>
                <w:szCs w:val="18"/>
              </w:rPr>
              <w:t>Pre BD</w:t>
            </w:r>
          </w:p>
        </w:tc>
        <w:tc>
          <w:tcPr>
            <w:tcW w:w="2409" w:type="dxa"/>
          </w:tcPr>
          <w:p w:rsidR="00152CFC" w:rsidRDefault="00152CFC" w:rsidP="00393C2D">
            <w:pPr>
              <w:spacing w:line="276" w:lineRule="auto"/>
              <w:rPr>
                <w:sz w:val="18"/>
                <w:szCs w:val="18"/>
              </w:rPr>
            </w:pPr>
            <w:r>
              <w:rPr>
                <w:sz w:val="18"/>
                <w:szCs w:val="18"/>
              </w:rPr>
              <w:t>S</w:t>
            </w:r>
            <w:r w:rsidRPr="004C5425">
              <w:rPr>
                <w:sz w:val="18"/>
                <w:szCs w:val="18"/>
              </w:rPr>
              <w:t>elf-reported</w:t>
            </w:r>
          </w:p>
          <w:p w:rsidR="00152CFC" w:rsidRPr="004C5425" w:rsidRDefault="00152CFC" w:rsidP="00492A7C">
            <w:pPr>
              <w:spacing w:line="276" w:lineRule="auto"/>
              <w:rPr>
                <w:sz w:val="18"/>
                <w:szCs w:val="18"/>
              </w:rPr>
            </w:pPr>
            <w:r>
              <w:rPr>
                <w:sz w:val="18"/>
                <w:szCs w:val="18"/>
              </w:rPr>
              <w:t>JEM</w:t>
            </w:r>
          </w:p>
        </w:tc>
      </w:tr>
      <w:tr w:rsidR="00152CFC" w:rsidRPr="004C5425" w:rsidTr="00152CFC">
        <w:tc>
          <w:tcPr>
            <w:tcW w:w="1526" w:type="dxa"/>
          </w:tcPr>
          <w:p w:rsidR="00152CFC" w:rsidRPr="004C5425" w:rsidRDefault="00152CFC" w:rsidP="00492A7C">
            <w:pPr>
              <w:spacing w:line="276" w:lineRule="auto"/>
              <w:rPr>
                <w:sz w:val="18"/>
                <w:szCs w:val="18"/>
              </w:rPr>
            </w:pPr>
            <w:r>
              <w:rPr>
                <w:sz w:val="18"/>
                <w:szCs w:val="18"/>
              </w:rPr>
              <w:t xml:space="preserve">Paulin </w:t>
            </w:r>
            <w:r w:rsidRPr="004C5425">
              <w:rPr>
                <w:sz w:val="18"/>
                <w:szCs w:val="18"/>
              </w:rPr>
              <w:t>2015</w:t>
            </w:r>
            <w:r>
              <w:rPr>
                <w:sz w:val="18"/>
                <w:szCs w:val="18"/>
              </w:rPr>
              <w:t xml:space="preserve"> </w:t>
            </w:r>
          </w:p>
        </w:tc>
        <w:tc>
          <w:tcPr>
            <w:tcW w:w="3119" w:type="dxa"/>
          </w:tcPr>
          <w:p w:rsidR="00152CFC" w:rsidRDefault="00152CFC" w:rsidP="005F0F3D">
            <w:pPr>
              <w:spacing w:line="276" w:lineRule="auto"/>
              <w:rPr>
                <w:sz w:val="18"/>
                <w:szCs w:val="18"/>
              </w:rPr>
            </w:pPr>
            <w:r>
              <w:rPr>
                <w:sz w:val="18"/>
                <w:szCs w:val="18"/>
              </w:rPr>
              <w:t>OR 1.44 (1.04-1.97)</w:t>
            </w:r>
          </w:p>
          <w:p w:rsidR="00152CFC" w:rsidRPr="004C5425" w:rsidRDefault="00152CFC" w:rsidP="005F0F3D">
            <w:pPr>
              <w:spacing w:line="276" w:lineRule="auto"/>
              <w:rPr>
                <w:sz w:val="18"/>
                <w:szCs w:val="18"/>
              </w:rPr>
            </w:pPr>
            <w:r w:rsidRPr="004C5425">
              <w:rPr>
                <w:sz w:val="18"/>
                <w:szCs w:val="18"/>
              </w:rPr>
              <w:t>12.0%</w:t>
            </w:r>
            <w:r>
              <w:rPr>
                <w:sz w:val="18"/>
                <w:szCs w:val="18"/>
              </w:rPr>
              <w:t xml:space="preserve">, </w:t>
            </w:r>
            <w:proofErr w:type="spellStart"/>
            <w:r w:rsidRPr="004C5425">
              <w:rPr>
                <w:sz w:val="18"/>
                <w:szCs w:val="18"/>
              </w:rPr>
              <w:t>SIG</w:t>
            </w:r>
            <w:r w:rsidRPr="005F0F3D">
              <w:rPr>
                <w:sz w:val="18"/>
                <w:szCs w:val="18"/>
                <w:vertAlign w:val="superscript"/>
              </w:rPr>
              <w:t>a</w:t>
            </w:r>
            <w:proofErr w:type="spellEnd"/>
          </w:p>
        </w:tc>
        <w:tc>
          <w:tcPr>
            <w:tcW w:w="3827" w:type="dxa"/>
          </w:tcPr>
          <w:p w:rsidR="00152CFC" w:rsidRPr="004C5425" w:rsidRDefault="00152CFC" w:rsidP="00393C2D">
            <w:pPr>
              <w:spacing w:line="276" w:lineRule="auto"/>
              <w:rPr>
                <w:sz w:val="18"/>
                <w:szCs w:val="18"/>
              </w:rPr>
            </w:pPr>
            <w:r w:rsidRPr="004C5425">
              <w:rPr>
                <w:sz w:val="18"/>
                <w:szCs w:val="18"/>
              </w:rPr>
              <w:t>721 cases</w:t>
            </w:r>
          </w:p>
          <w:p w:rsidR="00152CFC" w:rsidRPr="004C5425" w:rsidRDefault="00152CFC" w:rsidP="00393C2D">
            <w:pPr>
              <w:spacing w:line="276" w:lineRule="auto"/>
              <w:rPr>
                <w:sz w:val="18"/>
                <w:szCs w:val="18"/>
              </w:rPr>
            </w:pPr>
            <w:r w:rsidRPr="004C5425">
              <w:rPr>
                <w:sz w:val="18"/>
                <w:szCs w:val="18"/>
              </w:rPr>
              <w:t>354 non cases</w:t>
            </w:r>
          </w:p>
          <w:p w:rsidR="00152CFC" w:rsidRPr="004C5425" w:rsidRDefault="00152CFC" w:rsidP="00393C2D">
            <w:pPr>
              <w:spacing w:line="276" w:lineRule="auto"/>
              <w:rPr>
                <w:sz w:val="18"/>
                <w:szCs w:val="18"/>
              </w:rPr>
            </w:pPr>
          </w:p>
        </w:tc>
        <w:tc>
          <w:tcPr>
            <w:tcW w:w="1843" w:type="dxa"/>
          </w:tcPr>
          <w:p w:rsidR="00152CFC" w:rsidRPr="004C5425" w:rsidRDefault="00152CFC" w:rsidP="00393C2D">
            <w:pPr>
              <w:spacing w:line="276" w:lineRule="auto"/>
              <w:rPr>
                <w:sz w:val="18"/>
                <w:szCs w:val="18"/>
              </w:rPr>
            </w:pPr>
            <w:r>
              <w:rPr>
                <w:sz w:val="18"/>
                <w:szCs w:val="18"/>
              </w:rPr>
              <w:t>Post BD</w:t>
            </w:r>
          </w:p>
        </w:tc>
        <w:tc>
          <w:tcPr>
            <w:tcW w:w="2409" w:type="dxa"/>
          </w:tcPr>
          <w:p w:rsidR="00152CFC" w:rsidRPr="004C5425" w:rsidRDefault="00152CFC" w:rsidP="005F0F3D">
            <w:pPr>
              <w:spacing w:line="276" w:lineRule="auto"/>
              <w:rPr>
                <w:sz w:val="18"/>
                <w:szCs w:val="18"/>
              </w:rPr>
            </w:pPr>
            <w:r w:rsidRPr="004C5425">
              <w:rPr>
                <w:sz w:val="18"/>
                <w:szCs w:val="18"/>
              </w:rPr>
              <w:t>JEM</w:t>
            </w:r>
          </w:p>
        </w:tc>
      </w:tr>
      <w:tr w:rsidR="00152CFC" w:rsidRPr="004C5425" w:rsidTr="00152CFC">
        <w:tc>
          <w:tcPr>
            <w:tcW w:w="1526" w:type="dxa"/>
          </w:tcPr>
          <w:p w:rsidR="00152CFC" w:rsidRPr="004C5425" w:rsidRDefault="00152CFC" w:rsidP="00393C2D">
            <w:pPr>
              <w:spacing w:line="276" w:lineRule="auto"/>
              <w:rPr>
                <w:sz w:val="18"/>
                <w:szCs w:val="18"/>
              </w:rPr>
            </w:pPr>
            <w:r>
              <w:rPr>
                <w:sz w:val="18"/>
                <w:szCs w:val="18"/>
              </w:rPr>
              <w:t>Lee 2015</w:t>
            </w:r>
          </w:p>
          <w:p w:rsidR="00152CFC" w:rsidRPr="004C5425" w:rsidRDefault="00152CFC" w:rsidP="00393C2D">
            <w:pPr>
              <w:spacing w:line="276" w:lineRule="auto"/>
              <w:rPr>
                <w:sz w:val="18"/>
                <w:szCs w:val="18"/>
              </w:rPr>
            </w:pPr>
          </w:p>
        </w:tc>
        <w:tc>
          <w:tcPr>
            <w:tcW w:w="3119" w:type="dxa"/>
          </w:tcPr>
          <w:p w:rsidR="00152CFC" w:rsidRDefault="00152CFC" w:rsidP="005F0F3D">
            <w:pPr>
              <w:spacing w:line="276" w:lineRule="auto"/>
              <w:rPr>
                <w:sz w:val="18"/>
                <w:szCs w:val="18"/>
              </w:rPr>
            </w:pPr>
            <w:r w:rsidRPr="004C5425">
              <w:rPr>
                <w:sz w:val="18"/>
                <w:szCs w:val="18"/>
              </w:rPr>
              <w:t>2.6 (1.3-5.3)</w:t>
            </w:r>
          </w:p>
          <w:p w:rsidR="00152CFC" w:rsidRPr="004C5425" w:rsidRDefault="00152CFC" w:rsidP="00B1376B">
            <w:pPr>
              <w:spacing w:line="276" w:lineRule="auto"/>
              <w:rPr>
                <w:sz w:val="18"/>
                <w:szCs w:val="18"/>
              </w:rPr>
            </w:pPr>
            <w:r w:rsidRPr="004C5425">
              <w:rPr>
                <w:sz w:val="18"/>
                <w:szCs w:val="18"/>
              </w:rPr>
              <w:t>18.3%</w:t>
            </w:r>
            <w:r>
              <w:rPr>
                <w:sz w:val="18"/>
                <w:szCs w:val="18"/>
              </w:rPr>
              <w:t xml:space="preserve">, never smokers, </w:t>
            </w:r>
            <w:proofErr w:type="spellStart"/>
            <w:r w:rsidRPr="004C5425">
              <w:rPr>
                <w:sz w:val="18"/>
                <w:szCs w:val="18"/>
              </w:rPr>
              <w:t>SIG</w:t>
            </w:r>
            <w:r>
              <w:rPr>
                <w:sz w:val="18"/>
                <w:szCs w:val="18"/>
                <w:vertAlign w:val="superscript"/>
              </w:rPr>
              <w:t>b</w:t>
            </w:r>
            <w:proofErr w:type="spellEnd"/>
          </w:p>
        </w:tc>
        <w:tc>
          <w:tcPr>
            <w:tcW w:w="3827" w:type="dxa"/>
          </w:tcPr>
          <w:p w:rsidR="00152CFC" w:rsidRPr="004C5425" w:rsidRDefault="00152CFC" w:rsidP="00393C2D">
            <w:pPr>
              <w:spacing w:line="276" w:lineRule="auto"/>
              <w:rPr>
                <w:sz w:val="18"/>
                <w:szCs w:val="18"/>
              </w:rPr>
            </w:pPr>
            <w:r w:rsidRPr="004C5425">
              <w:rPr>
                <w:sz w:val="18"/>
                <w:szCs w:val="18"/>
              </w:rPr>
              <w:t>39 cases in manual labour, 131 in occupational subgroup</w:t>
            </w:r>
          </w:p>
        </w:tc>
        <w:tc>
          <w:tcPr>
            <w:tcW w:w="1843" w:type="dxa"/>
          </w:tcPr>
          <w:p w:rsidR="00152CFC" w:rsidRPr="004C5425" w:rsidRDefault="00152CFC" w:rsidP="00393C2D">
            <w:pPr>
              <w:spacing w:line="276" w:lineRule="auto"/>
              <w:rPr>
                <w:sz w:val="18"/>
                <w:szCs w:val="18"/>
              </w:rPr>
            </w:pPr>
            <w:r>
              <w:rPr>
                <w:sz w:val="18"/>
                <w:szCs w:val="18"/>
              </w:rPr>
              <w:t>Pre BD</w:t>
            </w:r>
          </w:p>
        </w:tc>
        <w:tc>
          <w:tcPr>
            <w:tcW w:w="2409" w:type="dxa"/>
          </w:tcPr>
          <w:p w:rsidR="00152CFC" w:rsidRPr="004C5425" w:rsidRDefault="00152CFC" w:rsidP="00393C2D">
            <w:pPr>
              <w:spacing w:line="276" w:lineRule="auto"/>
              <w:rPr>
                <w:sz w:val="18"/>
                <w:szCs w:val="18"/>
              </w:rPr>
            </w:pPr>
            <w:r>
              <w:rPr>
                <w:sz w:val="18"/>
                <w:szCs w:val="18"/>
              </w:rPr>
              <w:t>Job title</w:t>
            </w:r>
          </w:p>
        </w:tc>
      </w:tr>
      <w:tr w:rsidR="00152CFC" w:rsidRPr="004C5425" w:rsidTr="00152CFC">
        <w:tc>
          <w:tcPr>
            <w:tcW w:w="1526" w:type="dxa"/>
          </w:tcPr>
          <w:p w:rsidR="00152CFC" w:rsidRPr="004C5425" w:rsidRDefault="00152CFC" w:rsidP="00393C2D">
            <w:pPr>
              <w:spacing w:line="276" w:lineRule="auto"/>
              <w:rPr>
                <w:sz w:val="18"/>
                <w:szCs w:val="18"/>
              </w:rPr>
            </w:pPr>
            <w:proofErr w:type="spellStart"/>
            <w:r>
              <w:rPr>
                <w:sz w:val="18"/>
                <w:szCs w:val="18"/>
              </w:rPr>
              <w:t>Würtz</w:t>
            </w:r>
            <w:proofErr w:type="spellEnd"/>
            <w:r>
              <w:rPr>
                <w:sz w:val="18"/>
                <w:szCs w:val="18"/>
              </w:rPr>
              <w:t xml:space="preserve"> 2015a</w:t>
            </w:r>
          </w:p>
          <w:p w:rsidR="00152CFC" w:rsidRPr="004C5425" w:rsidRDefault="00152CFC" w:rsidP="00393C2D">
            <w:pPr>
              <w:spacing w:line="276" w:lineRule="auto"/>
              <w:rPr>
                <w:sz w:val="18"/>
                <w:szCs w:val="18"/>
              </w:rPr>
            </w:pPr>
          </w:p>
        </w:tc>
        <w:tc>
          <w:tcPr>
            <w:tcW w:w="3119" w:type="dxa"/>
          </w:tcPr>
          <w:p w:rsidR="00152CFC" w:rsidRDefault="00152CFC" w:rsidP="00393C2D">
            <w:pPr>
              <w:spacing w:line="276" w:lineRule="auto"/>
              <w:rPr>
                <w:sz w:val="18"/>
                <w:szCs w:val="18"/>
              </w:rPr>
            </w:pPr>
            <w:r>
              <w:rPr>
                <w:sz w:val="18"/>
                <w:szCs w:val="18"/>
              </w:rPr>
              <w:t>3.7, (1.4-10.0)</w:t>
            </w:r>
          </w:p>
          <w:p w:rsidR="00152CFC" w:rsidRPr="004C5425" w:rsidRDefault="00152CFC" w:rsidP="00393C2D">
            <w:pPr>
              <w:spacing w:line="276" w:lineRule="auto"/>
              <w:rPr>
                <w:sz w:val="18"/>
                <w:szCs w:val="18"/>
              </w:rPr>
            </w:pPr>
            <w:r w:rsidRPr="004C5425">
              <w:rPr>
                <w:sz w:val="18"/>
                <w:szCs w:val="18"/>
              </w:rPr>
              <w:t>48.0%</w:t>
            </w:r>
            <w:r>
              <w:rPr>
                <w:sz w:val="18"/>
                <w:szCs w:val="18"/>
              </w:rPr>
              <w:t xml:space="preserve">, never smokers, </w:t>
            </w:r>
            <w:proofErr w:type="spellStart"/>
            <w:r w:rsidRPr="004C5425">
              <w:rPr>
                <w:sz w:val="18"/>
                <w:szCs w:val="18"/>
              </w:rPr>
              <w:t>SIG</w:t>
            </w:r>
            <w:r w:rsidRPr="007861DA">
              <w:rPr>
                <w:sz w:val="18"/>
                <w:szCs w:val="18"/>
                <w:vertAlign w:val="superscript"/>
              </w:rPr>
              <w:t>c</w:t>
            </w:r>
            <w:proofErr w:type="spellEnd"/>
          </w:p>
          <w:p w:rsidR="00152CFC" w:rsidRPr="004C5425" w:rsidRDefault="00152CFC" w:rsidP="00393C2D">
            <w:pPr>
              <w:spacing w:line="276" w:lineRule="auto"/>
              <w:rPr>
                <w:sz w:val="18"/>
                <w:szCs w:val="18"/>
              </w:rPr>
            </w:pPr>
          </w:p>
        </w:tc>
        <w:tc>
          <w:tcPr>
            <w:tcW w:w="3827" w:type="dxa"/>
          </w:tcPr>
          <w:p w:rsidR="00152CFC" w:rsidRPr="004C5425" w:rsidRDefault="00152CFC" w:rsidP="00393C2D">
            <w:pPr>
              <w:spacing w:line="276" w:lineRule="auto"/>
              <w:rPr>
                <w:sz w:val="18"/>
                <w:szCs w:val="18"/>
              </w:rPr>
            </w:pPr>
            <w:r w:rsidRPr="004C5425">
              <w:rPr>
                <w:sz w:val="18"/>
                <w:szCs w:val="18"/>
              </w:rPr>
              <w:t xml:space="preserve">23 </w:t>
            </w:r>
            <w:r>
              <w:rPr>
                <w:sz w:val="18"/>
                <w:szCs w:val="18"/>
              </w:rPr>
              <w:t>cases</w:t>
            </w:r>
          </w:p>
          <w:p w:rsidR="00152CFC" w:rsidRPr="004C5425" w:rsidRDefault="00152CFC" w:rsidP="00006D31">
            <w:pPr>
              <w:spacing w:line="276" w:lineRule="auto"/>
              <w:rPr>
                <w:sz w:val="18"/>
                <w:szCs w:val="18"/>
              </w:rPr>
            </w:pPr>
            <w:r w:rsidRPr="004C5425">
              <w:rPr>
                <w:sz w:val="18"/>
                <w:szCs w:val="18"/>
              </w:rPr>
              <w:t xml:space="preserve">1463 </w:t>
            </w:r>
            <w:r>
              <w:rPr>
                <w:sz w:val="18"/>
                <w:szCs w:val="18"/>
              </w:rPr>
              <w:t>non cases</w:t>
            </w:r>
          </w:p>
        </w:tc>
        <w:tc>
          <w:tcPr>
            <w:tcW w:w="1843" w:type="dxa"/>
          </w:tcPr>
          <w:p w:rsidR="00152CFC" w:rsidRPr="004C5425" w:rsidRDefault="00152CFC" w:rsidP="00393C2D">
            <w:pPr>
              <w:spacing w:line="276" w:lineRule="auto"/>
              <w:rPr>
                <w:sz w:val="18"/>
                <w:szCs w:val="18"/>
              </w:rPr>
            </w:pPr>
            <w:r>
              <w:rPr>
                <w:sz w:val="18"/>
                <w:szCs w:val="18"/>
              </w:rPr>
              <w:t>Pre BD</w:t>
            </w:r>
          </w:p>
        </w:tc>
        <w:tc>
          <w:tcPr>
            <w:tcW w:w="2409" w:type="dxa"/>
          </w:tcPr>
          <w:p w:rsidR="00152CFC" w:rsidRDefault="00152CFC" w:rsidP="00393C2D">
            <w:pPr>
              <w:spacing w:line="276" w:lineRule="auto"/>
              <w:rPr>
                <w:sz w:val="18"/>
                <w:szCs w:val="18"/>
              </w:rPr>
            </w:pPr>
            <w:r>
              <w:rPr>
                <w:sz w:val="18"/>
                <w:szCs w:val="18"/>
              </w:rPr>
              <w:t>Self-reported</w:t>
            </w:r>
          </w:p>
          <w:p w:rsidR="00152CFC" w:rsidRPr="004C5425" w:rsidRDefault="00152CFC" w:rsidP="00393C2D">
            <w:pPr>
              <w:spacing w:line="276" w:lineRule="auto"/>
              <w:rPr>
                <w:sz w:val="18"/>
                <w:szCs w:val="18"/>
              </w:rPr>
            </w:pPr>
            <w:r w:rsidRPr="004C5425">
              <w:rPr>
                <w:sz w:val="18"/>
                <w:szCs w:val="18"/>
              </w:rPr>
              <w:t>Expert judgement</w:t>
            </w:r>
          </w:p>
        </w:tc>
      </w:tr>
      <w:tr w:rsidR="00152CFC" w:rsidRPr="004C5425" w:rsidTr="00152CFC">
        <w:tc>
          <w:tcPr>
            <w:tcW w:w="1526" w:type="dxa"/>
          </w:tcPr>
          <w:p w:rsidR="00152CFC" w:rsidRPr="004C5425" w:rsidRDefault="00152CFC" w:rsidP="0039604A">
            <w:pPr>
              <w:spacing w:line="276" w:lineRule="auto"/>
              <w:rPr>
                <w:sz w:val="18"/>
                <w:szCs w:val="18"/>
              </w:rPr>
            </w:pPr>
            <w:proofErr w:type="spellStart"/>
            <w:r>
              <w:rPr>
                <w:sz w:val="18"/>
                <w:szCs w:val="18"/>
              </w:rPr>
              <w:t>Würtz</w:t>
            </w:r>
            <w:proofErr w:type="spellEnd"/>
            <w:r>
              <w:rPr>
                <w:sz w:val="18"/>
                <w:szCs w:val="18"/>
              </w:rPr>
              <w:t xml:space="preserve"> </w:t>
            </w:r>
            <w:r w:rsidRPr="004C5425">
              <w:rPr>
                <w:sz w:val="18"/>
                <w:szCs w:val="18"/>
              </w:rPr>
              <w:t>2015</w:t>
            </w:r>
            <w:r>
              <w:rPr>
                <w:sz w:val="18"/>
                <w:szCs w:val="18"/>
              </w:rPr>
              <w:t>b</w:t>
            </w:r>
          </w:p>
        </w:tc>
        <w:tc>
          <w:tcPr>
            <w:tcW w:w="3119" w:type="dxa"/>
          </w:tcPr>
          <w:p w:rsidR="00152CFC" w:rsidRDefault="00152CFC" w:rsidP="00393C2D">
            <w:pPr>
              <w:spacing w:line="276" w:lineRule="auto"/>
              <w:rPr>
                <w:sz w:val="18"/>
                <w:szCs w:val="18"/>
              </w:rPr>
            </w:pPr>
            <w:r>
              <w:rPr>
                <w:sz w:val="18"/>
                <w:szCs w:val="18"/>
              </w:rPr>
              <w:t>1.38 (0.99-1.93)</w:t>
            </w:r>
          </w:p>
          <w:p w:rsidR="00152CFC" w:rsidRPr="004C5425" w:rsidRDefault="00152CFC" w:rsidP="00393C2D">
            <w:pPr>
              <w:spacing w:line="276" w:lineRule="auto"/>
              <w:rPr>
                <w:sz w:val="18"/>
                <w:szCs w:val="18"/>
              </w:rPr>
            </w:pPr>
            <w:r w:rsidRPr="004C5425">
              <w:rPr>
                <w:sz w:val="18"/>
                <w:szCs w:val="18"/>
              </w:rPr>
              <w:t>12.3%</w:t>
            </w:r>
            <w:r>
              <w:rPr>
                <w:sz w:val="18"/>
                <w:szCs w:val="18"/>
              </w:rPr>
              <w:t xml:space="preserve">, </w:t>
            </w:r>
            <w:proofErr w:type="spellStart"/>
            <w:r>
              <w:rPr>
                <w:sz w:val="18"/>
                <w:szCs w:val="18"/>
              </w:rPr>
              <w:t>NS</w:t>
            </w:r>
            <w:r w:rsidRPr="0039604A">
              <w:rPr>
                <w:sz w:val="18"/>
                <w:szCs w:val="18"/>
                <w:vertAlign w:val="superscript"/>
              </w:rPr>
              <w:t>d</w:t>
            </w:r>
            <w:proofErr w:type="spellEnd"/>
          </w:p>
        </w:tc>
        <w:tc>
          <w:tcPr>
            <w:tcW w:w="3827" w:type="dxa"/>
          </w:tcPr>
          <w:p w:rsidR="00152CFC" w:rsidRPr="004C5425" w:rsidRDefault="00152CFC" w:rsidP="0039604A">
            <w:pPr>
              <w:spacing w:line="276" w:lineRule="auto"/>
              <w:rPr>
                <w:sz w:val="18"/>
                <w:szCs w:val="18"/>
              </w:rPr>
            </w:pPr>
            <w:r w:rsidRPr="004C5425">
              <w:rPr>
                <w:sz w:val="18"/>
                <w:szCs w:val="18"/>
              </w:rPr>
              <w:t>2330 non exposed, 1351 high exposure</w:t>
            </w:r>
            <w:r>
              <w:rPr>
                <w:sz w:val="18"/>
                <w:szCs w:val="18"/>
              </w:rPr>
              <w:t xml:space="preserve">, </w:t>
            </w:r>
            <w:r w:rsidRPr="004C5425">
              <w:rPr>
                <w:sz w:val="18"/>
                <w:szCs w:val="18"/>
              </w:rPr>
              <w:t>279 cases in all groups of exposure</w:t>
            </w:r>
          </w:p>
        </w:tc>
        <w:tc>
          <w:tcPr>
            <w:tcW w:w="1843" w:type="dxa"/>
          </w:tcPr>
          <w:p w:rsidR="00152CFC" w:rsidRPr="004C5425" w:rsidRDefault="00152CFC" w:rsidP="00393C2D">
            <w:pPr>
              <w:spacing w:line="276" w:lineRule="auto"/>
              <w:rPr>
                <w:sz w:val="18"/>
                <w:szCs w:val="18"/>
              </w:rPr>
            </w:pPr>
            <w:r>
              <w:rPr>
                <w:sz w:val="18"/>
                <w:szCs w:val="18"/>
              </w:rPr>
              <w:t>Pre BD</w:t>
            </w:r>
          </w:p>
        </w:tc>
        <w:tc>
          <w:tcPr>
            <w:tcW w:w="2409" w:type="dxa"/>
          </w:tcPr>
          <w:p w:rsidR="00152CFC" w:rsidRPr="004C5425" w:rsidRDefault="00152CFC" w:rsidP="00393C2D">
            <w:pPr>
              <w:spacing w:line="276" w:lineRule="auto"/>
              <w:rPr>
                <w:sz w:val="18"/>
                <w:szCs w:val="18"/>
              </w:rPr>
            </w:pPr>
            <w:r>
              <w:rPr>
                <w:sz w:val="18"/>
                <w:szCs w:val="18"/>
              </w:rPr>
              <w:t>Self-reported</w:t>
            </w:r>
          </w:p>
          <w:p w:rsidR="00152CFC" w:rsidRPr="004C5425" w:rsidRDefault="00152CFC" w:rsidP="00AD15A1">
            <w:pPr>
              <w:spacing w:line="276" w:lineRule="auto"/>
              <w:rPr>
                <w:sz w:val="18"/>
                <w:szCs w:val="18"/>
              </w:rPr>
            </w:pPr>
            <w:r w:rsidRPr="004C5425">
              <w:rPr>
                <w:sz w:val="18"/>
                <w:szCs w:val="18"/>
              </w:rPr>
              <w:t>Expert</w:t>
            </w:r>
            <w:r>
              <w:rPr>
                <w:sz w:val="18"/>
                <w:szCs w:val="18"/>
              </w:rPr>
              <w:t>-</w:t>
            </w:r>
            <w:r w:rsidRPr="004C5425">
              <w:rPr>
                <w:sz w:val="18"/>
                <w:szCs w:val="18"/>
              </w:rPr>
              <w:t>judgement</w:t>
            </w:r>
          </w:p>
        </w:tc>
      </w:tr>
      <w:tr w:rsidR="00152CFC" w:rsidRPr="004C5425" w:rsidTr="00152CFC">
        <w:tc>
          <w:tcPr>
            <w:tcW w:w="1526" w:type="dxa"/>
          </w:tcPr>
          <w:p w:rsidR="00152CFC" w:rsidRPr="004C5425" w:rsidRDefault="00152CFC" w:rsidP="00393C2D">
            <w:pPr>
              <w:spacing w:line="276" w:lineRule="auto"/>
              <w:rPr>
                <w:sz w:val="18"/>
                <w:szCs w:val="18"/>
              </w:rPr>
            </w:pPr>
            <w:proofErr w:type="spellStart"/>
            <w:r>
              <w:rPr>
                <w:sz w:val="18"/>
                <w:szCs w:val="18"/>
              </w:rPr>
              <w:t>Toren</w:t>
            </w:r>
            <w:proofErr w:type="spellEnd"/>
            <w:r>
              <w:rPr>
                <w:sz w:val="18"/>
                <w:szCs w:val="18"/>
              </w:rPr>
              <w:t xml:space="preserve"> </w:t>
            </w:r>
            <w:r w:rsidRPr="004C5425">
              <w:rPr>
                <w:sz w:val="18"/>
                <w:szCs w:val="18"/>
              </w:rPr>
              <w:t>2014</w:t>
            </w:r>
          </w:p>
          <w:p w:rsidR="00152CFC" w:rsidRPr="004C5425" w:rsidRDefault="00152CFC" w:rsidP="00393C2D">
            <w:pPr>
              <w:spacing w:line="276" w:lineRule="auto"/>
              <w:rPr>
                <w:sz w:val="18"/>
                <w:szCs w:val="18"/>
              </w:rPr>
            </w:pPr>
          </w:p>
        </w:tc>
        <w:tc>
          <w:tcPr>
            <w:tcW w:w="3119" w:type="dxa"/>
          </w:tcPr>
          <w:p w:rsidR="00152CFC" w:rsidRDefault="00152CFC" w:rsidP="00393C2D">
            <w:pPr>
              <w:spacing w:line="276" w:lineRule="auto"/>
              <w:rPr>
                <w:sz w:val="18"/>
                <w:szCs w:val="18"/>
              </w:rPr>
            </w:pPr>
            <w:r>
              <w:rPr>
                <w:sz w:val="18"/>
                <w:szCs w:val="18"/>
              </w:rPr>
              <w:t xml:space="preserve">RR </w:t>
            </w:r>
            <w:r w:rsidRPr="004C5425">
              <w:rPr>
                <w:sz w:val="18"/>
                <w:szCs w:val="18"/>
              </w:rPr>
              <w:t>1.3</w:t>
            </w:r>
            <w:r>
              <w:rPr>
                <w:sz w:val="18"/>
                <w:szCs w:val="18"/>
              </w:rPr>
              <w:t xml:space="preserve"> (</w:t>
            </w:r>
            <w:r w:rsidRPr="004C5425">
              <w:rPr>
                <w:sz w:val="18"/>
                <w:szCs w:val="18"/>
              </w:rPr>
              <w:t>1.</w:t>
            </w:r>
            <w:r>
              <w:rPr>
                <w:sz w:val="18"/>
                <w:szCs w:val="18"/>
              </w:rPr>
              <w:t>2</w:t>
            </w:r>
            <w:r w:rsidRPr="004C5425">
              <w:rPr>
                <w:sz w:val="18"/>
                <w:szCs w:val="18"/>
              </w:rPr>
              <w:t>-1.</w:t>
            </w:r>
            <w:r>
              <w:rPr>
                <w:sz w:val="18"/>
                <w:szCs w:val="18"/>
              </w:rPr>
              <w:t>5)</w:t>
            </w:r>
          </w:p>
          <w:p w:rsidR="00152CFC" w:rsidRPr="004C5425" w:rsidRDefault="00152CFC" w:rsidP="00393C2D">
            <w:pPr>
              <w:spacing w:line="276" w:lineRule="auto"/>
              <w:rPr>
                <w:sz w:val="18"/>
                <w:szCs w:val="18"/>
              </w:rPr>
            </w:pPr>
            <w:r w:rsidRPr="004C5425">
              <w:rPr>
                <w:sz w:val="18"/>
                <w:szCs w:val="18"/>
              </w:rPr>
              <w:t>24.0% for all workers</w:t>
            </w:r>
            <w:r>
              <w:rPr>
                <w:sz w:val="18"/>
                <w:szCs w:val="18"/>
              </w:rPr>
              <w:t>, SIG</w:t>
            </w:r>
          </w:p>
          <w:p w:rsidR="00152CFC" w:rsidRPr="004C5425" w:rsidRDefault="00152CFC" w:rsidP="00393C2D">
            <w:pPr>
              <w:spacing w:line="276" w:lineRule="auto"/>
              <w:rPr>
                <w:sz w:val="18"/>
                <w:szCs w:val="18"/>
              </w:rPr>
            </w:pPr>
            <w:r>
              <w:rPr>
                <w:sz w:val="18"/>
                <w:szCs w:val="18"/>
              </w:rPr>
              <w:t xml:space="preserve">RR </w:t>
            </w:r>
            <w:r w:rsidRPr="004C5425">
              <w:rPr>
                <w:sz w:val="18"/>
                <w:szCs w:val="18"/>
              </w:rPr>
              <w:t>2.</w:t>
            </w:r>
            <w:r>
              <w:rPr>
                <w:sz w:val="18"/>
                <w:szCs w:val="18"/>
              </w:rPr>
              <w:t>1 (1.2-3.8)</w:t>
            </w:r>
          </w:p>
          <w:p w:rsidR="00152CFC" w:rsidRPr="004C5425" w:rsidRDefault="00152CFC" w:rsidP="00393C2D">
            <w:pPr>
              <w:spacing w:line="276" w:lineRule="auto"/>
              <w:rPr>
                <w:sz w:val="18"/>
                <w:szCs w:val="18"/>
              </w:rPr>
            </w:pPr>
            <w:r>
              <w:rPr>
                <w:sz w:val="18"/>
                <w:szCs w:val="18"/>
              </w:rPr>
              <w:t xml:space="preserve">53% </w:t>
            </w:r>
            <w:r w:rsidRPr="004C5425">
              <w:rPr>
                <w:sz w:val="18"/>
                <w:szCs w:val="18"/>
              </w:rPr>
              <w:t xml:space="preserve"> for never smoking workers</w:t>
            </w:r>
            <w:r>
              <w:rPr>
                <w:sz w:val="18"/>
                <w:szCs w:val="18"/>
              </w:rPr>
              <w:t xml:space="preserve">, </w:t>
            </w:r>
            <w:proofErr w:type="spellStart"/>
            <w:r>
              <w:rPr>
                <w:sz w:val="18"/>
                <w:szCs w:val="18"/>
              </w:rPr>
              <w:t>SIG</w:t>
            </w:r>
            <w:r w:rsidRPr="00AD15A1">
              <w:rPr>
                <w:sz w:val="18"/>
                <w:szCs w:val="18"/>
                <w:vertAlign w:val="superscript"/>
              </w:rPr>
              <w:t>e</w:t>
            </w:r>
            <w:proofErr w:type="spellEnd"/>
          </w:p>
        </w:tc>
        <w:tc>
          <w:tcPr>
            <w:tcW w:w="3827" w:type="dxa"/>
          </w:tcPr>
          <w:p w:rsidR="00152CFC" w:rsidRPr="004C5425" w:rsidRDefault="00152CFC" w:rsidP="0039604A">
            <w:pPr>
              <w:spacing w:line="276" w:lineRule="auto"/>
              <w:rPr>
                <w:sz w:val="18"/>
                <w:szCs w:val="18"/>
              </w:rPr>
            </w:pPr>
            <w:r w:rsidRPr="004C5425">
              <w:rPr>
                <w:sz w:val="18"/>
                <w:szCs w:val="18"/>
              </w:rPr>
              <w:t>1085 deaths from COPD</w:t>
            </w:r>
          </w:p>
        </w:tc>
        <w:tc>
          <w:tcPr>
            <w:tcW w:w="1843" w:type="dxa"/>
          </w:tcPr>
          <w:p w:rsidR="00152CFC" w:rsidRPr="004C5425" w:rsidRDefault="00152CFC" w:rsidP="00393C2D">
            <w:pPr>
              <w:spacing w:line="276" w:lineRule="auto"/>
              <w:rPr>
                <w:sz w:val="18"/>
                <w:szCs w:val="18"/>
              </w:rPr>
            </w:pPr>
            <w:r>
              <w:rPr>
                <w:sz w:val="18"/>
                <w:szCs w:val="18"/>
              </w:rPr>
              <w:t>Other (d</w:t>
            </w:r>
            <w:r w:rsidRPr="004C5425">
              <w:rPr>
                <w:sz w:val="18"/>
                <w:szCs w:val="18"/>
              </w:rPr>
              <w:t>eath certification from COPD</w:t>
            </w:r>
            <w:r>
              <w:rPr>
                <w:sz w:val="18"/>
                <w:szCs w:val="18"/>
              </w:rPr>
              <w:t>)</w:t>
            </w:r>
          </w:p>
        </w:tc>
        <w:tc>
          <w:tcPr>
            <w:tcW w:w="2409" w:type="dxa"/>
          </w:tcPr>
          <w:p w:rsidR="00152CFC" w:rsidRPr="004C5425" w:rsidRDefault="00152CFC" w:rsidP="00393C2D">
            <w:pPr>
              <w:spacing w:line="276" w:lineRule="auto"/>
              <w:rPr>
                <w:sz w:val="18"/>
                <w:szCs w:val="18"/>
              </w:rPr>
            </w:pPr>
            <w:r>
              <w:rPr>
                <w:sz w:val="18"/>
                <w:szCs w:val="18"/>
              </w:rPr>
              <w:t>JEM</w:t>
            </w:r>
          </w:p>
        </w:tc>
      </w:tr>
      <w:tr w:rsidR="00152CFC" w:rsidRPr="004C5425" w:rsidTr="00152CFC">
        <w:tc>
          <w:tcPr>
            <w:tcW w:w="1526" w:type="dxa"/>
          </w:tcPr>
          <w:p w:rsidR="00152CFC" w:rsidRPr="004C5425" w:rsidRDefault="00152CFC" w:rsidP="00F97E48">
            <w:pPr>
              <w:spacing w:line="276" w:lineRule="auto"/>
              <w:rPr>
                <w:sz w:val="18"/>
                <w:szCs w:val="18"/>
              </w:rPr>
            </w:pPr>
            <w:proofErr w:type="spellStart"/>
            <w:r>
              <w:rPr>
                <w:sz w:val="18"/>
                <w:szCs w:val="18"/>
              </w:rPr>
              <w:t>Hansell</w:t>
            </w:r>
            <w:proofErr w:type="spellEnd"/>
            <w:r>
              <w:rPr>
                <w:sz w:val="18"/>
                <w:szCs w:val="18"/>
              </w:rPr>
              <w:t xml:space="preserve"> </w:t>
            </w:r>
            <w:r w:rsidRPr="004C5425">
              <w:rPr>
                <w:sz w:val="18"/>
                <w:szCs w:val="18"/>
              </w:rPr>
              <w:t>2014</w:t>
            </w:r>
          </w:p>
        </w:tc>
        <w:tc>
          <w:tcPr>
            <w:tcW w:w="3119" w:type="dxa"/>
          </w:tcPr>
          <w:p w:rsidR="00152CFC" w:rsidRDefault="00152CFC" w:rsidP="00393C2D">
            <w:pPr>
              <w:spacing w:line="276" w:lineRule="auto"/>
              <w:rPr>
                <w:sz w:val="18"/>
                <w:szCs w:val="18"/>
              </w:rPr>
            </w:pPr>
            <w:r w:rsidRPr="004C5425">
              <w:rPr>
                <w:sz w:val="18"/>
                <w:szCs w:val="18"/>
              </w:rPr>
              <w:t>1.07 (0.64 – 1.81</w:t>
            </w:r>
            <w:r>
              <w:rPr>
                <w:sz w:val="18"/>
                <w:szCs w:val="18"/>
              </w:rPr>
              <w:t>)</w:t>
            </w:r>
          </w:p>
          <w:p w:rsidR="00152CFC" w:rsidRPr="004C5425" w:rsidRDefault="00152CFC" w:rsidP="00F97E48">
            <w:pPr>
              <w:spacing w:line="276" w:lineRule="auto"/>
              <w:rPr>
                <w:sz w:val="18"/>
                <w:szCs w:val="18"/>
              </w:rPr>
            </w:pPr>
            <w:r w:rsidRPr="004C5425">
              <w:rPr>
                <w:sz w:val="18"/>
                <w:szCs w:val="18"/>
              </w:rPr>
              <w:t>4.3%</w:t>
            </w:r>
            <w:r>
              <w:rPr>
                <w:sz w:val="18"/>
                <w:szCs w:val="18"/>
              </w:rPr>
              <w:t xml:space="preserve">, </w:t>
            </w:r>
            <w:proofErr w:type="spellStart"/>
            <w:r>
              <w:rPr>
                <w:sz w:val="18"/>
                <w:szCs w:val="18"/>
              </w:rPr>
              <w:t>NS</w:t>
            </w:r>
            <w:r w:rsidRPr="00F97E48">
              <w:rPr>
                <w:sz w:val="18"/>
                <w:szCs w:val="18"/>
                <w:vertAlign w:val="superscript"/>
              </w:rPr>
              <w:t>f</w:t>
            </w:r>
            <w:proofErr w:type="spellEnd"/>
          </w:p>
        </w:tc>
        <w:tc>
          <w:tcPr>
            <w:tcW w:w="3827" w:type="dxa"/>
          </w:tcPr>
          <w:p w:rsidR="00152CFC" w:rsidRPr="004C5425" w:rsidRDefault="00152CFC" w:rsidP="00F97E48">
            <w:pPr>
              <w:spacing w:line="276" w:lineRule="auto"/>
              <w:rPr>
                <w:sz w:val="18"/>
                <w:szCs w:val="18"/>
              </w:rPr>
            </w:pPr>
            <w:r w:rsidRPr="004C5425">
              <w:rPr>
                <w:sz w:val="18"/>
                <w:szCs w:val="18"/>
              </w:rPr>
              <w:t>83 cases</w:t>
            </w:r>
            <w:r>
              <w:rPr>
                <w:sz w:val="18"/>
                <w:szCs w:val="18"/>
              </w:rPr>
              <w:t xml:space="preserve">, </w:t>
            </w:r>
            <w:r w:rsidRPr="004C5425">
              <w:rPr>
                <w:sz w:val="18"/>
                <w:szCs w:val="18"/>
              </w:rPr>
              <w:t>665 non cases</w:t>
            </w:r>
          </w:p>
        </w:tc>
        <w:tc>
          <w:tcPr>
            <w:tcW w:w="1843" w:type="dxa"/>
          </w:tcPr>
          <w:p w:rsidR="00152CFC" w:rsidRPr="004C5425" w:rsidRDefault="00152CFC" w:rsidP="00393C2D">
            <w:pPr>
              <w:spacing w:line="276" w:lineRule="auto"/>
              <w:rPr>
                <w:sz w:val="18"/>
                <w:szCs w:val="18"/>
              </w:rPr>
            </w:pPr>
            <w:r>
              <w:rPr>
                <w:sz w:val="18"/>
                <w:szCs w:val="18"/>
              </w:rPr>
              <w:t>Pre BD</w:t>
            </w:r>
          </w:p>
        </w:tc>
        <w:tc>
          <w:tcPr>
            <w:tcW w:w="2409" w:type="dxa"/>
          </w:tcPr>
          <w:p w:rsidR="00152CFC" w:rsidRPr="004C5425" w:rsidRDefault="00152CFC" w:rsidP="00393C2D">
            <w:pPr>
              <w:spacing w:line="276" w:lineRule="auto"/>
              <w:rPr>
                <w:sz w:val="18"/>
                <w:szCs w:val="18"/>
              </w:rPr>
            </w:pPr>
            <w:r>
              <w:rPr>
                <w:sz w:val="18"/>
                <w:szCs w:val="18"/>
              </w:rPr>
              <w:t>JEM</w:t>
            </w:r>
          </w:p>
        </w:tc>
      </w:tr>
      <w:tr w:rsidR="00152CFC" w:rsidRPr="004C5425" w:rsidTr="00152CFC">
        <w:tc>
          <w:tcPr>
            <w:tcW w:w="1526" w:type="dxa"/>
          </w:tcPr>
          <w:p w:rsidR="00152CFC" w:rsidRPr="004C5425" w:rsidRDefault="00152CFC" w:rsidP="00393C2D">
            <w:pPr>
              <w:spacing w:line="276" w:lineRule="auto"/>
              <w:rPr>
                <w:sz w:val="18"/>
                <w:szCs w:val="18"/>
              </w:rPr>
            </w:pPr>
            <w:r>
              <w:rPr>
                <w:sz w:val="18"/>
                <w:szCs w:val="18"/>
              </w:rPr>
              <w:t>De Jong 2014</w:t>
            </w:r>
          </w:p>
        </w:tc>
        <w:tc>
          <w:tcPr>
            <w:tcW w:w="3119" w:type="dxa"/>
          </w:tcPr>
          <w:p w:rsidR="00152CFC" w:rsidRDefault="00152CFC" w:rsidP="00393C2D">
            <w:pPr>
              <w:spacing w:line="276" w:lineRule="auto"/>
              <w:rPr>
                <w:sz w:val="18"/>
                <w:szCs w:val="18"/>
              </w:rPr>
            </w:pPr>
            <w:r>
              <w:rPr>
                <w:sz w:val="18"/>
                <w:szCs w:val="18"/>
              </w:rPr>
              <w:t>1.41 (1.16-1.7)</w:t>
            </w:r>
          </w:p>
          <w:p w:rsidR="00152CFC" w:rsidRPr="004C5425" w:rsidRDefault="00152CFC" w:rsidP="00242E09">
            <w:pPr>
              <w:spacing w:line="276" w:lineRule="auto"/>
              <w:rPr>
                <w:sz w:val="18"/>
                <w:szCs w:val="18"/>
              </w:rPr>
            </w:pPr>
            <w:r w:rsidRPr="004C5425">
              <w:rPr>
                <w:sz w:val="18"/>
                <w:szCs w:val="18"/>
              </w:rPr>
              <w:t>6.4%</w:t>
            </w:r>
            <w:r>
              <w:rPr>
                <w:sz w:val="18"/>
                <w:szCs w:val="18"/>
              </w:rPr>
              <w:t xml:space="preserve">, </w:t>
            </w:r>
            <w:proofErr w:type="spellStart"/>
            <w:r w:rsidRPr="004C5425">
              <w:rPr>
                <w:sz w:val="18"/>
                <w:szCs w:val="18"/>
              </w:rPr>
              <w:t>SIG</w:t>
            </w:r>
            <w:r w:rsidRPr="00242E09">
              <w:rPr>
                <w:sz w:val="18"/>
                <w:szCs w:val="18"/>
                <w:vertAlign w:val="superscript"/>
              </w:rPr>
              <w:t>g</w:t>
            </w:r>
            <w:proofErr w:type="spellEnd"/>
          </w:p>
        </w:tc>
        <w:tc>
          <w:tcPr>
            <w:tcW w:w="3827" w:type="dxa"/>
          </w:tcPr>
          <w:p w:rsidR="00152CFC" w:rsidRPr="004C5425" w:rsidRDefault="00152CFC" w:rsidP="00F97E48">
            <w:pPr>
              <w:spacing w:line="276" w:lineRule="auto"/>
              <w:rPr>
                <w:sz w:val="18"/>
                <w:szCs w:val="18"/>
              </w:rPr>
            </w:pPr>
            <w:r w:rsidRPr="004C5425">
              <w:rPr>
                <w:sz w:val="18"/>
                <w:szCs w:val="18"/>
              </w:rPr>
              <w:t>1176 cases</w:t>
            </w:r>
            <w:r>
              <w:rPr>
                <w:sz w:val="18"/>
                <w:szCs w:val="18"/>
              </w:rPr>
              <w:t xml:space="preserve">, </w:t>
            </w:r>
            <w:r w:rsidRPr="004C5425">
              <w:rPr>
                <w:sz w:val="18"/>
                <w:szCs w:val="18"/>
              </w:rPr>
              <w:t>6690 non cases</w:t>
            </w:r>
          </w:p>
        </w:tc>
        <w:tc>
          <w:tcPr>
            <w:tcW w:w="1843" w:type="dxa"/>
          </w:tcPr>
          <w:p w:rsidR="00152CFC" w:rsidRPr="004C5425" w:rsidRDefault="00152CFC" w:rsidP="00570449">
            <w:pPr>
              <w:spacing w:line="276" w:lineRule="auto"/>
              <w:rPr>
                <w:sz w:val="18"/>
                <w:szCs w:val="18"/>
              </w:rPr>
            </w:pPr>
            <w:r>
              <w:rPr>
                <w:sz w:val="18"/>
                <w:szCs w:val="18"/>
              </w:rPr>
              <w:t>Pre BD</w:t>
            </w:r>
          </w:p>
        </w:tc>
        <w:tc>
          <w:tcPr>
            <w:tcW w:w="2409" w:type="dxa"/>
          </w:tcPr>
          <w:p w:rsidR="00152CFC" w:rsidRPr="004C5425" w:rsidRDefault="00152CFC" w:rsidP="00393C2D">
            <w:pPr>
              <w:spacing w:line="276" w:lineRule="auto"/>
              <w:rPr>
                <w:sz w:val="18"/>
                <w:szCs w:val="18"/>
              </w:rPr>
            </w:pPr>
            <w:r>
              <w:rPr>
                <w:sz w:val="18"/>
                <w:szCs w:val="18"/>
              </w:rPr>
              <w:t>JEM</w:t>
            </w:r>
          </w:p>
        </w:tc>
      </w:tr>
      <w:tr w:rsidR="00152CFC" w:rsidRPr="004C5425" w:rsidTr="00152CFC">
        <w:tc>
          <w:tcPr>
            <w:tcW w:w="1526" w:type="dxa"/>
          </w:tcPr>
          <w:p w:rsidR="00152CFC" w:rsidRPr="004C5425" w:rsidRDefault="00152CFC" w:rsidP="00AB7BC0">
            <w:pPr>
              <w:spacing w:line="276" w:lineRule="auto"/>
              <w:rPr>
                <w:sz w:val="18"/>
                <w:szCs w:val="18"/>
              </w:rPr>
            </w:pPr>
            <w:proofErr w:type="spellStart"/>
            <w:r>
              <w:rPr>
                <w:sz w:val="18"/>
                <w:szCs w:val="18"/>
              </w:rPr>
              <w:t>Pallasaho</w:t>
            </w:r>
            <w:proofErr w:type="spellEnd"/>
            <w:r>
              <w:rPr>
                <w:sz w:val="18"/>
                <w:szCs w:val="18"/>
              </w:rPr>
              <w:t xml:space="preserve"> </w:t>
            </w:r>
            <w:r w:rsidRPr="004C5425">
              <w:rPr>
                <w:sz w:val="18"/>
                <w:szCs w:val="18"/>
              </w:rPr>
              <w:t>2014</w:t>
            </w:r>
          </w:p>
        </w:tc>
        <w:tc>
          <w:tcPr>
            <w:tcW w:w="3119" w:type="dxa"/>
          </w:tcPr>
          <w:p w:rsidR="00152CFC" w:rsidRDefault="00152CFC" w:rsidP="00393C2D">
            <w:pPr>
              <w:spacing w:line="276" w:lineRule="auto"/>
              <w:rPr>
                <w:sz w:val="18"/>
                <w:szCs w:val="18"/>
              </w:rPr>
            </w:pPr>
            <w:r w:rsidRPr="004C5425">
              <w:rPr>
                <w:sz w:val="18"/>
                <w:szCs w:val="18"/>
              </w:rPr>
              <w:t>OR=2.1 (1.5-3.0)</w:t>
            </w:r>
          </w:p>
          <w:p w:rsidR="00152CFC" w:rsidRPr="004C5425" w:rsidRDefault="00152CFC" w:rsidP="00F064AF">
            <w:pPr>
              <w:spacing w:line="276" w:lineRule="auto"/>
              <w:rPr>
                <w:sz w:val="18"/>
                <w:szCs w:val="18"/>
              </w:rPr>
            </w:pPr>
            <w:r w:rsidRPr="004C5425">
              <w:rPr>
                <w:sz w:val="18"/>
                <w:szCs w:val="18"/>
              </w:rPr>
              <w:t>23.6%</w:t>
            </w:r>
            <w:r>
              <w:rPr>
                <w:sz w:val="18"/>
                <w:szCs w:val="18"/>
              </w:rPr>
              <w:t xml:space="preserve">, </w:t>
            </w:r>
            <w:proofErr w:type="spellStart"/>
            <w:r w:rsidRPr="004C5425">
              <w:rPr>
                <w:sz w:val="18"/>
                <w:szCs w:val="18"/>
              </w:rPr>
              <w:t>SIG</w:t>
            </w:r>
            <w:r w:rsidRPr="00F064AF">
              <w:rPr>
                <w:sz w:val="18"/>
                <w:szCs w:val="18"/>
                <w:vertAlign w:val="superscript"/>
              </w:rPr>
              <w:t>h</w:t>
            </w:r>
            <w:proofErr w:type="spellEnd"/>
          </w:p>
        </w:tc>
        <w:tc>
          <w:tcPr>
            <w:tcW w:w="3827" w:type="dxa"/>
          </w:tcPr>
          <w:p w:rsidR="00152CFC" w:rsidRPr="004C5425" w:rsidRDefault="00152CFC" w:rsidP="00393C2D">
            <w:pPr>
              <w:spacing w:line="276" w:lineRule="auto"/>
              <w:rPr>
                <w:sz w:val="18"/>
                <w:szCs w:val="18"/>
              </w:rPr>
            </w:pPr>
            <w:r w:rsidRPr="004C5425">
              <w:rPr>
                <w:sz w:val="18"/>
                <w:szCs w:val="18"/>
              </w:rPr>
              <w:t>140 cases</w:t>
            </w:r>
          </w:p>
          <w:p w:rsidR="00152CFC" w:rsidRPr="004C5425" w:rsidRDefault="00152CFC" w:rsidP="00BE35E0">
            <w:pPr>
              <w:spacing w:line="276" w:lineRule="auto"/>
              <w:rPr>
                <w:sz w:val="18"/>
                <w:szCs w:val="18"/>
              </w:rPr>
            </w:pPr>
            <w:r w:rsidRPr="004C5425">
              <w:rPr>
                <w:sz w:val="18"/>
                <w:szCs w:val="18"/>
              </w:rPr>
              <w:t>4162 non cases</w:t>
            </w:r>
          </w:p>
        </w:tc>
        <w:tc>
          <w:tcPr>
            <w:tcW w:w="1843" w:type="dxa"/>
          </w:tcPr>
          <w:p w:rsidR="00152CFC" w:rsidRPr="004C5425" w:rsidRDefault="00152CFC" w:rsidP="00F064AF">
            <w:pPr>
              <w:spacing w:line="276" w:lineRule="auto"/>
              <w:rPr>
                <w:sz w:val="18"/>
                <w:szCs w:val="18"/>
              </w:rPr>
            </w:pPr>
            <w:r w:rsidRPr="004C5425">
              <w:rPr>
                <w:sz w:val="18"/>
                <w:szCs w:val="18"/>
              </w:rPr>
              <w:t xml:space="preserve">Self-reported </w:t>
            </w:r>
          </w:p>
        </w:tc>
        <w:tc>
          <w:tcPr>
            <w:tcW w:w="2409" w:type="dxa"/>
          </w:tcPr>
          <w:p w:rsidR="00152CFC" w:rsidRDefault="00152CFC" w:rsidP="00393C2D">
            <w:pPr>
              <w:spacing w:line="276" w:lineRule="auto"/>
              <w:rPr>
                <w:sz w:val="18"/>
                <w:szCs w:val="18"/>
              </w:rPr>
            </w:pPr>
            <w:r>
              <w:rPr>
                <w:sz w:val="18"/>
                <w:szCs w:val="18"/>
              </w:rPr>
              <w:t>Self-reported</w:t>
            </w:r>
          </w:p>
          <w:p w:rsidR="00152CFC" w:rsidRPr="004C5425" w:rsidRDefault="00152CFC" w:rsidP="00393C2D">
            <w:pPr>
              <w:spacing w:line="276" w:lineRule="auto"/>
              <w:rPr>
                <w:sz w:val="18"/>
                <w:szCs w:val="18"/>
              </w:rPr>
            </w:pPr>
            <w:r>
              <w:rPr>
                <w:sz w:val="18"/>
                <w:szCs w:val="18"/>
              </w:rPr>
              <w:t>Job Title</w:t>
            </w:r>
          </w:p>
        </w:tc>
      </w:tr>
      <w:tr w:rsidR="00152CFC" w:rsidRPr="004C5425" w:rsidTr="00152CFC">
        <w:tc>
          <w:tcPr>
            <w:tcW w:w="1526" w:type="dxa"/>
          </w:tcPr>
          <w:p w:rsidR="00152CFC" w:rsidRPr="004C5425" w:rsidRDefault="00152CFC" w:rsidP="00393C2D">
            <w:pPr>
              <w:spacing w:line="276" w:lineRule="auto"/>
              <w:rPr>
                <w:sz w:val="18"/>
                <w:szCs w:val="18"/>
              </w:rPr>
            </w:pPr>
            <w:r>
              <w:rPr>
                <w:sz w:val="18"/>
                <w:szCs w:val="18"/>
              </w:rPr>
              <w:t xml:space="preserve">Scholes </w:t>
            </w:r>
            <w:r w:rsidRPr="004C5425">
              <w:rPr>
                <w:sz w:val="18"/>
                <w:szCs w:val="18"/>
              </w:rPr>
              <w:t>2014</w:t>
            </w:r>
          </w:p>
        </w:tc>
        <w:tc>
          <w:tcPr>
            <w:tcW w:w="3119" w:type="dxa"/>
          </w:tcPr>
          <w:p w:rsidR="00152CFC" w:rsidRDefault="00152CFC" w:rsidP="00F064AF">
            <w:pPr>
              <w:spacing w:line="276" w:lineRule="auto"/>
              <w:rPr>
                <w:sz w:val="18"/>
                <w:szCs w:val="18"/>
              </w:rPr>
            </w:pPr>
            <w:r>
              <w:rPr>
                <w:sz w:val="18"/>
                <w:szCs w:val="18"/>
              </w:rPr>
              <w:t xml:space="preserve">OR </w:t>
            </w:r>
            <w:r w:rsidRPr="004C5425">
              <w:rPr>
                <w:sz w:val="18"/>
                <w:szCs w:val="18"/>
              </w:rPr>
              <w:t>1.61 (1.13-2.31). </w:t>
            </w:r>
          </w:p>
          <w:p w:rsidR="00152CFC" w:rsidRPr="004C5425" w:rsidRDefault="00152CFC" w:rsidP="00F064AF">
            <w:pPr>
              <w:spacing w:line="276" w:lineRule="auto"/>
              <w:rPr>
                <w:sz w:val="18"/>
                <w:szCs w:val="18"/>
              </w:rPr>
            </w:pPr>
            <w:r w:rsidRPr="004C5425">
              <w:rPr>
                <w:sz w:val="18"/>
                <w:szCs w:val="18"/>
              </w:rPr>
              <w:t>9.4%</w:t>
            </w:r>
            <w:r>
              <w:rPr>
                <w:sz w:val="18"/>
                <w:szCs w:val="18"/>
              </w:rPr>
              <w:t xml:space="preserve">, </w:t>
            </w:r>
            <w:proofErr w:type="spellStart"/>
            <w:r w:rsidRPr="004C5425">
              <w:rPr>
                <w:sz w:val="18"/>
                <w:szCs w:val="18"/>
              </w:rPr>
              <w:t>SIG</w:t>
            </w:r>
            <w:r w:rsidRPr="0048106E">
              <w:rPr>
                <w:sz w:val="18"/>
                <w:szCs w:val="18"/>
                <w:vertAlign w:val="superscript"/>
              </w:rPr>
              <w:t>i</w:t>
            </w:r>
            <w:proofErr w:type="spellEnd"/>
          </w:p>
        </w:tc>
        <w:tc>
          <w:tcPr>
            <w:tcW w:w="3827" w:type="dxa"/>
          </w:tcPr>
          <w:p w:rsidR="00152CFC" w:rsidRPr="004C5425" w:rsidRDefault="00152CFC" w:rsidP="00F064AF">
            <w:pPr>
              <w:spacing w:line="276" w:lineRule="auto"/>
              <w:rPr>
                <w:sz w:val="18"/>
                <w:szCs w:val="18"/>
              </w:rPr>
            </w:pPr>
            <w:r w:rsidRPr="004C5425">
              <w:rPr>
                <w:sz w:val="18"/>
                <w:szCs w:val="18"/>
              </w:rPr>
              <w:t xml:space="preserve">7879 participants, 2.8% </w:t>
            </w:r>
            <w:r>
              <w:rPr>
                <w:sz w:val="18"/>
                <w:szCs w:val="18"/>
              </w:rPr>
              <w:t>were cases</w:t>
            </w:r>
          </w:p>
        </w:tc>
        <w:tc>
          <w:tcPr>
            <w:tcW w:w="1843" w:type="dxa"/>
          </w:tcPr>
          <w:p w:rsidR="00152CFC" w:rsidRPr="004C5425" w:rsidRDefault="00152CFC" w:rsidP="00326EB6">
            <w:pPr>
              <w:spacing w:line="276" w:lineRule="auto"/>
              <w:rPr>
                <w:sz w:val="18"/>
                <w:szCs w:val="18"/>
              </w:rPr>
            </w:pPr>
            <w:r>
              <w:rPr>
                <w:sz w:val="18"/>
                <w:szCs w:val="18"/>
              </w:rPr>
              <w:t>Pre BD</w:t>
            </w:r>
          </w:p>
        </w:tc>
        <w:tc>
          <w:tcPr>
            <w:tcW w:w="2409" w:type="dxa"/>
          </w:tcPr>
          <w:p w:rsidR="00152CFC" w:rsidRPr="004C5425" w:rsidRDefault="00152CFC" w:rsidP="00393C2D">
            <w:pPr>
              <w:spacing w:line="276" w:lineRule="auto"/>
              <w:rPr>
                <w:sz w:val="18"/>
                <w:szCs w:val="18"/>
              </w:rPr>
            </w:pPr>
            <w:r>
              <w:rPr>
                <w:sz w:val="18"/>
                <w:szCs w:val="18"/>
              </w:rPr>
              <w:t>Self-reported</w:t>
            </w:r>
          </w:p>
        </w:tc>
      </w:tr>
      <w:tr w:rsidR="00152CFC" w:rsidRPr="004C5425" w:rsidTr="00152CFC">
        <w:tc>
          <w:tcPr>
            <w:tcW w:w="1526" w:type="dxa"/>
          </w:tcPr>
          <w:p w:rsidR="00152CFC" w:rsidRPr="004C5425" w:rsidRDefault="00152CFC" w:rsidP="00AB7BC0">
            <w:pPr>
              <w:spacing w:line="276" w:lineRule="auto"/>
              <w:rPr>
                <w:sz w:val="18"/>
                <w:szCs w:val="18"/>
              </w:rPr>
            </w:pPr>
            <w:r>
              <w:rPr>
                <w:sz w:val="18"/>
                <w:szCs w:val="18"/>
              </w:rPr>
              <w:t xml:space="preserve">Mehta </w:t>
            </w:r>
            <w:r w:rsidRPr="004C5425">
              <w:rPr>
                <w:sz w:val="18"/>
                <w:szCs w:val="18"/>
              </w:rPr>
              <w:t>2012</w:t>
            </w:r>
          </w:p>
        </w:tc>
        <w:tc>
          <w:tcPr>
            <w:tcW w:w="3119" w:type="dxa"/>
          </w:tcPr>
          <w:p w:rsidR="00152CFC" w:rsidRDefault="00152CFC" w:rsidP="0094525B">
            <w:pPr>
              <w:spacing w:line="276" w:lineRule="auto"/>
              <w:rPr>
                <w:sz w:val="18"/>
                <w:szCs w:val="18"/>
              </w:rPr>
            </w:pPr>
            <w:r>
              <w:rPr>
                <w:sz w:val="18"/>
                <w:szCs w:val="18"/>
              </w:rPr>
              <w:t xml:space="preserve">OR - </w:t>
            </w:r>
          </w:p>
          <w:p w:rsidR="00152CFC" w:rsidRPr="004C5425" w:rsidRDefault="00152CFC" w:rsidP="0094525B">
            <w:pPr>
              <w:spacing w:line="276" w:lineRule="auto"/>
              <w:rPr>
                <w:sz w:val="18"/>
                <w:szCs w:val="18"/>
              </w:rPr>
            </w:pPr>
            <w:r w:rsidRPr="004C5425">
              <w:rPr>
                <w:sz w:val="18"/>
                <w:szCs w:val="18"/>
              </w:rPr>
              <w:t>23%</w:t>
            </w:r>
            <w:r>
              <w:rPr>
                <w:sz w:val="18"/>
                <w:szCs w:val="18"/>
              </w:rPr>
              <w:t xml:space="preserve">, NS for </w:t>
            </w:r>
            <w:r w:rsidRPr="004C5425">
              <w:rPr>
                <w:sz w:val="18"/>
                <w:szCs w:val="18"/>
              </w:rPr>
              <w:t xml:space="preserve">LLN stage II+ </w:t>
            </w:r>
            <w:proofErr w:type="spellStart"/>
            <w:r w:rsidRPr="004C5425">
              <w:rPr>
                <w:sz w:val="18"/>
                <w:szCs w:val="18"/>
              </w:rPr>
              <w:t>COPD</w:t>
            </w:r>
            <w:r w:rsidRPr="0094525B">
              <w:rPr>
                <w:sz w:val="18"/>
                <w:szCs w:val="18"/>
                <w:vertAlign w:val="superscript"/>
              </w:rPr>
              <w:t>j</w:t>
            </w:r>
            <w:proofErr w:type="spellEnd"/>
          </w:p>
        </w:tc>
        <w:tc>
          <w:tcPr>
            <w:tcW w:w="3827" w:type="dxa"/>
          </w:tcPr>
          <w:p w:rsidR="00152CFC" w:rsidRPr="004C5425" w:rsidRDefault="00152CFC" w:rsidP="00393C2D">
            <w:pPr>
              <w:spacing w:line="276" w:lineRule="auto"/>
              <w:rPr>
                <w:sz w:val="18"/>
                <w:szCs w:val="18"/>
              </w:rPr>
            </w:pPr>
            <w:r w:rsidRPr="004C5425">
              <w:rPr>
                <w:sz w:val="18"/>
                <w:szCs w:val="18"/>
              </w:rPr>
              <w:t>520 GOLD 1 cases, 57 GOLD 2+ cases, 3321 non cases</w:t>
            </w:r>
          </w:p>
        </w:tc>
        <w:tc>
          <w:tcPr>
            <w:tcW w:w="1843" w:type="dxa"/>
          </w:tcPr>
          <w:p w:rsidR="00152CFC" w:rsidRPr="004C5425" w:rsidRDefault="00152CFC" w:rsidP="004F7A7C">
            <w:pPr>
              <w:spacing w:line="276" w:lineRule="auto"/>
              <w:rPr>
                <w:sz w:val="18"/>
                <w:szCs w:val="18"/>
              </w:rPr>
            </w:pPr>
            <w:r>
              <w:rPr>
                <w:sz w:val="18"/>
                <w:szCs w:val="18"/>
              </w:rPr>
              <w:t>Pre BD</w:t>
            </w:r>
          </w:p>
        </w:tc>
        <w:tc>
          <w:tcPr>
            <w:tcW w:w="2409" w:type="dxa"/>
          </w:tcPr>
          <w:p w:rsidR="00152CFC" w:rsidRPr="004C5425" w:rsidRDefault="00152CFC" w:rsidP="00393C2D">
            <w:pPr>
              <w:spacing w:line="276" w:lineRule="auto"/>
              <w:rPr>
                <w:sz w:val="18"/>
                <w:szCs w:val="18"/>
              </w:rPr>
            </w:pPr>
            <w:r w:rsidRPr="004C5425">
              <w:rPr>
                <w:sz w:val="18"/>
                <w:szCs w:val="18"/>
              </w:rPr>
              <w:t>JEM</w:t>
            </w:r>
          </w:p>
        </w:tc>
      </w:tr>
      <w:tr w:rsidR="00152CFC" w:rsidRPr="004C5425" w:rsidTr="00152CFC">
        <w:tc>
          <w:tcPr>
            <w:tcW w:w="1526" w:type="dxa"/>
          </w:tcPr>
          <w:p w:rsidR="00152CFC" w:rsidRPr="004C5425" w:rsidRDefault="00152CFC" w:rsidP="0094525B">
            <w:pPr>
              <w:spacing w:line="276" w:lineRule="auto"/>
              <w:rPr>
                <w:sz w:val="18"/>
                <w:szCs w:val="18"/>
              </w:rPr>
            </w:pPr>
            <w:proofErr w:type="spellStart"/>
            <w:r>
              <w:rPr>
                <w:sz w:val="18"/>
                <w:szCs w:val="18"/>
              </w:rPr>
              <w:t>Mazitova</w:t>
            </w:r>
            <w:proofErr w:type="spellEnd"/>
            <w:r>
              <w:rPr>
                <w:sz w:val="18"/>
                <w:szCs w:val="18"/>
              </w:rPr>
              <w:t xml:space="preserve"> </w:t>
            </w:r>
            <w:r w:rsidRPr="004C5425">
              <w:rPr>
                <w:sz w:val="18"/>
                <w:szCs w:val="18"/>
              </w:rPr>
              <w:t>2012</w:t>
            </w:r>
          </w:p>
        </w:tc>
        <w:tc>
          <w:tcPr>
            <w:tcW w:w="3119" w:type="dxa"/>
          </w:tcPr>
          <w:p w:rsidR="00152CFC" w:rsidRDefault="00152CFC" w:rsidP="0094525B">
            <w:pPr>
              <w:spacing w:line="276" w:lineRule="auto"/>
              <w:rPr>
                <w:sz w:val="18"/>
                <w:szCs w:val="18"/>
              </w:rPr>
            </w:pPr>
            <w:r>
              <w:rPr>
                <w:sz w:val="18"/>
                <w:szCs w:val="18"/>
              </w:rPr>
              <w:t xml:space="preserve">OR </w:t>
            </w:r>
            <w:r w:rsidRPr="004C5425">
              <w:rPr>
                <w:sz w:val="18"/>
                <w:szCs w:val="18"/>
              </w:rPr>
              <w:t>5.9 (3.6</w:t>
            </w:r>
            <w:r>
              <w:rPr>
                <w:sz w:val="18"/>
                <w:szCs w:val="18"/>
              </w:rPr>
              <w:t>-</w:t>
            </w:r>
            <w:r w:rsidRPr="004C5425">
              <w:rPr>
                <w:sz w:val="18"/>
                <w:szCs w:val="18"/>
              </w:rPr>
              <w:t>9.8)</w:t>
            </w:r>
          </w:p>
          <w:p w:rsidR="00152CFC" w:rsidRPr="004C5425" w:rsidRDefault="00152CFC" w:rsidP="0094525B">
            <w:pPr>
              <w:spacing w:line="276" w:lineRule="auto"/>
              <w:rPr>
                <w:sz w:val="18"/>
                <w:szCs w:val="18"/>
              </w:rPr>
            </w:pPr>
            <w:r w:rsidRPr="004C5425">
              <w:rPr>
                <w:sz w:val="18"/>
                <w:szCs w:val="18"/>
              </w:rPr>
              <w:lastRenderedPageBreak/>
              <w:t>65.3%</w:t>
            </w:r>
            <w:r>
              <w:rPr>
                <w:sz w:val="18"/>
                <w:szCs w:val="18"/>
              </w:rPr>
              <w:t xml:space="preserve">, </w:t>
            </w:r>
            <w:proofErr w:type="spellStart"/>
            <w:r w:rsidRPr="004C5425">
              <w:rPr>
                <w:sz w:val="18"/>
                <w:szCs w:val="18"/>
              </w:rPr>
              <w:t>SIG</w:t>
            </w:r>
            <w:r w:rsidRPr="00864026">
              <w:rPr>
                <w:sz w:val="18"/>
                <w:szCs w:val="18"/>
                <w:vertAlign w:val="superscript"/>
              </w:rPr>
              <w:t>k</w:t>
            </w:r>
            <w:proofErr w:type="spellEnd"/>
          </w:p>
        </w:tc>
        <w:tc>
          <w:tcPr>
            <w:tcW w:w="3827" w:type="dxa"/>
          </w:tcPr>
          <w:p w:rsidR="00152CFC" w:rsidRPr="004C5425" w:rsidRDefault="00152CFC" w:rsidP="0094525B">
            <w:pPr>
              <w:spacing w:line="276" w:lineRule="auto"/>
              <w:rPr>
                <w:sz w:val="18"/>
                <w:szCs w:val="18"/>
              </w:rPr>
            </w:pPr>
            <w:r w:rsidRPr="004C5425">
              <w:rPr>
                <w:sz w:val="18"/>
                <w:szCs w:val="18"/>
              </w:rPr>
              <w:lastRenderedPageBreak/>
              <w:t>1375 participants</w:t>
            </w:r>
            <w:r>
              <w:rPr>
                <w:sz w:val="18"/>
                <w:szCs w:val="18"/>
              </w:rPr>
              <w:t xml:space="preserve">, </w:t>
            </w:r>
            <w:r w:rsidRPr="004C5425">
              <w:rPr>
                <w:sz w:val="18"/>
                <w:szCs w:val="18"/>
              </w:rPr>
              <w:t>105 cases</w:t>
            </w:r>
          </w:p>
        </w:tc>
        <w:tc>
          <w:tcPr>
            <w:tcW w:w="1843" w:type="dxa"/>
          </w:tcPr>
          <w:p w:rsidR="00152CFC" w:rsidRPr="004C5425" w:rsidRDefault="00152CFC" w:rsidP="00393C2D">
            <w:pPr>
              <w:spacing w:line="276" w:lineRule="auto"/>
              <w:rPr>
                <w:sz w:val="18"/>
                <w:szCs w:val="18"/>
              </w:rPr>
            </w:pPr>
            <w:r>
              <w:rPr>
                <w:sz w:val="18"/>
                <w:szCs w:val="18"/>
              </w:rPr>
              <w:t>Post BD</w:t>
            </w:r>
            <w:r w:rsidRPr="004C5425">
              <w:rPr>
                <w:sz w:val="18"/>
                <w:szCs w:val="18"/>
              </w:rPr>
              <w:t xml:space="preserve"> </w:t>
            </w:r>
          </w:p>
        </w:tc>
        <w:tc>
          <w:tcPr>
            <w:tcW w:w="2409" w:type="dxa"/>
          </w:tcPr>
          <w:p w:rsidR="00152CFC" w:rsidRDefault="00152CFC" w:rsidP="00393C2D">
            <w:pPr>
              <w:spacing w:line="276" w:lineRule="auto"/>
              <w:rPr>
                <w:sz w:val="18"/>
                <w:szCs w:val="18"/>
              </w:rPr>
            </w:pPr>
            <w:r w:rsidRPr="004C5425">
              <w:rPr>
                <w:sz w:val="18"/>
                <w:szCs w:val="18"/>
              </w:rPr>
              <w:t>Self-reported</w:t>
            </w:r>
          </w:p>
          <w:p w:rsidR="00152CFC" w:rsidRPr="004C5425" w:rsidRDefault="00152CFC" w:rsidP="00152CFC">
            <w:pPr>
              <w:spacing w:line="276" w:lineRule="auto"/>
              <w:ind w:right="-392"/>
              <w:rPr>
                <w:sz w:val="18"/>
                <w:szCs w:val="18"/>
              </w:rPr>
            </w:pPr>
            <w:r>
              <w:rPr>
                <w:sz w:val="18"/>
                <w:szCs w:val="18"/>
              </w:rPr>
              <w:lastRenderedPageBreak/>
              <w:t>Exposure information</w:t>
            </w:r>
          </w:p>
        </w:tc>
      </w:tr>
      <w:tr w:rsidR="00152CFC" w:rsidRPr="004C5425" w:rsidTr="00152CFC">
        <w:tc>
          <w:tcPr>
            <w:tcW w:w="1526" w:type="dxa"/>
          </w:tcPr>
          <w:p w:rsidR="00152CFC" w:rsidRPr="004C5425" w:rsidRDefault="00152CFC" w:rsidP="00864026">
            <w:pPr>
              <w:spacing w:line="276" w:lineRule="auto"/>
              <w:rPr>
                <w:sz w:val="18"/>
                <w:szCs w:val="18"/>
              </w:rPr>
            </w:pPr>
            <w:r>
              <w:rPr>
                <w:sz w:val="18"/>
                <w:szCs w:val="18"/>
              </w:rPr>
              <w:lastRenderedPageBreak/>
              <w:t xml:space="preserve">Lam </w:t>
            </w:r>
            <w:r w:rsidRPr="004C5425">
              <w:rPr>
                <w:sz w:val="18"/>
                <w:szCs w:val="18"/>
              </w:rPr>
              <w:t>2012</w:t>
            </w:r>
          </w:p>
        </w:tc>
        <w:tc>
          <w:tcPr>
            <w:tcW w:w="3119" w:type="dxa"/>
          </w:tcPr>
          <w:p w:rsidR="00152CFC" w:rsidRDefault="00152CFC" w:rsidP="00864026">
            <w:pPr>
              <w:spacing w:line="276" w:lineRule="auto"/>
              <w:rPr>
                <w:sz w:val="18"/>
                <w:szCs w:val="18"/>
              </w:rPr>
            </w:pPr>
            <w:r>
              <w:rPr>
                <w:sz w:val="18"/>
                <w:szCs w:val="18"/>
              </w:rPr>
              <w:t xml:space="preserve">OR - </w:t>
            </w:r>
          </w:p>
          <w:p w:rsidR="00152CFC" w:rsidRPr="004C5425" w:rsidRDefault="00152CFC" w:rsidP="00864026">
            <w:pPr>
              <w:spacing w:line="276" w:lineRule="auto"/>
              <w:rPr>
                <w:sz w:val="18"/>
                <w:szCs w:val="18"/>
              </w:rPr>
            </w:pPr>
            <w:r w:rsidRPr="004C5425">
              <w:rPr>
                <w:sz w:val="18"/>
                <w:szCs w:val="18"/>
              </w:rPr>
              <w:t>10.4%</w:t>
            </w:r>
            <w:r>
              <w:rPr>
                <w:sz w:val="18"/>
                <w:szCs w:val="18"/>
              </w:rPr>
              <w:t xml:space="preserve">, </w:t>
            </w:r>
            <w:proofErr w:type="spellStart"/>
            <w:r>
              <w:rPr>
                <w:sz w:val="18"/>
                <w:szCs w:val="18"/>
              </w:rPr>
              <w:t>NS</w:t>
            </w:r>
            <w:r w:rsidRPr="00864026">
              <w:rPr>
                <w:sz w:val="18"/>
                <w:szCs w:val="18"/>
                <w:vertAlign w:val="superscript"/>
              </w:rPr>
              <w:t>l</w:t>
            </w:r>
            <w:proofErr w:type="spellEnd"/>
          </w:p>
        </w:tc>
        <w:tc>
          <w:tcPr>
            <w:tcW w:w="3827" w:type="dxa"/>
          </w:tcPr>
          <w:p w:rsidR="00152CFC" w:rsidRPr="004C5425" w:rsidRDefault="00152CFC" w:rsidP="00864026">
            <w:pPr>
              <w:spacing w:line="276" w:lineRule="auto"/>
              <w:rPr>
                <w:sz w:val="18"/>
                <w:szCs w:val="18"/>
              </w:rPr>
            </w:pPr>
            <w:r w:rsidRPr="004C5425">
              <w:rPr>
                <w:sz w:val="18"/>
                <w:szCs w:val="18"/>
              </w:rPr>
              <w:t>396 cases</w:t>
            </w:r>
            <w:r>
              <w:rPr>
                <w:sz w:val="18"/>
                <w:szCs w:val="18"/>
              </w:rPr>
              <w:t xml:space="preserve">, </w:t>
            </w:r>
            <w:r w:rsidRPr="004C5425">
              <w:rPr>
                <w:sz w:val="18"/>
                <w:szCs w:val="18"/>
              </w:rPr>
              <w:t>6819 non cases</w:t>
            </w:r>
          </w:p>
        </w:tc>
        <w:tc>
          <w:tcPr>
            <w:tcW w:w="1843" w:type="dxa"/>
          </w:tcPr>
          <w:p w:rsidR="00152CFC" w:rsidRPr="004C5425" w:rsidRDefault="00152CFC" w:rsidP="00393C2D">
            <w:pPr>
              <w:spacing w:line="276" w:lineRule="auto"/>
              <w:rPr>
                <w:sz w:val="18"/>
                <w:szCs w:val="18"/>
              </w:rPr>
            </w:pPr>
            <w:r>
              <w:rPr>
                <w:sz w:val="18"/>
                <w:szCs w:val="18"/>
              </w:rPr>
              <w:t>Pre BD</w:t>
            </w:r>
          </w:p>
        </w:tc>
        <w:tc>
          <w:tcPr>
            <w:tcW w:w="2409" w:type="dxa"/>
          </w:tcPr>
          <w:p w:rsidR="00152CFC" w:rsidRPr="004C5425" w:rsidRDefault="00152CFC" w:rsidP="00864026">
            <w:pPr>
              <w:spacing w:line="276" w:lineRule="auto"/>
              <w:rPr>
                <w:sz w:val="18"/>
                <w:szCs w:val="18"/>
              </w:rPr>
            </w:pPr>
            <w:r w:rsidRPr="004C5425">
              <w:rPr>
                <w:sz w:val="18"/>
                <w:szCs w:val="18"/>
              </w:rPr>
              <w:t>Self-reported</w:t>
            </w:r>
          </w:p>
        </w:tc>
      </w:tr>
      <w:tr w:rsidR="00152CFC" w:rsidRPr="004C5425" w:rsidTr="00152CFC">
        <w:tc>
          <w:tcPr>
            <w:tcW w:w="1526" w:type="dxa"/>
          </w:tcPr>
          <w:p w:rsidR="00152CFC" w:rsidRPr="004C5425" w:rsidRDefault="00152CFC" w:rsidP="003D49A0">
            <w:pPr>
              <w:spacing w:line="276" w:lineRule="auto"/>
              <w:rPr>
                <w:sz w:val="18"/>
                <w:szCs w:val="18"/>
              </w:rPr>
            </w:pPr>
            <w:r w:rsidRPr="004C5425">
              <w:rPr>
                <w:sz w:val="18"/>
                <w:szCs w:val="18"/>
              </w:rPr>
              <w:t>Darby</w:t>
            </w:r>
            <w:r>
              <w:rPr>
                <w:sz w:val="18"/>
                <w:szCs w:val="18"/>
              </w:rPr>
              <w:t xml:space="preserve"> 2012</w:t>
            </w:r>
          </w:p>
        </w:tc>
        <w:tc>
          <w:tcPr>
            <w:tcW w:w="3119" w:type="dxa"/>
          </w:tcPr>
          <w:p w:rsidR="00406403" w:rsidRDefault="00406403" w:rsidP="00EA553B">
            <w:pPr>
              <w:spacing w:line="276" w:lineRule="auto"/>
              <w:rPr>
                <w:sz w:val="18"/>
                <w:szCs w:val="18"/>
              </w:rPr>
            </w:pPr>
            <w:r>
              <w:rPr>
                <w:sz w:val="18"/>
                <w:szCs w:val="18"/>
              </w:rPr>
              <w:t xml:space="preserve">OR </w:t>
            </w:r>
            <w:r w:rsidRPr="00406403">
              <w:rPr>
                <w:sz w:val="18"/>
                <w:szCs w:val="18"/>
              </w:rPr>
              <w:t>3.9</w:t>
            </w:r>
            <w:r>
              <w:rPr>
                <w:sz w:val="18"/>
                <w:szCs w:val="18"/>
              </w:rPr>
              <w:t xml:space="preserve"> (</w:t>
            </w:r>
            <w:r w:rsidRPr="00406403">
              <w:rPr>
                <w:sz w:val="18"/>
                <w:szCs w:val="18"/>
              </w:rPr>
              <w:t>2.7</w:t>
            </w:r>
            <w:r>
              <w:rPr>
                <w:sz w:val="18"/>
                <w:szCs w:val="18"/>
              </w:rPr>
              <w:t>-</w:t>
            </w:r>
            <w:r w:rsidRPr="00406403">
              <w:rPr>
                <w:sz w:val="18"/>
                <w:szCs w:val="18"/>
              </w:rPr>
              <w:t>5.8</w:t>
            </w:r>
            <w:r>
              <w:rPr>
                <w:sz w:val="18"/>
                <w:szCs w:val="18"/>
              </w:rPr>
              <w:t>)</w:t>
            </w:r>
          </w:p>
          <w:p w:rsidR="00152CFC" w:rsidRPr="004C5425" w:rsidRDefault="00152CFC" w:rsidP="00EA553B">
            <w:pPr>
              <w:spacing w:line="276" w:lineRule="auto"/>
              <w:rPr>
                <w:sz w:val="18"/>
                <w:szCs w:val="18"/>
              </w:rPr>
            </w:pPr>
            <w:r w:rsidRPr="004C5425">
              <w:rPr>
                <w:sz w:val="18"/>
                <w:szCs w:val="18"/>
              </w:rPr>
              <w:t>58.7%</w:t>
            </w:r>
            <w:r w:rsidR="0042093C">
              <w:rPr>
                <w:sz w:val="18"/>
                <w:szCs w:val="18"/>
              </w:rPr>
              <w:t xml:space="preserve"> (</w:t>
            </w:r>
            <w:r w:rsidR="0042093C" w:rsidRPr="0042093C">
              <w:rPr>
                <w:sz w:val="18"/>
                <w:szCs w:val="18"/>
              </w:rPr>
              <w:t>45.6% to 68.7</w:t>
            </w:r>
            <w:r w:rsidR="0042093C">
              <w:rPr>
                <w:sz w:val="18"/>
                <w:szCs w:val="18"/>
              </w:rPr>
              <w:t>)</w:t>
            </w:r>
            <w:r>
              <w:rPr>
                <w:sz w:val="18"/>
                <w:szCs w:val="18"/>
              </w:rPr>
              <w:t xml:space="preserve">, </w:t>
            </w:r>
            <w:proofErr w:type="spellStart"/>
            <w:r w:rsidRPr="004C5425">
              <w:rPr>
                <w:sz w:val="18"/>
                <w:szCs w:val="18"/>
              </w:rPr>
              <w:t>SIG</w:t>
            </w:r>
            <w:r w:rsidRPr="00EA553B">
              <w:rPr>
                <w:sz w:val="18"/>
                <w:szCs w:val="18"/>
                <w:vertAlign w:val="superscript"/>
              </w:rPr>
              <w:t>m</w:t>
            </w:r>
            <w:proofErr w:type="spellEnd"/>
          </w:p>
        </w:tc>
        <w:tc>
          <w:tcPr>
            <w:tcW w:w="3827" w:type="dxa"/>
          </w:tcPr>
          <w:p w:rsidR="00152CFC" w:rsidRPr="004C5425" w:rsidRDefault="00406403" w:rsidP="00EA553B">
            <w:pPr>
              <w:spacing w:line="276" w:lineRule="auto"/>
              <w:rPr>
                <w:sz w:val="18"/>
                <w:szCs w:val="18"/>
              </w:rPr>
            </w:pPr>
            <w:r w:rsidRPr="00406403">
              <w:rPr>
                <w:sz w:val="18"/>
                <w:szCs w:val="18"/>
              </w:rPr>
              <w:t>216 cases, 1754 participants</w:t>
            </w:r>
          </w:p>
        </w:tc>
        <w:tc>
          <w:tcPr>
            <w:tcW w:w="1843" w:type="dxa"/>
          </w:tcPr>
          <w:p w:rsidR="00152CFC" w:rsidRPr="004C5425" w:rsidRDefault="00152CFC" w:rsidP="00393C2D">
            <w:pPr>
              <w:spacing w:line="276" w:lineRule="auto"/>
              <w:rPr>
                <w:sz w:val="18"/>
                <w:szCs w:val="18"/>
              </w:rPr>
            </w:pPr>
            <w:r>
              <w:rPr>
                <w:sz w:val="18"/>
                <w:szCs w:val="18"/>
              </w:rPr>
              <w:t>Pre BD</w:t>
            </w:r>
          </w:p>
        </w:tc>
        <w:tc>
          <w:tcPr>
            <w:tcW w:w="2409" w:type="dxa"/>
          </w:tcPr>
          <w:p w:rsidR="00152CFC" w:rsidRPr="004C5425" w:rsidRDefault="00152CFC" w:rsidP="003D49A0">
            <w:pPr>
              <w:spacing w:line="276" w:lineRule="auto"/>
              <w:rPr>
                <w:sz w:val="18"/>
                <w:szCs w:val="18"/>
              </w:rPr>
            </w:pPr>
            <w:r w:rsidRPr="004C5425">
              <w:rPr>
                <w:sz w:val="18"/>
                <w:szCs w:val="18"/>
              </w:rPr>
              <w:t>Self-reported</w:t>
            </w:r>
          </w:p>
        </w:tc>
      </w:tr>
      <w:tr w:rsidR="00152CFC" w:rsidRPr="004C5425" w:rsidTr="00152CFC">
        <w:tc>
          <w:tcPr>
            <w:tcW w:w="1526" w:type="dxa"/>
          </w:tcPr>
          <w:p w:rsidR="00152CFC" w:rsidRPr="004C5425" w:rsidRDefault="00152CFC" w:rsidP="00FD53BD">
            <w:pPr>
              <w:spacing w:line="276" w:lineRule="auto"/>
              <w:rPr>
                <w:sz w:val="18"/>
                <w:szCs w:val="18"/>
              </w:rPr>
            </w:pPr>
            <w:proofErr w:type="spellStart"/>
            <w:r>
              <w:rPr>
                <w:sz w:val="18"/>
                <w:szCs w:val="18"/>
              </w:rPr>
              <w:t>Govender</w:t>
            </w:r>
            <w:proofErr w:type="spellEnd"/>
            <w:r>
              <w:rPr>
                <w:sz w:val="18"/>
                <w:szCs w:val="18"/>
              </w:rPr>
              <w:t xml:space="preserve"> </w:t>
            </w:r>
            <w:r w:rsidRPr="004C5425">
              <w:rPr>
                <w:sz w:val="18"/>
                <w:szCs w:val="18"/>
              </w:rPr>
              <w:t>2011</w:t>
            </w:r>
          </w:p>
        </w:tc>
        <w:tc>
          <w:tcPr>
            <w:tcW w:w="3119" w:type="dxa"/>
          </w:tcPr>
          <w:p w:rsidR="00152CFC" w:rsidRDefault="00152CFC" w:rsidP="00FD53BD">
            <w:pPr>
              <w:spacing w:line="276" w:lineRule="auto"/>
              <w:rPr>
                <w:sz w:val="18"/>
                <w:szCs w:val="18"/>
              </w:rPr>
            </w:pPr>
            <w:r>
              <w:rPr>
                <w:sz w:val="18"/>
                <w:szCs w:val="18"/>
              </w:rPr>
              <w:t xml:space="preserve">OR </w:t>
            </w:r>
            <w:r w:rsidRPr="004C5425">
              <w:rPr>
                <w:sz w:val="18"/>
                <w:szCs w:val="18"/>
              </w:rPr>
              <w:t>5.9 (2.6 to 13.2)</w:t>
            </w:r>
          </w:p>
          <w:p w:rsidR="00152CFC" w:rsidRPr="004C5425" w:rsidRDefault="00152CFC" w:rsidP="00FD53BD">
            <w:pPr>
              <w:spacing w:line="276" w:lineRule="auto"/>
              <w:rPr>
                <w:sz w:val="18"/>
                <w:szCs w:val="18"/>
              </w:rPr>
            </w:pPr>
            <w:r w:rsidRPr="004C5425">
              <w:rPr>
                <w:sz w:val="18"/>
                <w:szCs w:val="18"/>
              </w:rPr>
              <w:t>25%</w:t>
            </w:r>
            <w:r>
              <w:rPr>
                <w:sz w:val="18"/>
                <w:szCs w:val="18"/>
              </w:rPr>
              <w:t xml:space="preserve">, </w:t>
            </w:r>
            <w:r w:rsidRPr="004C5425">
              <w:rPr>
                <w:sz w:val="18"/>
                <w:szCs w:val="18"/>
              </w:rPr>
              <w:t>SIG</w:t>
            </w:r>
          </w:p>
        </w:tc>
        <w:tc>
          <w:tcPr>
            <w:tcW w:w="3827" w:type="dxa"/>
          </w:tcPr>
          <w:p w:rsidR="00152CFC" w:rsidRPr="004C5425" w:rsidRDefault="00152CFC" w:rsidP="00FD53BD">
            <w:pPr>
              <w:spacing w:line="276" w:lineRule="auto"/>
              <w:rPr>
                <w:sz w:val="18"/>
                <w:szCs w:val="18"/>
              </w:rPr>
            </w:pPr>
            <w:r w:rsidRPr="004C5425">
              <w:rPr>
                <w:sz w:val="18"/>
                <w:szCs w:val="18"/>
              </w:rPr>
              <w:t>110 cases</w:t>
            </w:r>
            <w:r>
              <w:rPr>
                <w:sz w:val="18"/>
                <w:szCs w:val="18"/>
              </w:rPr>
              <w:t xml:space="preserve">, </w:t>
            </w:r>
            <w:r w:rsidRPr="004C5425">
              <w:rPr>
                <w:sz w:val="18"/>
                <w:szCs w:val="18"/>
              </w:rPr>
              <w:t>102 non cases</w:t>
            </w:r>
          </w:p>
        </w:tc>
        <w:tc>
          <w:tcPr>
            <w:tcW w:w="1843" w:type="dxa"/>
          </w:tcPr>
          <w:p w:rsidR="00152CFC" w:rsidRPr="004C5425" w:rsidRDefault="00152CFC" w:rsidP="00393C2D">
            <w:pPr>
              <w:spacing w:line="276" w:lineRule="auto"/>
              <w:rPr>
                <w:sz w:val="18"/>
                <w:szCs w:val="18"/>
              </w:rPr>
            </w:pPr>
            <w:r>
              <w:rPr>
                <w:sz w:val="18"/>
                <w:szCs w:val="18"/>
              </w:rPr>
              <w:t>Doctor diagnosed</w:t>
            </w:r>
          </w:p>
        </w:tc>
        <w:tc>
          <w:tcPr>
            <w:tcW w:w="2409" w:type="dxa"/>
          </w:tcPr>
          <w:p w:rsidR="00152CFC" w:rsidRPr="004C5425" w:rsidRDefault="00152CFC" w:rsidP="00393C2D">
            <w:pPr>
              <w:spacing w:line="276" w:lineRule="auto"/>
              <w:rPr>
                <w:sz w:val="18"/>
                <w:szCs w:val="18"/>
              </w:rPr>
            </w:pPr>
            <w:r w:rsidRPr="004C5425">
              <w:rPr>
                <w:sz w:val="18"/>
                <w:szCs w:val="18"/>
              </w:rPr>
              <w:t>JEM</w:t>
            </w:r>
          </w:p>
        </w:tc>
      </w:tr>
      <w:tr w:rsidR="00152CFC" w:rsidRPr="004C5425" w:rsidTr="00152CFC">
        <w:tc>
          <w:tcPr>
            <w:tcW w:w="1526" w:type="dxa"/>
          </w:tcPr>
          <w:p w:rsidR="00152CFC" w:rsidRPr="004C5425" w:rsidRDefault="00152CFC" w:rsidP="00FD53BD">
            <w:pPr>
              <w:spacing w:line="276" w:lineRule="auto"/>
              <w:rPr>
                <w:color w:val="984806" w:themeColor="accent6" w:themeShade="80"/>
                <w:sz w:val="18"/>
                <w:szCs w:val="18"/>
              </w:rPr>
            </w:pPr>
            <w:proofErr w:type="spellStart"/>
            <w:r>
              <w:rPr>
                <w:sz w:val="18"/>
                <w:szCs w:val="18"/>
              </w:rPr>
              <w:t>Idolor</w:t>
            </w:r>
            <w:proofErr w:type="spellEnd"/>
            <w:r>
              <w:rPr>
                <w:sz w:val="18"/>
                <w:szCs w:val="18"/>
              </w:rPr>
              <w:t xml:space="preserve"> </w:t>
            </w:r>
            <w:r w:rsidRPr="004C5425">
              <w:rPr>
                <w:sz w:val="18"/>
                <w:szCs w:val="18"/>
              </w:rPr>
              <w:t>2011</w:t>
            </w:r>
          </w:p>
        </w:tc>
        <w:tc>
          <w:tcPr>
            <w:tcW w:w="3119" w:type="dxa"/>
          </w:tcPr>
          <w:p w:rsidR="00152CFC" w:rsidRDefault="00152CFC" w:rsidP="00FD53BD">
            <w:pPr>
              <w:spacing w:line="276" w:lineRule="auto"/>
              <w:rPr>
                <w:sz w:val="18"/>
                <w:szCs w:val="18"/>
              </w:rPr>
            </w:pPr>
            <w:r>
              <w:rPr>
                <w:sz w:val="18"/>
                <w:szCs w:val="18"/>
              </w:rPr>
              <w:t xml:space="preserve">OR </w:t>
            </w:r>
            <w:r w:rsidRPr="004C5425">
              <w:rPr>
                <w:sz w:val="18"/>
                <w:szCs w:val="18"/>
              </w:rPr>
              <w:t>1.16 (0.79-1.69)</w:t>
            </w:r>
          </w:p>
          <w:p w:rsidR="00152CFC" w:rsidRPr="004C5425" w:rsidRDefault="00152CFC" w:rsidP="00FD53BD">
            <w:pPr>
              <w:spacing w:line="276" w:lineRule="auto"/>
              <w:rPr>
                <w:color w:val="984806" w:themeColor="accent6" w:themeShade="80"/>
                <w:sz w:val="18"/>
                <w:szCs w:val="18"/>
              </w:rPr>
            </w:pPr>
            <w:r w:rsidRPr="004C5425">
              <w:rPr>
                <w:sz w:val="18"/>
                <w:szCs w:val="18"/>
              </w:rPr>
              <w:t>5.3%</w:t>
            </w:r>
            <w:r>
              <w:rPr>
                <w:sz w:val="18"/>
                <w:szCs w:val="18"/>
              </w:rPr>
              <w:t xml:space="preserve">, </w:t>
            </w:r>
            <w:proofErr w:type="spellStart"/>
            <w:r>
              <w:rPr>
                <w:sz w:val="18"/>
                <w:szCs w:val="18"/>
              </w:rPr>
              <w:t>NS</w:t>
            </w:r>
            <w:r w:rsidRPr="00FD53BD">
              <w:rPr>
                <w:sz w:val="18"/>
                <w:szCs w:val="18"/>
                <w:vertAlign w:val="superscript"/>
              </w:rPr>
              <w:t>n</w:t>
            </w:r>
            <w:proofErr w:type="spellEnd"/>
          </w:p>
        </w:tc>
        <w:tc>
          <w:tcPr>
            <w:tcW w:w="3827" w:type="dxa"/>
          </w:tcPr>
          <w:p w:rsidR="00152CFC" w:rsidRPr="004C5425" w:rsidRDefault="00152CFC" w:rsidP="00FD53BD">
            <w:pPr>
              <w:pStyle w:val="paragraph"/>
              <w:spacing w:before="0" w:after="0"/>
              <w:textAlignment w:val="baseline"/>
              <w:divId w:val="1313754619"/>
              <w:rPr>
                <w:color w:val="984806" w:themeColor="accent6" w:themeShade="80"/>
                <w:sz w:val="18"/>
                <w:szCs w:val="18"/>
              </w:rPr>
            </w:pPr>
            <w:r>
              <w:rPr>
                <w:rStyle w:val="normaltextrun"/>
                <w:rFonts w:asciiTheme="minorHAnsi" w:hAnsiTheme="minorHAnsi" w:cs="Segoe UI"/>
                <w:sz w:val="18"/>
                <w:szCs w:val="18"/>
              </w:rPr>
              <w:t>141 cases, 518 non cases</w:t>
            </w:r>
          </w:p>
        </w:tc>
        <w:tc>
          <w:tcPr>
            <w:tcW w:w="1843" w:type="dxa"/>
          </w:tcPr>
          <w:p w:rsidR="00152CFC" w:rsidRPr="004C5425" w:rsidRDefault="00152CFC" w:rsidP="00393C2D">
            <w:pPr>
              <w:spacing w:line="276" w:lineRule="auto"/>
              <w:rPr>
                <w:color w:val="984806" w:themeColor="accent6" w:themeShade="80"/>
                <w:sz w:val="18"/>
                <w:szCs w:val="18"/>
              </w:rPr>
            </w:pPr>
            <w:r>
              <w:rPr>
                <w:rStyle w:val="normaltextrun"/>
                <w:rFonts w:cs="Segoe UI"/>
                <w:sz w:val="18"/>
                <w:szCs w:val="18"/>
                <w:lang w:val="en-US"/>
              </w:rPr>
              <w:t>Post BD</w:t>
            </w:r>
            <w:r w:rsidRPr="004C5425">
              <w:rPr>
                <w:rStyle w:val="eop"/>
                <w:rFonts w:cs="Segoe UI"/>
                <w:sz w:val="18"/>
                <w:szCs w:val="18"/>
              </w:rPr>
              <w:t> </w:t>
            </w:r>
          </w:p>
        </w:tc>
        <w:tc>
          <w:tcPr>
            <w:tcW w:w="2409" w:type="dxa"/>
          </w:tcPr>
          <w:p w:rsidR="00152CFC" w:rsidRPr="004C5425" w:rsidRDefault="00152CFC" w:rsidP="00FD53BD">
            <w:pPr>
              <w:pStyle w:val="paragraph"/>
              <w:spacing w:before="0" w:after="0"/>
              <w:textAlignment w:val="baseline"/>
              <w:divId w:val="1927693611"/>
              <w:rPr>
                <w:color w:val="984806" w:themeColor="accent6" w:themeShade="80"/>
                <w:sz w:val="18"/>
                <w:szCs w:val="18"/>
              </w:rPr>
            </w:pPr>
            <w:r w:rsidRPr="004C5425">
              <w:rPr>
                <w:rStyle w:val="normaltextrun"/>
                <w:rFonts w:asciiTheme="minorHAnsi" w:hAnsiTheme="minorHAnsi" w:cs="Segoe UI"/>
                <w:sz w:val="18"/>
                <w:szCs w:val="18"/>
                <w:lang w:val="en-US"/>
              </w:rPr>
              <w:t>Self-</w:t>
            </w:r>
            <w:r>
              <w:rPr>
                <w:rStyle w:val="normaltextrun"/>
                <w:rFonts w:asciiTheme="minorHAnsi" w:hAnsiTheme="minorHAnsi" w:cs="Segoe UI"/>
                <w:sz w:val="18"/>
                <w:szCs w:val="18"/>
                <w:lang w:val="en-US"/>
              </w:rPr>
              <w:t>reported</w:t>
            </w:r>
          </w:p>
        </w:tc>
      </w:tr>
      <w:tr w:rsidR="00152CFC" w:rsidRPr="004C5425" w:rsidTr="00152CFC">
        <w:tc>
          <w:tcPr>
            <w:tcW w:w="1526" w:type="dxa"/>
          </w:tcPr>
          <w:p w:rsidR="00152CFC" w:rsidRPr="004C5425" w:rsidRDefault="00152CFC" w:rsidP="00012A61">
            <w:pPr>
              <w:spacing w:line="276" w:lineRule="auto"/>
              <w:rPr>
                <w:sz w:val="18"/>
                <w:szCs w:val="18"/>
              </w:rPr>
            </w:pPr>
            <w:r w:rsidRPr="004C5425">
              <w:rPr>
                <w:sz w:val="18"/>
                <w:szCs w:val="18"/>
              </w:rPr>
              <w:t>Melville 2010</w:t>
            </w:r>
          </w:p>
        </w:tc>
        <w:tc>
          <w:tcPr>
            <w:tcW w:w="3119" w:type="dxa"/>
          </w:tcPr>
          <w:p w:rsidR="00152CFC" w:rsidRPr="004C5425" w:rsidRDefault="00152CFC" w:rsidP="00012A61">
            <w:pPr>
              <w:spacing w:line="276" w:lineRule="auto"/>
              <w:rPr>
                <w:sz w:val="18"/>
                <w:szCs w:val="18"/>
              </w:rPr>
            </w:pPr>
            <w:r w:rsidRPr="004C5425">
              <w:rPr>
                <w:sz w:val="18"/>
                <w:szCs w:val="18"/>
              </w:rPr>
              <w:t>39.6%</w:t>
            </w:r>
            <w:r w:rsidRPr="00012A61">
              <w:rPr>
                <w:sz w:val="18"/>
                <w:szCs w:val="18"/>
                <w:vertAlign w:val="superscript"/>
              </w:rPr>
              <w:t>o</w:t>
            </w:r>
          </w:p>
        </w:tc>
        <w:tc>
          <w:tcPr>
            <w:tcW w:w="3827" w:type="dxa"/>
          </w:tcPr>
          <w:p w:rsidR="00152CFC" w:rsidRPr="004C5425" w:rsidRDefault="00152CFC" w:rsidP="00012A61">
            <w:pPr>
              <w:rPr>
                <w:rFonts w:cs="Segoe UI"/>
                <w:sz w:val="12"/>
                <w:szCs w:val="12"/>
              </w:rPr>
            </w:pPr>
            <w:r w:rsidRPr="004C5425">
              <w:rPr>
                <w:sz w:val="18"/>
                <w:szCs w:val="18"/>
              </w:rPr>
              <w:t>15% of males and 7% of females (10% overall)</w:t>
            </w:r>
            <w:r>
              <w:rPr>
                <w:sz w:val="18"/>
                <w:szCs w:val="18"/>
              </w:rPr>
              <w:t xml:space="preserve"> were cases, </w:t>
            </w:r>
            <w:r w:rsidRPr="004C5425">
              <w:rPr>
                <w:sz w:val="18"/>
                <w:szCs w:val="18"/>
              </w:rPr>
              <w:t>845</w:t>
            </w:r>
            <w:r>
              <w:rPr>
                <w:sz w:val="18"/>
                <w:szCs w:val="18"/>
              </w:rPr>
              <w:t xml:space="preserve"> participants </w:t>
            </w:r>
          </w:p>
        </w:tc>
        <w:tc>
          <w:tcPr>
            <w:tcW w:w="1843" w:type="dxa"/>
          </w:tcPr>
          <w:p w:rsidR="00152CFC" w:rsidRPr="004C5425" w:rsidRDefault="00152CFC" w:rsidP="00D501C2">
            <w:pPr>
              <w:rPr>
                <w:rFonts w:cs="Segoe UI"/>
                <w:sz w:val="12"/>
                <w:szCs w:val="12"/>
              </w:rPr>
            </w:pPr>
            <w:r>
              <w:rPr>
                <w:sz w:val="18"/>
                <w:szCs w:val="18"/>
              </w:rPr>
              <w:t>Post BD</w:t>
            </w:r>
          </w:p>
        </w:tc>
        <w:tc>
          <w:tcPr>
            <w:tcW w:w="2409" w:type="dxa"/>
          </w:tcPr>
          <w:p w:rsidR="00152CFC" w:rsidRPr="004C5425" w:rsidRDefault="00152CFC">
            <w:pPr>
              <w:pStyle w:val="paragraph"/>
              <w:spacing w:before="0" w:after="0"/>
              <w:textAlignment w:val="baseline"/>
              <w:divId w:val="1687901882"/>
              <w:rPr>
                <w:rFonts w:asciiTheme="minorHAnsi" w:hAnsiTheme="minorHAnsi" w:cs="Segoe UI"/>
                <w:sz w:val="12"/>
                <w:szCs w:val="12"/>
              </w:rPr>
            </w:pPr>
            <w:r w:rsidRPr="004C5425">
              <w:rPr>
                <w:rStyle w:val="normaltextrun"/>
                <w:rFonts w:asciiTheme="minorHAnsi" w:hAnsiTheme="minorHAnsi" w:cs="Segoe UI"/>
                <w:sz w:val="18"/>
                <w:szCs w:val="18"/>
                <w:lang w:val="en-US"/>
              </w:rPr>
              <w:t>Self-</w:t>
            </w:r>
            <w:r>
              <w:rPr>
                <w:rStyle w:val="normaltextrun"/>
                <w:rFonts w:asciiTheme="minorHAnsi" w:hAnsiTheme="minorHAnsi" w:cs="Segoe UI"/>
                <w:sz w:val="18"/>
                <w:szCs w:val="18"/>
                <w:lang w:val="en-US"/>
              </w:rPr>
              <w:t>reported</w:t>
            </w:r>
          </w:p>
        </w:tc>
      </w:tr>
      <w:tr w:rsidR="00152CFC" w:rsidRPr="004C5425" w:rsidTr="00152CFC">
        <w:tc>
          <w:tcPr>
            <w:tcW w:w="1526" w:type="dxa"/>
          </w:tcPr>
          <w:p w:rsidR="00152CFC" w:rsidRPr="004C5425" w:rsidRDefault="00152CFC" w:rsidP="00393C2D">
            <w:pPr>
              <w:spacing w:line="276" w:lineRule="auto"/>
              <w:rPr>
                <w:sz w:val="18"/>
                <w:szCs w:val="18"/>
              </w:rPr>
            </w:pPr>
            <w:r>
              <w:rPr>
                <w:sz w:val="18"/>
                <w:szCs w:val="18"/>
              </w:rPr>
              <w:t xml:space="preserve">Blanc </w:t>
            </w:r>
            <w:r w:rsidRPr="004C5425">
              <w:rPr>
                <w:sz w:val="18"/>
                <w:szCs w:val="18"/>
              </w:rPr>
              <w:t>2009</w:t>
            </w:r>
            <w:r w:rsidR="009513F5">
              <w:rPr>
                <w:sz w:val="18"/>
                <w:szCs w:val="18"/>
              </w:rPr>
              <w:t>a</w:t>
            </w:r>
          </w:p>
        </w:tc>
        <w:tc>
          <w:tcPr>
            <w:tcW w:w="3119" w:type="dxa"/>
          </w:tcPr>
          <w:p w:rsidR="00152CFC" w:rsidRDefault="00152CFC" w:rsidP="00012A61">
            <w:pPr>
              <w:spacing w:line="276" w:lineRule="auto"/>
              <w:rPr>
                <w:sz w:val="18"/>
                <w:szCs w:val="18"/>
              </w:rPr>
            </w:pPr>
            <w:r>
              <w:rPr>
                <w:sz w:val="18"/>
                <w:szCs w:val="18"/>
              </w:rPr>
              <w:t>OR 2.1 (</w:t>
            </w:r>
            <w:r w:rsidRPr="004C5425">
              <w:rPr>
                <w:sz w:val="18"/>
                <w:szCs w:val="18"/>
              </w:rPr>
              <w:t>1.</w:t>
            </w:r>
            <w:r>
              <w:rPr>
                <w:sz w:val="18"/>
                <w:szCs w:val="18"/>
              </w:rPr>
              <w:t>6-</w:t>
            </w:r>
            <w:r w:rsidRPr="004C5425">
              <w:rPr>
                <w:sz w:val="18"/>
                <w:szCs w:val="18"/>
              </w:rPr>
              <w:t>2.8</w:t>
            </w:r>
            <w:r>
              <w:rPr>
                <w:sz w:val="18"/>
                <w:szCs w:val="18"/>
              </w:rPr>
              <w:t>)</w:t>
            </w:r>
          </w:p>
          <w:p w:rsidR="00152CFC" w:rsidRPr="004C5425" w:rsidRDefault="00152CFC" w:rsidP="00012A61">
            <w:pPr>
              <w:spacing w:line="276" w:lineRule="auto"/>
              <w:rPr>
                <w:sz w:val="18"/>
                <w:szCs w:val="18"/>
              </w:rPr>
            </w:pPr>
            <w:r w:rsidRPr="004C5425">
              <w:rPr>
                <w:sz w:val="18"/>
                <w:szCs w:val="18"/>
              </w:rPr>
              <w:t>31.0%</w:t>
            </w:r>
            <w:r>
              <w:rPr>
                <w:sz w:val="18"/>
                <w:szCs w:val="18"/>
              </w:rPr>
              <w:t xml:space="preserve">, </w:t>
            </w:r>
            <w:r w:rsidRPr="004C5425">
              <w:rPr>
                <w:sz w:val="18"/>
                <w:szCs w:val="18"/>
              </w:rPr>
              <w:t>SIG</w:t>
            </w:r>
          </w:p>
        </w:tc>
        <w:tc>
          <w:tcPr>
            <w:tcW w:w="3827" w:type="dxa"/>
          </w:tcPr>
          <w:p w:rsidR="00152CFC" w:rsidRPr="004C5425" w:rsidRDefault="00152CFC" w:rsidP="00012A61">
            <w:pPr>
              <w:spacing w:line="276" w:lineRule="auto"/>
              <w:rPr>
                <w:sz w:val="18"/>
                <w:szCs w:val="18"/>
              </w:rPr>
            </w:pPr>
            <w:r w:rsidRPr="004C5425">
              <w:rPr>
                <w:sz w:val="18"/>
                <w:szCs w:val="18"/>
              </w:rPr>
              <w:t>742 cases</w:t>
            </w:r>
            <w:r>
              <w:rPr>
                <w:sz w:val="18"/>
                <w:szCs w:val="18"/>
              </w:rPr>
              <w:t xml:space="preserve">, </w:t>
            </w:r>
            <w:r w:rsidRPr="004C5425">
              <w:rPr>
                <w:sz w:val="18"/>
                <w:szCs w:val="18"/>
              </w:rPr>
              <w:t>302</w:t>
            </w:r>
            <w:r>
              <w:rPr>
                <w:sz w:val="18"/>
                <w:szCs w:val="18"/>
              </w:rPr>
              <w:t xml:space="preserve"> non cases</w:t>
            </w:r>
          </w:p>
        </w:tc>
        <w:tc>
          <w:tcPr>
            <w:tcW w:w="1843" w:type="dxa"/>
          </w:tcPr>
          <w:p w:rsidR="00152CFC" w:rsidRPr="004C5425" w:rsidRDefault="00152CFC" w:rsidP="00012A61">
            <w:pPr>
              <w:rPr>
                <w:sz w:val="18"/>
                <w:szCs w:val="18"/>
              </w:rPr>
            </w:pPr>
            <w:r>
              <w:rPr>
                <w:sz w:val="18"/>
                <w:szCs w:val="18"/>
              </w:rPr>
              <w:t>Pre BD</w:t>
            </w:r>
          </w:p>
        </w:tc>
        <w:tc>
          <w:tcPr>
            <w:tcW w:w="2409" w:type="dxa"/>
          </w:tcPr>
          <w:p w:rsidR="00152CFC" w:rsidRDefault="00152CFC" w:rsidP="00393C2D">
            <w:pPr>
              <w:spacing w:line="276" w:lineRule="auto"/>
              <w:rPr>
                <w:sz w:val="18"/>
                <w:szCs w:val="18"/>
              </w:rPr>
            </w:pPr>
            <w:r w:rsidRPr="004C5425">
              <w:rPr>
                <w:sz w:val="18"/>
                <w:szCs w:val="18"/>
              </w:rPr>
              <w:t>Self-reported</w:t>
            </w:r>
          </w:p>
          <w:p w:rsidR="00152CFC" w:rsidRPr="004C5425" w:rsidRDefault="00152CFC" w:rsidP="00012A61">
            <w:pPr>
              <w:spacing w:line="276" w:lineRule="auto"/>
              <w:rPr>
                <w:sz w:val="18"/>
                <w:szCs w:val="18"/>
              </w:rPr>
            </w:pPr>
            <w:r w:rsidRPr="004C5425">
              <w:rPr>
                <w:sz w:val="18"/>
                <w:szCs w:val="18"/>
              </w:rPr>
              <w:t>JEM</w:t>
            </w:r>
          </w:p>
        </w:tc>
      </w:tr>
      <w:tr w:rsidR="00152CFC" w:rsidRPr="004C5425" w:rsidTr="00152CFC">
        <w:tc>
          <w:tcPr>
            <w:tcW w:w="1526" w:type="dxa"/>
          </w:tcPr>
          <w:p w:rsidR="00152CFC" w:rsidRPr="004C5425" w:rsidRDefault="00152CFC" w:rsidP="00012A61">
            <w:pPr>
              <w:spacing w:line="276" w:lineRule="auto"/>
              <w:rPr>
                <w:sz w:val="18"/>
                <w:szCs w:val="18"/>
              </w:rPr>
            </w:pPr>
            <w:r>
              <w:rPr>
                <w:sz w:val="18"/>
                <w:szCs w:val="18"/>
              </w:rPr>
              <w:t xml:space="preserve">Blanc </w:t>
            </w:r>
            <w:r w:rsidRPr="004C5425">
              <w:rPr>
                <w:sz w:val="18"/>
                <w:szCs w:val="18"/>
              </w:rPr>
              <w:t>2009</w:t>
            </w:r>
          </w:p>
        </w:tc>
        <w:tc>
          <w:tcPr>
            <w:tcW w:w="3119" w:type="dxa"/>
          </w:tcPr>
          <w:p w:rsidR="00152CFC" w:rsidRDefault="00152CFC" w:rsidP="008C067B">
            <w:pPr>
              <w:spacing w:line="276" w:lineRule="auto"/>
              <w:rPr>
                <w:sz w:val="18"/>
                <w:szCs w:val="18"/>
              </w:rPr>
            </w:pPr>
            <w:r>
              <w:rPr>
                <w:sz w:val="18"/>
                <w:szCs w:val="18"/>
              </w:rPr>
              <w:t xml:space="preserve">OR </w:t>
            </w:r>
            <w:r w:rsidRPr="004C5425">
              <w:rPr>
                <w:sz w:val="18"/>
                <w:szCs w:val="18"/>
              </w:rPr>
              <w:t>2.5</w:t>
            </w:r>
            <w:r>
              <w:rPr>
                <w:sz w:val="18"/>
                <w:szCs w:val="18"/>
              </w:rPr>
              <w:t>, (</w:t>
            </w:r>
            <w:r w:rsidRPr="004C5425">
              <w:rPr>
                <w:sz w:val="18"/>
                <w:szCs w:val="18"/>
              </w:rPr>
              <w:t>1.9 to 3.4</w:t>
            </w:r>
            <w:r>
              <w:rPr>
                <w:sz w:val="18"/>
                <w:szCs w:val="18"/>
              </w:rPr>
              <w:t>)</w:t>
            </w:r>
          </w:p>
          <w:p w:rsidR="00152CFC" w:rsidRPr="004C5425" w:rsidRDefault="00152CFC" w:rsidP="00134CF0">
            <w:pPr>
              <w:spacing w:line="276" w:lineRule="auto"/>
              <w:rPr>
                <w:sz w:val="18"/>
                <w:szCs w:val="18"/>
              </w:rPr>
            </w:pPr>
            <w:r w:rsidRPr="004C5425">
              <w:rPr>
                <w:sz w:val="18"/>
                <w:szCs w:val="18"/>
              </w:rPr>
              <w:t>32.0%</w:t>
            </w:r>
            <w:r>
              <w:rPr>
                <w:sz w:val="18"/>
                <w:szCs w:val="18"/>
              </w:rPr>
              <w:t xml:space="preserve">, </w:t>
            </w:r>
            <w:r w:rsidRPr="004C5425">
              <w:rPr>
                <w:sz w:val="18"/>
                <w:szCs w:val="18"/>
              </w:rPr>
              <w:t>SIG</w:t>
            </w:r>
          </w:p>
        </w:tc>
        <w:tc>
          <w:tcPr>
            <w:tcW w:w="3827" w:type="dxa"/>
          </w:tcPr>
          <w:p w:rsidR="00152CFC" w:rsidRPr="004C5425" w:rsidRDefault="00152CFC" w:rsidP="009513F5">
            <w:pPr>
              <w:rPr>
                <w:sz w:val="18"/>
                <w:szCs w:val="18"/>
              </w:rPr>
            </w:pPr>
            <w:r w:rsidRPr="009513F5">
              <w:rPr>
                <w:sz w:val="18"/>
                <w:szCs w:val="18"/>
              </w:rPr>
              <w:t>233</w:t>
            </w:r>
            <w:r w:rsidR="009513F5" w:rsidRPr="009513F5">
              <w:rPr>
                <w:sz w:val="18"/>
                <w:szCs w:val="18"/>
              </w:rPr>
              <w:t xml:space="preserve"> cases, </w:t>
            </w:r>
            <w:r w:rsidRPr="009513F5">
              <w:rPr>
                <w:sz w:val="18"/>
                <w:szCs w:val="18"/>
              </w:rPr>
              <w:t>1709</w:t>
            </w:r>
            <w:r w:rsidR="009513F5" w:rsidRPr="009513F5">
              <w:rPr>
                <w:sz w:val="18"/>
                <w:szCs w:val="18"/>
              </w:rPr>
              <w:t xml:space="preserve"> non cases</w:t>
            </w:r>
            <w:r w:rsidRPr="009513F5">
              <w:rPr>
                <w:sz w:val="18"/>
                <w:szCs w:val="18"/>
              </w:rPr>
              <w:t xml:space="preserve"> </w:t>
            </w:r>
          </w:p>
        </w:tc>
        <w:tc>
          <w:tcPr>
            <w:tcW w:w="1843" w:type="dxa"/>
          </w:tcPr>
          <w:p w:rsidR="00152CFC" w:rsidRPr="004C5425" w:rsidRDefault="00152CFC" w:rsidP="00134CF0">
            <w:pPr>
              <w:rPr>
                <w:sz w:val="18"/>
                <w:szCs w:val="18"/>
              </w:rPr>
            </w:pPr>
            <w:r w:rsidRPr="004C5425">
              <w:rPr>
                <w:sz w:val="18"/>
                <w:szCs w:val="18"/>
              </w:rPr>
              <w:t xml:space="preserve">Self-reported </w:t>
            </w:r>
          </w:p>
        </w:tc>
        <w:tc>
          <w:tcPr>
            <w:tcW w:w="2409" w:type="dxa"/>
          </w:tcPr>
          <w:p w:rsidR="00152CFC" w:rsidRDefault="00152CFC" w:rsidP="00152CFC">
            <w:pPr>
              <w:rPr>
                <w:sz w:val="18"/>
                <w:szCs w:val="18"/>
              </w:rPr>
            </w:pPr>
            <w:r w:rsidRPr="004C5425">
              <w:rPr>
                <w:sz w:val="18"/>
                <w:szCs w:val="18"/>
              </w:rPr>
              <w:t>Self-reported</w:t>
            </w:r>
          </w:p>
          <w:p w:rsidR="00152CFC" w:rsidRPr="004C5425" w:rsidRDefault="00152CFC" w:rsidP="00152CFC">
            <w:pPr>
              <w:rPr>
                <w:sz w:val="18"/>
                <w:szCs w:val="18"/>
              </w:rPr>
            </w:pPr>
            <w:r w:rsidRPr="004C5425">
              <w:rPr>
                <w:sz w:val="18"/>
                <w:szCs w:val="18"/>
              </w:rPr>
              <w:t>JEM</w:t>
            </w:r>
          </w:p>
        </w:tc>
      </w:tr>
      <w:tr w:rsidR="00152CFC" w:rsidRPr="004C5425" w:rsidTr="00152CFC">
        <w:tc>
          <w:tcPr>
            <w:tcW w:w="1526" w:type="dxa"/>
          </w:tcPr>
          <w:p w:rsidR="00152CFC" w:rsidRPr="004C5425" w:rsidRDefault="00152CFC" w:rsidP="005E3815">
            <w:pPr>
              <w:spacing w:line="276" w:lineRule="auto"/>
              <w:rPr>
                <w:sz w:val="18"/>
                <w:szCs w:val="18"/>
              </w:rPr>
            </w:pPr>
            <w:r>
              <w:rPr>
                <w:sz w:val="18"/>
                <w:szCs w:val="18"/>
              </w:rPr>
              <w:t xml:space="preserve">Bang </w:t>
            </w:r>
            <w:r w:rsidRPr="004C5425">
              <w:rPr>
                <w:sz w:val="18"/>
                <w:szCs w:val="18"/>
              </w:rPr>
              <w:t>2009</w:t>
            </w:r>
          </w:p>
        </w:tc>
        <w:tc>
          <w:tcPr>
            <w:tcW w:w="3119" w:type="dxa"/>
          </w:tcPr>
          <w:p w:rsidR="00152CFC" w:rsidRPr="004C5425" w:rsidRDefault="00152CFC" w:rsidP="008C067B">
            <w:pPr>
              <w:spacing w:line="276" w:lineRule="auto"/>
              <w:rPr>
                <w:sz w:val="18"/>
                <w:szCs w:val="18"/>
              </w:rPr>
            </w:pPr>
            <w:r w:rsidRPr="004C5425">
              <w:rPr>
                <w:sz w:val="18"/>
                <w:szCs w:val="18"/>
              </w:rPr>
              <w:t>12.2%</w:t>
            </w:r>
            <w:r>
              <w:rPr>
                <w:sz w:val="18"/>
                <w:szCs w:val="18"/>
              </w:rPr>
              <w:t xml:space="preserve"> (</w:t>
            </w:r>
            <w:r w:rsidRPr="004C5425">
              <w:rPr>
                <w:sz w:val="18"/>
                <w:szCs w:val="18"/>
              </w:rPr>
              <w:t>12.1-12.5</w:t>
            </w:r>
            <w:r>
              <w:rPr>
                <w:sz w:val="18"/>
                <w:szCs w:val="18"/>
              </w:rPr>
              <w:t xml:space="preserve">), </w:t>
            </w:r>
            <w:proofErr w:type="spellStart"/>
            <w:r w:rsidRPr="004C5425">
              <w:rPr>
                <w:sz w:val="18"/>
                <w:szCs w:val="18"/>
              </w:rPr>
              <w:t>SIG</w:t>
            </w:r>
            <w:r w:rsidRPr="007909FF">
              <w:rPr>
                <w:sz w:val="18"/>
                <w:szCs w:val="18"/>
                <w:vertAlign w:val="superscript"/>
              </w:rPr>
              <w:t>p</w:t>
            </w:r>
            <w:proofErr w:type="spellEnd"/>
          </w:p>
          <w:p w:rsidR="00152CFC" w:rsidRPr="004C5425" w:rsidRDefault="00152CFC" w:rsidP="008C067B">
            <w:pPr>
              <w:spacing w:line="276" w:lineRule="auto"/>
              <w:rPr>
                <w:sz w:val="18"/>
                <w:szCs w:val="18"/>
              </w:rPr>
            </w:pPr>
          </w:p>
        </w:tc>
        <w:tc>
          <w:tcPr>
            <w:tcW w:w="3827" w:type="dxa"/>
          </w:tcPr>
          <w:p w:rsidR="00152CFC" w:rsidRPr="004C5425" w:rsidRDefault="00152CFC" w:rsidP="007909FF">
            <w:pPr>
              <w:rPr>
                <w:sz w:val="18"/>
                <w:szCs w:val="18"/>
              </w:rPr>
            </w:pPr>
            <w:r w:rsidRPr="004C5425">
              <w:rPr>
                <w:rStyle w:val="normaltextrun"/>
                <w:rFonts w:cs="Segoe UI"/>
                <w:sz w:val="18"/>
                <w:szCs w:val="18"/>
              </w:rPr>
              <w:t>5134 COPD cases</w:t>
            </w:r>
            <w:r>
              <w:rPr>
                <w:rStyle w:val="normaltextrun"/>
                <w:rFonts w:cs="Segoe UI"/>
                <w:sz w:val="18"/>
                <w:szCs w:val="18"/>
              </w:rPr>
              <w:t xml:space="preserve">, </w:t>
            </w:r>
            <w:r w:rsidRPr="004C5425">
              <w:rPr>
                <w:rStyle w:val="normaltextrun"/>
                <w:rFonts w:cs="Segoe UI"/>
                <w:sz w:val="18"/>
                <w:szCs w:val="18"/>
              </w:rPr>
              <w:t>122490 non-COPD</w:t>
            </w:r>
            <w:r w:rsidRPr="004C5425">
              <w:rPr>
                <w:rStyle w:val="eop"/>
                <w:rFonts w:cs="Segoe UI"/>
                <w:sz w:val="18"/>
                <w:szCs w:val="18"/>
              </w:rPr>
              <w:t> </w:t>
            </w:r>
          </w:p>
        </w:tc>
        <w:tc>
          <w:tcPr>
            <w:tcW w:w="1843" w:type="dxa"/>
          </w:tcPr>
          <w:p w:rsidR="00152CFC" w:rsidRDefault="00152CFC" w:rsidP="008C067B">
            <w:pPr>
              <w:rPr>
                <w:rStyle w:val="normaltextrun"/>
                <w:rFonts w:cs="Segoe UI"/>
                <w:sz w:val="18"/>
                <w:szCs w:val="18"/>
              </w:rPr>
            </w:pPr>
            <w:r w:rsidRPr="004C5425">
              <w:rPr>
                <w:rStyle w:val="normaltextrun"/>
                <w:rFonts w:cs="Segoe UI"/>
                <w:sz w:val="18"/>
                <w:szCs w:val="18"/>
              </w:rPr>
              <w:t>Self-reported</w:t>
            </w:r>
          </w:p>
          <w:p w:rsidR="00152CFC" w:rsidRPr="004C5425" w:rsidRDefault="00152CFC" w:rsidP="008C067B">
            <w:pPr>
              <w:rPr>
                <w:sz w:val="18"/>
                <w:szCs w:val="18"/>
              </w:rPr>
            </w:pPr>
          </w:p>
        </w:tc>
        <w:tc>
          <w:tcPr>
            <w:tcW w:w="2409" w:type="dxa"/>
          </w:tcPr>
          <w:p w:rsidR="00152CFC" w:rsidRPr="004C5425" w:rsidRDefault="00152CFC" w:rsidP="007909FF">
            <w:pPr>
              <w:pStyle w:val="paragraph"/>
              <w:spacing w:before="0" w:after="0"/>
              <w:textAlignment w:val="baseline"/>
              <w:rPr>
                <w:sz w:val="18"/>
                <w:szCs w:val="18"/>
              </w:rPr>
            </w:pPr>
            <w:r w:rsidRPr="004C5425">
              <w:rPr>
                <w:rStyle w:val="normaltextrun"/>
                <w:rFonts w:asciiTheme="minorHAnsi" w:hAnsiTheme="minorHAnsi" w:cs="Segoe UI"/>
                <w:sz w:val="18"/>
                <w:szCs w:val="18"/>
              </w:rPr>
              <w:t>JEM</w:t>
            </w:r>
          </w:p>
        </w:tc>
      </w:tr>
      <w:tr w:rsidR="00152CFC" w:rsidRPr="004C5425" w:rsidTr="00152CFC">
        <w:tc>
          <w:tcPr>
            <w:tcW w:w="1526" w:type="dxa"/>
          </w:tcPr>
          <w:p w:rsidR="00152CFC" w:rsidRPr="004C5425" w:rsidRDefault="00152CFC" w:rsidP="009513F5">
            <w:pPr>
              <w:spacing w:line="276" w:lineRule="auto"/>
              <w:rPr>
                <w:sz w:val="18"/>
                <w:szCs w:val="18"/>
              </w:rPr>
            </w:pPr>
            <w:r w:rsidRPr="004C5425">
              <w:rPr>
                <w:sz w:val="18"/>
                <w:szCs w:val="18"/>
              </w:rPr>
              <w:t>Zhong</w:t>
            </w:r>
            <w:r>
              <w:rPr>
                <w:sz w:val="18"/>
                <w:szCs w:val="18"/>
              </w:rPr>
              <w:t xml:space="preserve"> 2007</w:t>
            </w:r>
          </w:p>
        </w:tc>
        <w:tc>
          <w:tcPr>
            <w:tcW w:w="3119" w:type="dxa"/>
          </w:tcPr>
          <w:p w:rsidR="00152CFC" w:rsidRDefault="00152CFC" w:rsidP="008C067B">
            <w:pPr>
              <w:spacing w:line="276" w:lineRule="auto"/>
              <w:rPr>
                <w:sz w:val="18"/>
                <w:szCs w:val="18"/>
              </w:rPr>
            </w:pPr>
            <w:r>
              <w:rPr>
                <w:sz w:val="18"/>
                <w:szCs w:val="18"/>
              </w:rPr>
              <w:t xml:space="preserve">OR </w:t>
            </w:r>
            <w:r w:rsidRPr="004C5425">
              <w:rPr>
                <w:sz w:val="18"/>
                <w:szCs w:val="18"/>
              </w:rPr>
              <w:t>1.2 (1.</w:t>
            </w:r>
            <w:r>
              <w:rPr>
                <w:sz w:val="18"/>
                <w:szCs w:val="18"/>
              </w:rPr>
              <w:t>0-1.4)</w:t>
            </w:r>
          </w:p>
          <w:p w:rsidR="00152CFC" w:rsidRPr="004C5425" w:rsidRDefault="00152CFC" w:rsidP="009513F5">
            <w:pPr>
              <w:spacing w:line="276" w:lineRule="auto"/>
              <w:rPr>
                <w:sz w:val="18"/>
                <w:szCs w:val="18"/>
              </w:rPr>
            </w:pPr>
            <w:r w:rsidRPr="004C5425">
              <w:rPr>
                <w:sz w:val="18"/>
                <w:szCs w:val="18"/>
              </w:rPr>
              <w:t>4.0%</w:t>
            </w:r>
            <w:r>
              <w:rPr>
                <w:sz w:val="18"/>
                <w:szCs w:val="18"/>
              </w:rPr>
              <w:t xml:space="preserve">, </w:t>
            </w:r>
            <w:proofErr w:type="spellStart"/>
            <w:r w:rsidRPr="004C5425">
              <w:rPr>
                <w:sz w:val="18"/>
                <w:szCs w:val="18"/>
              </w:rPr>
              <w:t>SIG</w:t>
            </w:r>
            <w:r w:rsidRPr="007909FF">
              <w:rPr>
                <w:sz w:val="18"/>
                <w:szCs w:val="18"/>
                <w:vertAlign w:val="superscript"/>
              </w:rPr>
              <w:t>q</w:t>
            </w:r>
            <w:proofErr w:type="spellEnd"/>
          </w:p>
        </w:tc>
        <w:tc>
          <w:tcPr>
            <w:tcW w:w="3827" w:type="dxa"/>
          </w:tcPr>
          <w:p w:rsidR="00152CFC" w:rsidRPr="004C5425" w:rsidRDefault="00152CFC" w:rsidP="008A494A">
            <w:pPr>
              <w:rPr>
                <w:sz w:val="18"/>
                <w:szCs w:val="18"/>
              </w:rPr>
            </w:pPr>
            <w:r w:rsidRPr="008A494A">
              <w:rPr>
                <w:sz w:val="18"/>
                <w:szCs w:val="18"/>
              </w:rPr>
              <w:t>838</w:t>
            </w:r>
            <w:r w:rsidR="008A494A" w:rsidRPr="008A494A">
              <w:rPr>
                <w:sz w:val="18"/>
                <w:szCs w:val="18"/>
              </w:rPr>
              <w:t xml:space="preserve"> cases, </w:t>
            </w:r>
            <w:r w:rsidRPr="008A494A">
              <w:rPr>
                <w:sz w:val="18"/>
                <w:szCs w:val="18"/>
              </w:rPr>
              <w:t>9973</w:t>
            </w:r>
            <w:r w:rsidR="008A494A" w:rsidRPr="008A494A">
              <w:rPr>
                <w:sz w:val="18"/>
                <w:szCs w:val="18"/>
              </w:rPr>
              <w:t xml:space="preserve"> non cases</w:t>
            </w:r>
          </w:p>
        </w:tc>
        <w:tc>
          <w:tcPr>
            <w:tcW w:w="1843" w:type="dxa"/>
          </w:tcPr>
          <w:p w:rsidR="00152CFC" w:rsidRPr="004C5425" w:rsidRDefault="00152CFC" w:rsidP="008C067B">
            <w:pPr>
              <w:rPr>
                <w:sz w:val="18"/>
                <w:szCs w:val="18"/>
              </w:rPr>
            </w:pPr>
            <w:r>
              <w:rPr>
                <w:sz w:val="18"/>
                <w:szCs w:val="18"/>
              </w:rPr>
              <w:t>Post BD</w:t>
            </w:r>
          </w:p>
        </w:tc>
        <w:tc>
          <w:tcPr>
            <w:tcW w:w="2409" w:type="dxa"/>
          </w:tcPr>
          <w:p w:rsidR="00152CFC" w:rsidRPr="004C5425" w:rsidRDefault="00152CFC" w:rsidP="008C067B">
            <w:pPr>
              <w:rPr>
                <w:sz w:val="18"/>
                <w:szCs w:val="18"/>
              </w:rPr>
            </w:pPr>
            <w:r w:rsidRPr="004C5425">
              <w:rPr>
                <w:sz w:val="18"/>
                <w:szCs w:val="18"/>
              </w:rPr>
              <w:t>Self-reported</w:t>
            </w:r>
          </w:p>
        </w:tc>
      </w:tr>
      <w:tr w:rsidR="00152CFC" w:rsidRPr="004C5425" w:rsidTr="00152CFC">
        <w:tc>
          <w:tcPr>
            <w:tcW w:w="1526" w:type="dxa"/>
          </w:tcPr>
          <w:p w:rsidR="00152CFC" w:rsidRPr="004C5425" w:rsidRDefault="00152CFC" w:rsidP="008C067B">
            <w:pPr>
              <w:spacing w:line="276" w:lineRule="auto"/>
              <w:rPr>
                <w:sz w:val="18"/>
                <w:szCs w:val="18"/>
              </w:rPr>
            </w:pPr>
            <w:proofErr w:type="spellStart"/>
            <w:r>
              <w:rPr>
                <w:sz w:val="18"/>
                <w:szCs w:val="18"/>
              </w:rPr>
              <w:t>Lamprecht</w:t>
            </w:r>
            <w:proofErr w:type="spellEnd"/>
            <w:r>
              <w:rPr>
                <w:sz w:val="18"/>
                <w:szCs w:val="18"/>
              </w:rPr>
              <w:t xml:space="preserve"> 2007</w:t>
            </w:r>
          </w:p>
          <w:p w:rsidR="00152CFC" w:rsidRPr="004C5425" w:rsidRDefault="00152CFC" w:rsidP="008C067B">
            <w:pPr>
              <w:spacing w:line="276" w:lineRule="auto"/>
              <w:rPr>
                <w:sz w:val="18"/>
                <w:szCs w:val="18"/>
              </w:rPr>
            </w:pPr>
          </w:p>
        </w:tc>
        <w:tc>
          <w:tcPr>
            <w:tcW w:w="3119" w:type="dxa"/>
          </w:tcPr>
          <w:p w:rsidR="00152CFC" w:rsidRDefault="00152CFC" w:rsidP="007909FF">
            <w:pPr>
              <w:spacing w:line="276" w:lineRule="auto"/>
              <w:rPr>
                <w:sz w:val="18"/>
                <w:szCs w:val="18"/>
              </w:rPr>
            </w:pPr>
            <w:r>
              <w:rPr>
                <w:rStyle w:val="normaltextrun"/>
                <w:rFonts w:cs="Segoe UI"/>
                <w:sz w:val="18"/>
                <w:szCs w:val="18"/>
              </w:rPr>
              <w:t xml:space="preserve">OR </w:t>
            </w:r>
            <w:r w:rsidRPr="004C5425">
              <w:rPr>
                <w:rStyle w:val="normaltextrun"/>
                <w:rFonts w:cs="Segoe UI"/>
                <w:sz w:val="18"/>
                <w:szCs w:val="18"/>
              </w:rPr>
              <w:t>1.8</w:t>
            </w:r>
            <w:r>
              <w:rPr>
                <w:rStyle w:val="normaltextrun"/>
                <w:rFonts w:cs="Segoe UI"/>
                <w:sz w:val="18"/>
                <w:szCs w:val="18"/>
              </w:rPr>
              <w:t>, (</w:t>
            </w:r>
            <w:r w:rsidRPr="004C5425">
              <w:rPr>
                <w:rStyle w:val="normaltextrun"/>
                <w:rFonts w:cs="Segoe UI"/>
                <w:sz w:val="18"/>
                <w:szCs w:val="18"/>
              </w:rPr>
              <w:t>1.2–2.8</w:t>
            </w:r>
            <w:r>
              <w:rPr>
                <w:rStyle w:val="normaltextrun"/>
                <w:rFonts w:cs="Segoe UI"/>
                <w:sz w:val="18"/>
                <w:szCs w:val="18"/>
              </w:rPr>
              <w:t>)</w:t>
            </w:r>
            <w:r w:rsidRPr="00382BDD">
              <w:rPr>
                <w:rStyle w:val="normaltextrun"/>
                <w:rFonts w:cs="Segoe UI"/>
                <w:color w:val="FF0000"/>
                <w:sz w:val="18"/>
                <w:szCs w:val="18"/>
              </w:rPr>
              <w:t>?</w:t>
            </w:r>
            <w:r w:rsidRPr="004C5425">
              <w:rPr>
                <w:rStyle w:val="apple-converted-space"/>
                <w:rFonts w:cs="Segoe UI"/>
                <w:sz w:val="18"/>
                <w:szCs w:val="18"/>
              </w:rPr>
              <w:t> </w:t>
            </w:r>
            <w:r w:rsidRPr="004C5425">
              <w:rPr>
                <w:rStyle w:val="eop"/>
                <w:rFonts w:cs="Segoe UI"/>
                <w:sz w:val="18"/>
                <w:szCs w:val="18"/>
              </w:rPr>
              <w:t> </w:t>
            </w:r>
          </w:p>
          <w:p w:rsidR="00152CFC" w:rsidRPr="004C5425" w:rsidRDefault="00152CFC" w:rsidP="007909FF">
            <w:pPr>
              <w:spacing w:line="276" w:lineRule="auto"/>
              <w:rPr>
                <w:sz w:val="18"/>
                <w:szCs w:val="18"/>
              </w:rPr>
            </w:pPr>
            <w:r w:rsidRPr="004C5425">
              <w:rPr>
                <w:sz w:val="18"/>
                <w:szCs w:val="18"/>
              </w:rPr>
              <w:t>7.7%</w:t>
            </w:r>
            <w:r>
              <w:rPr>
                <w:sz w:val="18"/>
                <w:szCs w:val="18"/>
              </w:rPr>
              <w:t xml:space="preserve">, </w:t>
            </w:r>
            <w:proofErr w:type="spellStart"/>
            <w:r w:rsidRPr="004C5425">
              <w:rPr>
                <w:sz w:val="18"/>
                <w:szCs w:val="18"/>
              </w:rPr>
              <w:t>SIG</w:t>
            </w:r>
            <w:r w:rsidRPr="00382BDD">
              <w:rPr>
                <w:sz w:val="18"/>
                <w:szCs w:val="18"/>
                <w:vertAlign w:val="superscript"/>
              </w:rPr>
              <w:t>r</w:t>
            </w:r>
            <w:proofErr w:type="spellEnd"/>
          </w:p>
        </w:tc>
        <w:tc>
          <w:tcPr>
            <w:tcW w:w="3827" w:type="dxa"/>
          </w:tcPr>
          <w:p w:rsidR="00152CFC" w:rsidRPr="004C5425" w:rsidRDefault="00152CFC" w:rsidP="00382BDD">
            <w:pPr>
              <w:rPr>
                <w:sz w:val="18"/>
                <w:szCs w:val="18"/>
              </w:rPr>
            </w:pPr>
            <w:r w:rsidRPr="004C5425">
              <w:rPr>
                <w:rStyle w:val="normaltextrun"/>
                <w:rFonts w:cs="Segoe UI"/>
                <w:sz w:val="18"/>
                <w:szCs w:val="18"/>
              </w:rPr>
              <w:t>304</w:t>
            </w:r>
            <w:r>
              <w:rPr>
                <w:rStyle w:val="normaltextrun"/>
                <w:rFonts w:cs="Segoe UI"/>
                <w:sz w:val="18"/>
                <w:szCs w:val="18"/>
              </w:rPr>
              <w:t xml:space="preserve"> cases, </w:t>
            </w:r>
            <w:r w:rsidRPr="004C5425">
              <w:rPr>
                <w:rStyle w:val="normaltextrun"/>
                <w:rFonts w:cs="Segoe UI"/>
                <w:sz w:val="18"/>
                <w:szCs w:val="18"/>
              </w:rPr>
              <w:t xml:space="preserve">954 non-cases </w:t>
            </w:r>
            <w:r>
              <w:rPr>
                <w:rStyle w:val="normaltextrun"/>
                <w:rFonts w:cs="Segoe UI"/>
                <w:sz w:val="18"/>
                <w:szCs w:val="18"/>
              </w:rPr>
              <w:t>[</w:t>
            </w:r>
            <w:r w:rsidRPr="004C5425">
              <w:rPr>
                <w:rStyle w:val="normaltextrun"/>
                <w:rFonts w:cs="Segoe UI"/>
                <w:sz w:val="18"/>
                <w:szCs w:val="18"/>
              </w:rPr>
              <w:t>119 GOLD II or higher</w:t>
            </w:r>
            <w:r>
              <w:rPr>
                <w:rStyle w:val="normaltextrun"/>
                <w:rFonts w:cs="Segoe UI"/>
                <w:sz w:val="18"/>
                <w:szCs w:val="18"/>
              </w:rPr>
              <w:t xml:space="preserve"> cases]</w:t>
            </w:r>
          </w:p>
        </w:tc>
        <w:tc>
          <w:tcPr>
            <w:tcW w:w="1843" w:type="dxa"/>
          </w:tcPr>
          <w:p w:rsidR="00152CFC" w:rsidRPr="004C5425" w:rsidRDefault="00152CFC" w:rsidP="008C067B">
            <w:pPr>
              <w:rPr>
                <w:sz w:val="18"/>
                <w:szCs w:val="18"/>
              </w:rPr>
            </w:pPr>
            <w:r>
              <w:rPr>
                <w:rStyle w:val="normaltextrun"/>
                <w:rFonts w:cs="Segoe UI"/>
                <w:sz w:val="18"/>
                <w:szCs w:val="18"/>
              </w:rPr>
              <w:t>Post BD</w:t>
            </w:r>
            <w:r w:rsidRPr="004C5425">
              <w:rPr>
                <w:rStyle w:val="eop"/>
                <w:rFonts w:cs="Segoe UI"/>
                <w:sz w:val="18"/>
                <w:szCs w:val="18"/>
              </w:rPr>
              <w:t> </w:t>
            </w:r>
          </w:p>
        </w:tc>
        <w:tc>
          <w:tcPr>
            <w:tcW w:w="2409" w:type="dxa"/>
          </w:tcPr>
          <w:p w:rsidR="00152CFC" w:rsidRDefault="00152CFC" w:rsidP="008C067B">
            <w:pPr>
              <w:rPr>
                <w:rStyle w:val="normaltextrun"/>
                <w:rFonts w:cs="Segoe UI"/>
                <w:sz w:val="18"/>
                <w:szCs w:val="18"/>
              </w:rPr>
            </w:pPr>
            <w:r w:rsidRPr="004C5425">
              <w:rPr>
                <w:rStyle w:val="normaltextrun"/>
                <w:rFonts w:cs="Segoe UI"/>
                <w:sz w:val="18"/>
                <w:szCs w:val="18"/>
              </w:rPr>
              <w:t>Self-reported</w:t>
            </w:r>
          </w:p>
          <w:p w:rsidR="00152CFC" w:rsidRPr="004C5425" w:rsidRDefault="00152CFC" w:rsidP="008C067B">
            <w:pPr>
              <w:rPr>
                <w:sz w:val="18"/>
                <w:szCs w:val="18"/>
              </w:rPr>
            </w:pPr>
          </w:p>
        </w:tc>
      </w:tr>
      <w:tr w:rsidR="00152CFC" w:rsidRPr="004C5425" w:rsidTr="00152CFC">
        <w:tc>
          <w:tcPr>
            <w:tcW w:w="1526" w:type="dxa"/>
          </w:tcPr>
          <w:p w:rsidR="00152CFC" w:rsidRPr="004C5425" w:rsidRDefault="00152CFC" w:rsidP="008C067B">
            <w:pPr>
              <w:spacing w:line="276" w:lineRule="auto"/>
              <w:rPr>
                <w:sz w:val="18"/>
                <w:szCs w:val="18"/>
              </w:rPr>
            </w:pPr>
            <w:proofErr w:type="spellStart"/>
            <w:r w:rsidRPr="004C5425">
              <w:rPr>
                <w:sz w:val="18"/>
                <w:szCs w:val="18"/>
              </w:rPr>
              <w:t>Jaén</w:t>
            </w:r>
            <w:proofErr w:type="spellEnd"/>
            <w:r>
              <w:rPr>
                <w:sz w:val="18"/>
                <w:szCs w:val="18"/>
              </w:rPr>
              <w:t xml:space="preserve"> </w:t>
            </w:r>
            <w:r w:rsidRPr="004C5425">
              <w:rPr>
                <w:sz w:val="18"/>
                <w:szCs w:val="18"/>
              </w:rPr>
              <w:t>2006</w:t>
            </w:r>
          </w:p>
          <w:p w:rsidR="00152CFC" w:rsidRPr="004C5425" w:rsidRDefault="00152CFC" w:rsidP="008C067B">
            <w:pPr>
              <w:spacing w:line="276" w:lineRule="auto"/>
              <w:rPr>
                <w:sz w:val="18"/>
                <w:szCs w:val="18"/>
              </w:rPr>
            </w:pPr>
          </w:p>
        </w:tc>
        <w:tc>
          <w:tcPr>
            <w:tcW w:w="3119" w:type="dxa"/>
          </w:tcPr>
          <w:p w:rsidR="00152CFC" w:rsidRDefault="00152CFC" w:rsidP="004C28FF">
            <w:pPr>
              <w:spacing w:line="276" w:lineRule="auto"/>
              <w:rPr>
                <w:sz w:val="18"/>
                <w:szCs w:val="18"/>
              </w:rPr>
            </w:pPr>
            <w:r w:rsidRPr="004C5425">
              <w:rPr>
                <w:sz w:val="18"/>
                <w:szCs w:val="18"/>
              </w:rPr>
              <w:t>1.2 (0.7-2.2</w:t>
            </w:r>
            <w:r>
              <w:rPr>
                <w:sz w:val="18"/>
                <w:szCs w:val="18"/>
              </w:rPr>
              <w:t>)</w:t>
            </w:r>
          </w:p>
          <w:p w:rsidR="00152CFC" w:rsidRPr="004C5425" w:rsidRDefault="00152CFC" w:rsidP="004C28FF">
            <w:pPr>
              <w:spacing w:line="276" w:lineRule="auto"/>
              <w:rPr>
                <w:sz w:val="18"/>
                <w:szCs w:val="18"/>
              </w:rPr>
            </w:pPr>
            <w:r w:rsidRPr="004C5425">
              <w:rPr>
                <w:sz w:val="18"/>
                <w:szCs w:val="18"/>
              </w:rPr>
              <w:t>9.0%</w:t>
            </w:r>
            <w:r>
              <w:rPr>
                <w:sz w:val="18"/>
                <w:szCs w:val="18"/>
              </w:rPr>
              <w:t>, NS</w:t>
            </w:r>
            <w:r w:rsidRPr="00CF33F0">
              <w:rPr>
                <w:sz w:val="18"/>
                <w:szCs w:val="18"/>
                <w:vertAlign w:val="superscript"/>
              </w:rPr>
              <w:t>s</w:t>
            </w:r>
          </w:p>
        </w:tc>
        <w:tc>
          <w:tcPr>
            <w:tcW w:w="3827" w:type="dxa"/>
          </w:tcPr>
          <w:p w:rsidR="00152CFC" w:rsidRPr="004C5425" w:rsidRDefault="00152CFC" w:rsidP="00CF33F0">
            <w:pPr>
              <w:pStyle w:val="paragraph"/>
              <w:spacing w:before="0" w:after="0"/>
              <w:textAlignment w:val="baseline"/>
              <w:rPr>
                <w:rFonts w:asciiTheme="minorHAnsi" w:hAnsiTheme="minorHAnsi" w:cs="Segoe UI"/>
                <w:sz w:val="12"/>
                <w:szCs w:val="12"/>
              </w:rPr>
            </w:pPr>
            <w:r w:rsidRPr="004C5425">
              <w:rPr>
                <w:rFonts w:asciiTheme="minorHAnsi" w:hAnsiTheme="minorHAnsi"/>
                <w:sz w:val="18"/>
                <w:szCs w:val="18"/>
              </w:rPr>
              <w:t>26 males (10.4%) and 10 females (4.1%)</w:t>
            </w:r>
            <w:r>
              <w:rPr>
                <w:rFonts w:asciiTheme="minorHAnsi" w:hAnsiTheme="minorHAnsi"/>
                <w:sz w:val="18"/>
                <w:szCs w:val="18"/>
              </w:rPr>
              <w:t xml:space="preserve"> cases</w:t>
            </w:r>
          </w:p>
        </w:tc>
        <w:tc>
          <w:tcPr>
            <w:tcW w:w="1843" w:type="dxa"/>
          </w:tcPr>
          <w:p w:rsidR="00152CFC" w:rsidRPr="00CF33F0" w:rsidRDefault="008A494A" w:rsidP="008C067B">
            <w:pPr>
              <w:pStyle w:val="paragraph"/>
              <w:spacing w:before="0" w:after="0"/>
              <w:textAlignment w:val="baseline"/>
              <w:rPr>
                <w:rFonts w:asciiTheme="minorHAnsi" w:hAnsiTheme="minorHAnsi" w:cs="Segoe UI"/>
                <w:sz w:val="18"/>
                <w:szCs w:val="18"/>
              </w:rPr>
            </w:pPr>
            <w:r w:rsidRPr="008A494A">
              <w:rPr>
                <w:rFonts w:asciiTheme="minorHAnsi" w:hAnsiTheme="minorHAnsi" w:cs="Segoe UI"/>
                <w:sz w:val="18"/>
                <w:szCs w:val="18"/>
              </w:rPr>
              <w:t>Post BD</w:t>
            </w:r>
          </w:p>
        </w:tc>
        <w:tc>
          <w:tcPr>
            <w:tcW w:w="2409" w:type="dxa"/>
          </w:tcPr>
          <w:p w:rsidR="00152CFC" w:rsidRPr="004C28FF" w:rsidRDefault="00152CFC" w:rsidP="008C067B">
            <w:pPr>
              <w:pStyle w:val="paragraph"/>
              <w:spacing w:before="0" w:after="0"/>
              <w:textAlignment w:val="baseline"/>
              <w:rPr>
                <w:rFonts w:asciiTheme="minorHAnsi" w:hAnsiTheme="minorHAnsi"/>
                <w:sz w:val="18"/>
                <w:szCs w:val="18"/>
              </w:rPr>
            </w:pPr>
            <w:r w:rsidRPr="004C5425">
              <w:rPr>
                <w:rFonts w:asciiTheme="minorHAnsi" w:hAnsiTheme="minorHAnsi"/>
                <w:sz w:val="18"/>
                <w:szCs w:val="18"/>
              </w:rPr>
              <w:t>Self-reported</w:t>
            </w:r>
          </w:p>
        </w:tc>
      </w:tr>
      <w:tr w:rsidR="00152CFC" w:rsidRPr="004C5425" w:rsidTr="00152CFC">
        <w:tc>
          <w:tcPr>
            <w:tcW w:w="1526" w:type="dxa"/>
          </w:tcPr>
          <w:p w:rsidR="00152CFC" w:rsidRPr="004C5425" w:rsidRDefault="00152CFC" w:rsidP="00CF33F0">
            <w:pPr>
              <w:spacing w:line="276" w:lineRule="auto"/>
              <w:rPr>
                <w:sz w:val="18"/>
                <w:szCs w:val="18"/>
              </w:rPr>
            </w:pPr>
            <w:r w:rsidRPr="004C5425">
              <w:rPr>
                <w:sz w:val="18"/>
                <w:szCs w:val="18"/>
              </w:rPr>
              <w:t>Lindberg 2005</w:t>
            </w:r>
          </w:p>
        </w:tc>
        <w:tc>
          <w:tcPr>
            <w:tcW w:w="3119" w:type="dxa"/>
          </w:tcPr>
          <w:p w:rsidR="00152CFC" w:rsidRDefault="00152CFC" w:rsidP="00CF33F0">
            <w:pPr>
              <w:spacing w:line="276" w:lineRule="auto"/>
              <w:rPr>
                <w:sz w:val="18"/>
                <w:szCs w:val="18"/>
              </w:rPr>
            </w:pPr>
            <w:r w:rsidRPr="004C5425">
              <w:rPr>
                <w:sz w:val="18"/>
                <w:szCs w:val="18"/>
              </w:rPr>
              <w:t>1.8 (0.8-4.0)</w:t>
            </w:r>
          </w:p>
          <w:p w:rsidR="00152CFC" w:rsidRPr="004C5425" w:rsidRDefault="00152CFC" w:rsidP="00CF33F0">
            <w:pPr>
              <w:spacing w:line="276" w:lineRule="auto"/>
              <w:rPr>
                <w:sz w:val="18"/>
                <w:szCs w:val="18"/>
              </w:rPr>
            </w:pPr>
            <w:r w:rsidRPr="004C5425">
              <w:rPr>
                <w:sz w:val="18"/>
                <w:szCs w:val="18"/>
              </w:rPr>
              <w:t>15.0%</w:t>
            </w:r>
            <w:r>
              <w:rPr>
                <w:sz w:val="18"/>
                <w:szCs w:val="18"/>
              </w:rPr>
              <w:t>, NS</w:t>
            </w:r>
          </w:p>
        </w:tc>
        <w:tc>
          <w:tcPr>
            <w:tcW w:w="3827" w:type="dxa"/>
          </w:tcPr>
          <w:p w:rsidR="00152CFC" w:rsidRPr="0042093C" w:rsidRDefault="00152CFC" w:rsidP="008C067B">
            <w:pPr>
              <w:rPr>
                <w:sz w:val="18"/>
                <w:szCs w:val="18"/>
              </w:rPr>
            </w:pPr>
            <w:r w:rsidRPr="0042093C">
              <w:rPr>
                <w:sz w:val="18"/>
                <w:szCs w:val="18"/>
              </w:rPr>
              <w:t>127/982 (GOLD); 83/1026 (BTS)</w:t>
            </w:r>
          </w:p>
        </w:tc>
        <w:tc>
          <w:tcPr>
            <w:tcW w:w="1843" w:type="dxa"/>
          </w:tcPr>
          <w:p w:rsidR="00152CFC" w:rsidRPr="004C5425" w:rsidRDefault="00152CFC" w:rsidP="00CF33F0">
            <w:pPr>
              <w:rPr>
                <w:sz w:val="18"/>
                <w:szCs w:val="18"/>
              </w:rPr>
            </w:pPr>
            <w:r>
              <w:rPr>
                <w:sz w:val="18"/>
                <w:szCs w:val="18"/>
              </w:rPr>
              <w:t>Pre BD</w:t>
            </w:r>
          </w:p>
        </w:tc>
        <w:tc>
          <w:tcPr>
            <w:tcW w:w="2409" w:type="dxa"/>
          </w:tcPr>
          <w:p w:rsidR="00152CFC" w:rsidRPr="004C5425" w:rsidRDefault="00152CFC" w:rsidP="008C067B">
            <w:pPr>
              <w:rPr>
                <w:sz w:val="18"/>
                <w:szCs w:val="18"/>
              </w:rPr>
            </w:pPr>
            <w:r>
              <w:rPr>
                <w:sz w:val="18"/>
                <w:szCs w:val="18"/>
              </w:rPr>
              <w:t>Job Title</w:t>
            </w:r>
          </w:p>
        </w:tc>
      </w:tr>
      <w:tr w:rsidR="00152CFC" w:rsidRPr="004C5425" w:rsidTr="00152CFC">
        <w:tc>
          <w:tcPr>
            <w:tcW w:w="1526" w:type="dxa"/>
          </w:tcPr>
          <w:p w:rsidR="00152CFC" w:rsidRPr="004C5425" w:rsidRDefault="00152CFC" w:rsidP="00252324">
            <w:pPr>
              <w:spacing w:line="276" w:lineRule="auto"/>
              <w:rPr>
                <w:sz w:val="18"/>
                <w:szCs w:val="18"/>
              </w:rPr>
            </w:pPr>
            <w:r w:rsidRPr="004C5425">
              <w:rPr>
                <w:sz w:val="18"/>
                <w:szCs w:val="18"/>
              </w:rPr>
              <w:t>Matheson 2005</w:t>
            </w:r>
          </w:p>
        </w:tc>
        <w:tc>
          <w:tcPr>
            <w:tcW w:w="3119" w:type="dxa"/>
          </w:tcPr>
          <w:p w:rsidR="00152CFC" w:rsidRDefault="00152CFC" w:rsidP="008C067B">
            <w:pPr>
              <w:spacing w:line="276" w:lineRule="auto"/>
              <w:rPr>
                <w:sz w:val="18"/>
                <w:szCs w:val="18"/>
              </w:rPr>
            </w:pPr>
            <w:r>
              <w:rPr>
                <w:sz w:val="18"/>
                <w:szCs w:val="18"/>
              </w:rPr>
              <w:t xml:space="preserve">OR </w:t>
            </w:r>
            <w:r w:rsidRPr="004C5425">
              <w:rPr>
                <w:sz w:val="18"/>
                <w:szCs w:val="18"/>
              </w:rPr>
              <w:t>2.7 (1.4-5.2)</w:t>
            </w:r>
          </w:p>
          <w:p w:rsidR="00152CFC" w:rsidRPr="004C5425" w:rsidRDefault="00152CFC" w:rsidP="008C067B">
            <w:pPr>
              <w:spacing w:line="276" w:lineRule="auto"/>
              <w:rPr>
                <w:sz w:val="18"/>
                <w:szCs w:val="18"/>
              </w:rPr>
            </w:pPr>
            <w:r w:rsidRPr="004C5425">
              <w:rPr>
                <w:sz w:val="18"/>
                <w:szCs w:val="18"/>
              </w:rPr>
              <w:t>37%</w:t>
            </w:r>
            <w:r>
              <w:rPr>
                <w:sz w:val="18"/>
                <w:szCs w:val="18"/>
              </w:rPr>
              <w:t xml:space="preserve">, </w:t>
            </w:r>
            <w:proofErr w:type="spellStart"/>
            <w:r w:rsidRPr="004C5425">
              <w:rPr>
                <w:sz w:val="18"/>
                <w:szCs w:val="18"/>
              </w:rPr>
              <w:t>SIG</w:t>
            </w:r>
            <w:r w:rsidRPr="00BD4723">
              <w:rPr>
                <w:sz w:val="18"/>
                <w:szCs w:val="18"/>
                <w:vertAlign w:val="superscript"/>
              </w:rPr>
              <w:t>t</w:t>
            </w:r>
            <w:proofErr w:type="spellEnd"/>
          </w:p>
        </w:tc>
        <w:tc>
          <w:tcPr>
            <w:tcW w:w="3827" w:type="dxa"/>
          </w:tcPr>
          <w:p w:rsidR="00152CFC" w:rsidRPr="004C5425" w:rsidRDefault="00152CFC" w:rsidP="00252324">
            <w:pPr>
              <w:rPr>
                <w:sz w:val="18"/>
                <w:szCs w:val="18"/>
              </w:rPr>
            </w:pPr>
            <w:r w:rsidRPr="004C5425">
              <w:rPr>
                <w:sz w:val="18"/>
                <w:szCs w:val="18"/>
              </w:rPr>
              <w:t>226 mild</w:t>
            </w:r>
            <w:r>
              <w:rPr>
                <w:sz w:val="18"/>
                <w:szCs w:val="18"/>
              </w:rPr>
              <w:t xml:space="preserve"> airways obstruction, </w:t>
            </w:r>
            <w:r w:rsidRPr="004C5425">
              <w:rPr>
                <w:sz w:val="18"/>
                <w:szCs w:val="18"/>
              </w:rPr>
              <w:t>83</w:t>
            </w:r>
            <w:r>
              <w:rPr>
                <w:sz w:val="18"/>
                <w:szCs w:val="18"/>
              </w:rPr>
              <w:t xml:space="preserve"> moderate, </w:t>
            </w:r>
            <w:r w:rsidRPr="004C5425">
              <w:rPr>
                <w:sz w:val="18"/>
                <w:szCs w:val="18"/>
              </w:rPr>
              <w:t xml:space="preserve">42 with study defined COPD. </w:t>
            </w:r>
          </w:p>
        </w:tc>
        <w:tc>
          <w:tcPr>
            <w:tcW w:w="1843" w:type="dxa"/>
          </w:tcPr>
          <w:p w:rsidR="00152CFC" w:rsidRPr="004C5425" w:rsidRDefault="00152CFC" w:rsidP="008C067B">
            <w:pPr>
              <w:rPr>
                <w:sz w:val="18"/>
                <w:szCs w:val="18"/>
              </w:rPr>
            </w:pPr>
            <w:r>
              <w:rPr>
                <w:sz w:val="18"/>
                <w:szCs w:val="18"/>
              </w:rPr>
              <w:t>Pre BD</w:t>
            </w:r>
          </w:p>
        </w:tc>
        <w:tc>
          <w:tcPr>
            <w:tcW w:w="2409" w:type="dxa"/>
          </w:tcPr>
          <w:p w:rsidR="00152CFC" w:rsidRDefault="00152CFC" w:rsidP="008C067B">
            <w:pPr>
              <w:rPr>
                <w:sz w:val="18"/>
                <w:szCs w:val="18"/>
              </w:rPr>
            </w:pPr>
            <w:r w:rsidRPr="004C5425">
              <w:rPr>
                <w:sz w:val="18"/>
                <w:szCs w:val="18"/>
              </w:rPr>
              <w:t>Self-reported</w:t>
            </w:r>
          </w:p>
          <w:p w:rsidR="00152CFC" w:rsidRPr="004C5425" w:rsidRDefault="00152CFC" w:rsidP="00252324">
            <w:pPr>
              <w:rPr>
                <w:sz w:val="18"/>
                <w:szCs w:val="18"/>
              </w:rPr>
            </w:pPr>
            <w:r>
              <w:rPr>
                <w:sz w:val="18"/>
                <w:szCs w:val="18"/>
              </w:rPr>
              <w:t>JEM</w:t>
            </w:r>
          </w:p>
        </w:tc>
      </w:tr>
      <w:tr w:rsidR="00152CFC" w:rsidRPr="004C5425" w:rsidTr="00152CFC">
        <w:tc>
          <w:tcPr>
            <w:tcW w:w="1526" w:type="dxa"/>
          </w:tcPr>
          <w:p w:rsidR="00152CFC" w:rsidRPr="004C5425" w:rsidRDefault="00152CFC" w:rsidP="00BD4723">
            <w:pPr>
              <w:spacing w:line="276" w:lineRule="auto"/>
              <w:rPr>
                <w:sz w:val="18"/>
                <w:szCs w:val="18"/>
              </w:rPr>
            </w:pPr>
            <w:proofErr w:type="spellStart"/>
            <w:r>
              <w:rPr>
                <w:sz w:val="18"/>
                <w:szCs w:val="18"/>
              </w:rPr>
              <w:t>Sunyer</w:t>
            </w:r>
            <w:proofErr w:type="spellEnd"/>
            <w:r>
              <w:rPr>
                <w:sz w:val="18"/>
                <w:szCs w:val="18"/>
              </w:rPr>
              <w:t xml:space="preserve"> </w:t>
            </w:r>
            <w:r w:rsidRPr="004C5425">
              <w:rPr>
                <w:sz w:val="18"/>
                <w:szCs w:val="18"/>
              </w:rPr>
              <w:t>2005</w:t>
            </w:r>
          </w:p>
        </w:tc>
        <w:tc>
          <w:tcPr>
            <w:tcW w:w="3119" w:type="dxa"/>
          </w:tcPr>
          <w:p w:rsidR="00152CFC" w:rsidRDefault="00152CFC" w:rsidP="00BD4723">
            <w:pPr>
              <w:spacing w:line="276" w:lineRule="auto"/>
              <w:rPr>
                <w:sz w:val="18"/>
                <w:szCs w:val="18"/>
              </w:rPr>
            </w:pPr>
            <w:r>
              <w:rPr>
                <w:sz w:val="18"/>
                <w:szCs w:val="18"/>
              </w:rPr>
              <w:t xml:space="preserve">Males OR </w:t>
            </w:r>
            <w:r w:rsidRPr="004C5425">
              <w:rPr>
                <w:sz w:val="18"/>
                <w:szCs w:val="18"/>
              </w:rPr>
              <w:t>1.01 (0.3-4.1)</w:t>
            </w:r>
          </w:p>
          <w:p w:rsidR="00152CFC" w:rsidRDefault="00152CFC" w:rsidP="00BD4723">
            <w:pPr>
              <w:spacing w:line="276" w:lineRule="auto"/>
              <w:rPr>
                <w:sz w:val="18"/>
                <w:szCs w:val="18"/>
              </w:rPr>
            </w:pPr>
            <w:r>
              <w:rPr>
                <w:sz w:val="18"/>
                <w:szCs w:val="18"/>
              </w:rPr>
              <w:t xml:space="preserve">Females OR </w:t>
            </w:r>
            <w:r w:rsidRPr="004C5425">
              <w:rPr>
                <w:sz w:val="18"/>
                <w:szCs w:val="18"/>
              </w:rPr>
              <w:t>1.1 (0.2-8.8)</w:t>
            </w:r>
          </w:p>
          <w:p w:rsidR="00152CFC" w:rsidRDefault="00152CFC" w:rsidP="00BD4723">
            <w:pPr>
              <w:spacing w:line="276" w:lineRule="auto"/>
              <w:rPr>
                <w:sz w:val="18"/>
                <w:szCs w:val="18"/>
              </w:rPr>
            </w:pPr>
            <w:r>
              <w:rPr>
                <w:sz w:val="18"/>
                <w:szCs w:val="18"/>
              </w:rPr>
              <w:t>Males 0%, NS</w:t>
            </w:r>
          </w:p>
          <w:p w:rsidR="00152CFC" w:rsidRPr="004C5425" w:rsidRDefault="00152CFC" w:rsidP="00BD4723">
            <w:pPr>
              <w:spacing w:line="276" w:lineRule="auto"/>
              <w:rPr>
                <w:sz w:val="18"/>
                <w:szCs w:val="18"/>
              </w:rPr>
            </w:pPr>
            <w:r>
              <w:rPr>
                <w:sz w:val="18"/>
                <w:szCs w:val="18"/>
              </w:rPr>
              <w:t>Females 1%, NS</w:t>
            </w:r>
          </w:p>
        </w:tc>
        <w:tc>
          <w:tcPr>
            <w:tcW w:w="3827" w:type="dxa"/>
          </w:tcPr>
          <w:p w:rsidR="00152CFC" w:rsidRPr="0042093C" w:rsidRDefault="00152CFC" w:rsidP="008C067B">
            <w:pPr>
              <w:rPr>
                <w:sz w:val="18"/>
                <w:szCs w:val="18"/>
              </w:rPr>
            </w:pPr>
            <w:r w:rsidRPr="0042093C">
              <w:rPr>
                <w:sz w:val="18"/>
                <w:szCs w:val="18"/>
              </w:rPr>
              <w:t>Males : 221/2981 (among them 61 new cases in the follow-up); Females 148/3131 (among them 52 new cases in the follow-up)</w:t>
            </w:r>
          </w:p>
        </w:tc>
        <w:tc>
          <w:tcPr>
            <w:tcW w:w="1843" w:type="dxa"/>
          </w:tcPr>
          <w:p w:rsidR="00152CFC" w:rsidRPr="004C5425" w:rsidRDefault="00152CFC" w:rsidP="008C067B">
            <w:pPr>
              <w:rPr>
                <w:sz w:val="18"/>
                <w:szCs w:val="18"/>
              </w:rPr>
            </w:pPr>
            <w:r>
              <w:rPr>
                <w:sz w:val="18"/>
                <w:szCs w:val="18"/>
              </w:rPr>
              <w:t>Pre BD</w:t>
            </w:r>
          </w:p>
        </w:tc>
        <w:tc>
          <w:tcPr>
            <w:tcW w:w="2409" w:type="dxa"/>
          </w:tcPr>
          <w:p w:rsidR="00152CFC" w:rsidRPr="004C5425" w:rsidRDefault="00152CFC" w:rsidP="00BD4723">
            <w:pPr>
              <w:rPr>
                <w:sz w:val="18"/>
                <w:szCs w:val="18"/>
              </w:rPr>
            </w:pPr>
            <w:r w:rsidRPr="004C5425">
              <w:rPr>
                <w:sz w:val="18"/>
                <w:szCs w:val="18"/>
              </w:rPr>
              <w:t>JEM</w:t>
            </w:r>
          </w:p>
        </w:tc>
      </w:tr>
      <w:tr w:rsidR="00152CFC" w:rsidRPr="004C5425" w:rsidTr="00152CFC">
        <w:tc>
          <w:tcPr>
            <w:tcW w:w="1526" w:type="dxa"/>
          </w:tcPr>
          <w:p w:rsidR="00152CFC" w:rsidRPr="004C5425" w:rsidRDefault="00152CFC" w:rsidP="00F06694">
            <w:pPr>
              <w:rPr>
                <w:sz w:val="18"/>
                <w:szCs w:val="18"/>
              </w:rPr>
            </w:pPr>
            <w:r w:rsidRPr="004C5425">
              <w:rPr>
                <w:sz w:val="18"/>
                <w:szCs w:val="18"/>
              </w:rPr>
              <w:t>De Marco</w:t>
            </w:r>
            <w:r>
              <w:rPr>
                <w:sz w:val="18"/>
                <w:szCs w:val="18"/>
              </w:rPr>
              <w:t xml:space="preserve"> </w:t>
            </w:r>
            <w:r w:rsidRPr="004C5425">
              <w:rPr>
                <w:sz w:val="18"/>
                <w:szCs w:val="18"/>
              </w:rPr>
              <w:t>2004</w:t>
            </w:r>
          </w:p>
        </w:tc>
        <w:tc>
          <w:tcPr>
            <w:tcW w:w="3119" w:type="dxa"/>
          </w:tcPr>
          <w:p w:rsidR="00152CFC" w:rsidRDefault="00152CFC" w:rsidP="00F06694">
            <w:pPr>
              <w:rPr>
                <w:sz w:val="18"/>
                <w:szCs w:val="18"/>
              </w:rPr>
            </w:pPr>
            <w:r>
              <w:rPr>
                <w:sz w:val="18"/>
                <w:szCs w:val="18"/>
              </w:rPr>
              <w:t xml:space="preserve">OR </w:t>
            </w:r>
            <w:r w:rsidRPr="004C5425">
              <w:rPr>
                <w:sz w:val="18"/>
                <w:szCs w:val="18"/>
              </w:rPr>
              <w:t>1.47 (1.31-1.65)</w:t>
            </w:r>
          </w:p>
          <w:p w:rsidR="00152CFC" w:rsidRPr="004C5425" w:rsidRDefault="00152CFC" w:rsidP="00F06694">
            <w:pPr>
              <w:rPr>
                <w:sz w:val="18"/>
                <w:szCs w:val="18"/>
              </w:rPr>
            </w:pPr>
            <w:r w:rsidRPr="004C5425">
              <w:rPr>
                <w:sz w:val="18"/>
                <w:szCs w:val="18"/>
              </w:rPr>
              <w:t>17.4</w:t>
            </w:r>
            <w:r>
              <w:rPr>
                <w:sz w:val="18"/>
                <w:szCs w:val="18"/>
              </w:rPr>
              <w:t xml:space="preserve">, </w:t>
            </w:r>
            <w:proofErr w:type="spellStart"/>
            <w:r w:rsidRPr="004C5425">
              <w:rPr>
                <w:sz w:val="18"/>
                <w:szCs w:val="18"/>
              </w:rPr>
              <w:t>SIG</w:t>
            </w:r>
            <w:r w:rsidRPr="00F06694">
              <w:rPr>
                <w:sz w:val="18"/>
                <w:szCs w:val="18"/>
                <w:vertAlign w:val="superscript"/>
              </w:rPr>
              <w:t>u</w:t>
            </w:r>
            <w:proofErr w:type="spellEnd"/>
          </w:p>
        </w:tc>
        <w:tc>
          <w:tcPr>
            <w:tcW w:w="3827" w:type="dxa"/>
          </w:tcPr>
          <w:p w:rsidR="00152CFC" w:rsidRPr="004C5425" w:rsidRDefault="00152CFC" w:rsidP="00F06694">
            <w:pPr>
              <w:pStyle w:val="paragraph"/>
              <w:spacing w:before="0" w:after="0"/>
              <w:textAlignment w:val="baseline"/>
              <w:rPr>
                <w:sz w:val="18"/>
                <w:szCs w:val="18"/>
              </w:rPr>
            </w:pPr>
            <w:r w:rsidRPr="004C5425">
              <w:rPr>
                <w:rStyle w:val="normaltextrun"/>
                <w:rFonts w:asciiTheme="minorHAnsi" w:hAnsiTheme="minorHAnsi" w:cs="Segoe UI"/>
                <w:sz w:val="18"/>
                <w:szCs w:val="18"/>
              </w:rPr>
              <w:t>1751 cases</w:t>
            </w:r>
            <w:r>
              <w:rPr>
                <w:rStyle w:val="normaltextrun"/>
                <w:rFonts w:asciiTheme="minorHAnsi" w:hAnsiTheme="minorHAnsi" w:cs="Segoe UI"/>
                <w:sz w:val="18"/>
                <w:szCs w:val="18"/>
              </w:rPr>
              <w:t xml:space="preserve">, </w:t>
            </w:r>
            <w:r w:rsidRPr="004C5425">
              <w:rPr>
                <w:rStyle w:val="normaltextrun"/>
                <w:rFonts w:asciiTheme="minorHAnsi" w:hAnsiTheme="minorHAnsi" w:cs="Segoe UI"/>
                <w:sz w:val="18"/>
                <w:szCs w:val="18"/>
              </w:rPr>
              <w:t>12567 non cases</w:t>
            </w:r>
          </w:p>
        </w:tc>
        <w:tc>
          <w:tcPr>
            <w:tcW w:w="1843" w:type="dxa"/>
          </w:tcPr>
          <w:p w:rsidR="00152CFC" w:rsidRPr="004C5425" w:rsidRDefault="00152CFC" w:rsidP="008C067B">
            <w:pPr>
              <w:rPr>
                <w:sz w:val="18"/>
                <w:szCs w:val="18"/>
              </w:rPr>
            </w:pPr>
            <w:r>
              <w:rPr>
                <w:rStyle w:val="normaltextrun"/>
                <w:rFonts w:cs="Segoe UI"/>
                <w:sz w:val="18"/>
                <w:szCs w:val="18"/>
              </w:rPr>
              <w:t>Pre BD</w:t>
            </w:r>
          </w:p>
        </w:tc>
        <w:tc>
          <w:tcPr>
            <w:tcW w:w="2409" w:type="dxa"/>
          </w:tcPr>
          <w:p w:rsidR="00152CFC" w:rsidRDefault="00152CFC" w:rsidP="008C067B">
            <w:pPr>
              <w:rPr>
                <w:rStyle w:val="normaltextrun"/>
                <w:rFonts w:cs="Segoe UI"/>
                <w:sz w:val="18"/>
                <w:szCs w:val="18"/>
              </w:rPr>
            </w:pPr>
            <w:r w:rsidRPr="004C5425">
              <w:rPr>
                <w:rStyle w:val="normaltextrun"/>
                <w:rFonts w:cs="Segoe UI"/>
                <w:sz w:val="18"/>
                <w:szCs w:val="18"/>
              </w:rPr>
              <w:t>Self-reported</w:t>
            </w:r>
          </w:p>
          <w:p w:rsidR="00152CFC" w:rsidRPr="004C5425" w:rsidRDefault="00152CFC" w:rsidP="008C067B">
            <w:pPr>
              <w:rPr>
                <w:sz w:val="18"/>
                <w:szCs w:val="18"/>
              </w:rPr>
            </w:pPr>
          </w:p>
        </w:tc>
      </w:tr>
      <w:tr w:rsidR="00152CFC" w:rsidRPr="004C5425" w:rsidTr="00152CFC">
        <w:tc>
          <w:tcPr>
            <w:tcW w:w="1526" w:type="dxa"/>
          </w:tcPr>
          <w:p w:rsidR="00152CFC" w:rsidRPr="004C5425" w:rsidRDefault="00152CFC" w:rsidP="00E831BD">
            <w:pPr>
              <w:spacing w:line="276" w:lineRule="auto"/>
              <w:rPr>
                <w:sz w:val="18"/>
                <w:szCs w:val="18"/>
              </w:rPr>
            </w:pPr>
            <w:proofErr w:type="spellStart"/>
            <w:r>
              <w:rPr>
                <w:sz w:val="18"/>
                <w:szCs w:val="18"/>
              </w:rPr>
              <w:t>Bergdahl</w:t>
            </w:r>
            <w:proofErr w:type="spellEnd"/>
            <w:r>
              <w:rPr>
                <w:sz w:val="18"/>
                <w:szCs w:val="18"/>
              </w:rPr>
              <w:t xml:space="preserve"> </w:t>
            </w:r>
            <w:r w:rsidRPr="004C5425">
              <w:rPr>
                <w:sz w:val="18"/>
                <w:szCs w:val="18"/>
              </w:rPr>
              <w:t>2004</w:t>
            </w:r>
          </w:p>
        </w:tc>
        <w:tc>
          <w:tcPr>
            <w:tcW w:w="3119" w:type="dxa"/>
          </w:tcPr>
          <w:p w:rsidR="00152CFC" w:rsidRDefault="00152CFC" w:rsidP="00AC2BD9">
            <w:pPr>
              <w:spacing w:line="276" w:lineRule="auto"/>
              <w:rPr>
                <w:sz w:val="18"/>
                <w:szCs w:val="18"/>
              </w:rPr>
            </w:pPr>
            <w:r w:rsidRPr="004C5425">
              <w:rPr>
                <w:sz w:val="18"/>
                <w:szCs w:val="18"/>
              </w:rPr>
              <w:t>OR 1.1 (1.03-1.2)</w:t>
            </w:r>
          </w:p>
          <w:p w:rsidR="00152CFC" w:rsidRPr="004C5425" w:rsidRDefault="00152CFC" w:rsidP="00AC2BD9">
            <w:pPr>
              <w:spacing w:line="276" w:lineRule="auto"/>
              <w:rPr>
                <w:sz w:val="18"/>
                <w:szCs w:val="18"/>
              </w:rPr>
            </w:pPr>
            <w:r w:rsidRPr="004C5425">
              <w:rPr>
                <w:sz w:val="18"/>
                <w:szCs w:val="18"/>
              </w:rPr>
              <w:t>11.0%</w:t>
            </w:r>
            <w:r>
              <w:rPr>
                <w:sz w:val="18"/>
                <w:szCs w:val="18"/>
              </w:rPr>
              <w:t xml:space="preserve">, </w:t>
            </w:r>
            <w:r w:rsidRPr="004C5425">
              <w:rPr>
                <w:sz w:val="18"/>
                <w:szCs w:val="18"/>
              </w:rPr>
              <w:t>SIG</w:t>
            </w:r>
          </w:p>
        </w:tc>
        <w:tc>
          <w:tcPr>
            <w:tcW w:w="3827" w:type="dxa"/>
          </w:tcPr>
          <w:p w:rsidR="00152CFC" w:rsidRPr="004C5425" w:rsidRDefault="00152CFC" w:rsidP="00152CFC">
            <w:pPr>
              <w:pStyle w:val="paragraph"/>
              <w:textAlignment w:val="baseline"/>
              <w:rPr>
                <w:rStyle w:val="normaltextrun"/>
                <w:rFonts w:asciiTheme="minorHAnsi" w:hAnsiTheme="minorHAnsi" w:cs="Segoe UI"/>
                <w:sz w:val="18"/>
                <w:szCs w:val="18"/>
              </w:rPr>
            </w:pPr>
            <w:r w:rsidRPr="004C5425">
              <w:rPr>
                <w:rStyle w:val="normaltextrun"/>
                <w:rFonts w:asciiTheme="minorHAnsi" w:hAnsiTheme="minorHAnsi" w:cs="Segoe UI"/>
                <w:sz w:val="18"/>
                <w:szCs w:val="18"/>
              </w:rPr>
              <w:t>523</w:t>
            </w:r>
            <w:r>
              <w:rPr>
                <w:rStyle w:val="normaltextrun"/>
                <w:rFonts w:asciiTheme="minorHAnsi" w:hAnsiTheme="minorHAnsi" w:cs="Segoe UI"/>
                <w:sz w:val="18"/>
                <w:szCs w:val="18"/>
              </w:rPr>
              <w:t xml:space="preserve"> cases, </w:t>
            </w:r>
            <w:r w:rsidRPr="004C5425">
              <w:rPr>
                <w:rStyle w:val="normaltextrun"/>
                <w:rFonts w:asciiTheme="minorHAnsi" w:hAnsiTheme="minorHAnsi" w:cs="Segoe UI"/>
                <w:sz w:val="18"/>
                <w:szCs w:val="18"/>
              </w:rPr>
              <w:t>200212 non</w:t>
            </w:r>
            <w:r>
              <w:rPr>
                <w:rStyle w:val="normaltextrun"/>
                <w:rFonts w:asciiTheme="minorHAnsi" w:hAnsiTheme="minorHAnsi" w:cs="Segoe UI"/>
                <w:sz w:val="18"/>
                <w:szCs w:val="18"/>
              </w:rPr>
              <w:t xml:space="preserve"> cases</w:t>
            </w:r>
          </w:p>
        </w:tc>
        <w:tc>
          <w:tcPr>
            <w:tcW w:w="1843" w:type="dxa"/>
          </w:tcPr>
          <w:p w:rsidR="00152CFC" w:rsidRPr="004C5425" w:rsidRDefault="00152CFC" w:rsidP="008C067B">
            <w:pPr>
              <w:pStyle w:val="paragraph"/>
              <w:textAlignment w:val="baseline"/>
              <w:rPr>
                <w:rStyle w:val="normaltextrun"/>
                <w:rFonts w:asciiTheme="minorHAnsi" w:hAnsiTheme="minorHAnsi" w:cs="Segoe UI"/>
                <w:sz w:val="18"/>
                <w:szCs w:val="18"/>
              </w:rPr>
            </w:pPr>
            <w:r>
              <w:rPr>
                <w:rStyle w:val="normaltextrun"/>
                <w:rFonts w:asciiTheme="minorHAnsi" w:hAnsiTheme="minorHAnsi" w:cs="Segoe UI"/>
                <w:sz w:val="18"/>
                <w:szCs w:val="18"/>
              </w:rPr>
              <w:t>Death Certification</w:t>
            </w:r>
            <w:r w:rsidRPr="004C5425">
              <w:rPr>
                <w:rStyle w:val="eop"/>
                <w:rFonts w:asciiTheme="minorHAnsi" w:hAnsiTheme="minorHAnsi" w:cs="Segoe UI"/>
                <w:sz w:val="18"/>
                <w:szCs w:val="18"/>
              </w:rPr>
              <w:t> </w:t>
            </w:r>
          </w:p>
        </w:tc>
        <w:tc>
          <w:tcPr>
            <w:tcW w:w="2409" w:type="dxa"/>
          </w:tcPr>
          <w:p w:rsidR="00152CFC" w:rsidRPr="004C5425" w:rsidRDefault="00152CFC" w:rsidP="008C067B">
            <w:pPr>
              <w:pStyle w:val="paragraph"/>
              <w:spacing w:before="0" w:after="0"/>
              <w:textAlignment w:val="baseline"/>
              <w:rPr>
                <w:rStyle w:val="normaltextrun"/>
                <w:rFonts w:asciiTheme="minorHAnsi" w:hAnsiTheme="minorHAnsi" w:cs="Segoe UI"/>
                <w:sz w:val="18"/>
                <w:szCs w:val="18"/>
              </w:rPr>
            </w:pPr>
            <w:r w:rsidRPr="004C5425">
              <w:rPr>
                <w:rStyle w:val="normaltextrun"/>
                <w:rFonts w:asciiTheme="minorHAnsi" w:hAnsiTheme="minorHAnsi" w:cs="Segoe UI"/>
                <w:sz w:val="18"/>
                <w:szCs w:val="18"/>
              </w:rPr>
              <w:t>JEM </w:t>
            </w:r>
            <w:r w:rsidRPr="004C5425">
              <w:rPr>
                <w:rStyle w:val="eop"/>
                <w:rFonts w:asciiTheme="minorHAnsi" w:hAnsiTheme="minorHAnsi" w:cs="Segoe UI"/>
                <w:sz w:val="18"/>
                <w:szCs w:val="18"/>
              </w:rPr>
              <w:t> </w:t>
            </w:r>
          </w:p>
        </w:tc>
      </w:tr>
      <w:tr w:rsidR="00152CFC" w:rsidRPr="004C5425" w:rsidTr="00152CFC">
        <w:tc>
          <w:tcPr>
            <w:tcW w:w="1526" w:type="dxa"/>
          </w:tcPr>
          <w:p w:rsidR="00152CFC" w:rsidRPr="004C5425" w:rsidRDefault="00152CFC" w:rsidP="00E831BD">
            <w:pPr>
              <w:spacing w:line="276" w:lineRule="auto"/>
              <w:rPr>
                <w:sz w:val="18"/>
                <w:szCs w:val="18"/>
              </w:rPr>
            </w:pPr>
            <w:proofErr w:type="spellStart"/>
            <w:r>
              <w:rPr>
                <w:sz w:val="18"/>
                <w:szCs w:val="18"/>
              </w:rPr>
              <w:lastRenderedPageBreak/>
              <w:t>Hnizdo</w:t>
            </w:r>
            <w:proofErr w:type="spellEnd"/>
            <w:r>
              <w:rPr>
                <w:sz w:val="18"/>
                <w:szCs w:val="18"/>
              </w:rPr>
              <w:t xml:space="preserve"> </w:t>
            </w:r>
            <w:r w:rsidRPr="004C5425">
              <w:rPr>
                <w:sz w:val="18"/>
                <w:szCs w:val="18"/>
              </w:rPr>
              <w:t>2004</w:t>
            </w:r>
          </w:p>
        </w:tc>
        <w:tc>
          <w:tcPr>
            <w:tcW w:w="3119" w:type="dxa"/>
          </w:tcPr>
          <w:p w:rsidR="00152CFC" w:rsidRPr="004C5425" w:rsidRDefault="00152CFC" w:rsidP="00152CFC">
            <w:pPr>
              <w:spacing w:line="276" w:lineRule="auto"/>
              <w:rPr>
                <w:sz w:val="18"/>
                <w:szCs w:val="18"/>
              </w:rPr>
            </w:pPr>
            <w:r w:rsidRPr="004C5425">
              <w:rPr>
                <w:sz w:val="18"/>
                <w:szCs w:val="18"/>
              </w:rPr>
              <w:t>22.2%</w:t>
            </w:r>
            <w:r>
              <w:rPr>
                <w:sz w:val="18"/>
                <w:szCs w:val="18"/>
              </w:rPr>
              <w:t xml:space="preserve"> (9.1-33.4), </w:t>
            </w:r>
            <w:r w:rsidRPr="004C5425">
              <w:rPr>
                <w:sz w:val="18"/>
                <w:szCs w:val="18"/>
              </w:rPr>
              <w:t>SIG</w:t>
            </w:r>
          </w:p>
        </w:tc>
        <w:tc>
          <w:tcPr>
            <w:tcW w:w="3827" w:type="dxa"/>
          </w:tcPr>
          <w:p w:rsidR="00152CFC" w:rsidRPr="004C5425" w:rsidRDefault="00152CFC" w:rsidP="00E831BD">
            <w:pPr>
              <w:pStyle w:val="paragraph"/>
              <w:spacing w:before="0" w:after="0"/>
              <w:textAlignment w:val="baseline"/>
              <w:rPr>
                <w:rFonts w:asciiTheme="minorHAnsi" w:hAnsiTheme="minorHAnsi" w:cs="Segoe UI"/>
                <w:sz w:val="12"/>
                <w:szCs w:val="12"/>
              </w:rPr>
            </w:pPr>
            <w:r w:rsidRPr="00152CFC">
              <w:rPr>
                <w:rFonts w:asciiTheme="minorHAnsi" w:hAnsiTheme="minorHAnsi"/>
                <w:sz w:val="18"/>
                <w:szCs w:val="18"/>
              </w:rPr>
              <w:t>911 cases, 9152 participants</w:t>
            </w:r>
          </w:p>
        </w:tc>
        <w:tc>
          <w:tcPr>
            <w:tcW w:w="1843" w:type="dxa"/>
          </w:tcPr>
          <w:p w:rsidR="00152CFC" w:rsidRPr="004C5425" w:rsidRDefault="00152CFC" w:rsidP="00152CFC">
            <w:pPr>
              <w:pStyle w:val="paragraph"/>
              <w:spacing w:before="0" w:after="0"/>
              <w:textAlignment w:val="baseline"/>
              <w:rPr>
                <w:rFonts w:asciiTheme="minorHAnsi" w:hAnsiTheme="minorHAnsi" w:cs="Segoe UI"/>
                <w:sz w:val="12"/>
                <w:szCs w:val="12"/>
              </w:rPr>
            </w:pPr>
            <w:r>
              <w:rPr>
                <w:rFonts w:asciiTheme="minorHAnsi" w:hAnsiTheme="minorHAnsi" w:cs="Segoe UI"/>
                <w:sz w:val="18"/>
                <w:szCs w:val="18"/>
              </w:rPr>
              <w:t>Pre BD</w:t>
            </w:r>
          </w:p>
        </w:tc>
        <w:tc>
          <w:tcPr>
            <w:tcW w:w="2409" w:type="dxa"/>
          </w:tcPr>
          <w:p w:rsidR="00152CFC" w:rsidRPr="004C5425" w:rsidRDefault="00152CFC" w:rsidP="00E831BD">
            <w:pPr>
              <w:pStyle w:val="paragraph"/>
              <w:spacing w:before="0" w:after="0"/>
              <w:textAlignment w:val="baseline"/>
              <w:rPr>
                <w:rFonts w:asciiTheme="minorHAnsi" w:hAnsiTheme="minorHAnsi" w:cs="Segoe UI"/>
                <w:sz w:val="12"/>
                <w:szCs w:val="12"/>
              </w:rPr>
            </w:pPr>
            <w:r w:rsidRPr="004C5425">
              <w:rPr>
                <w:rFonts w:asciiTheme="minorHAnsi" w:hAnsiTheme="minorHAnsi"/>
                <w:sz w:val="18"/>
                <w:szCs w:val="18"/>
              </w:rPr>
              <w:t>Self-reported</w:t>
            </w:r>
          </w:p>
        </w:tc>
      </w:tr>
      <w:tr w:rsidR="00152CFC" w:rsidRPr="004C5425" w:rsidTr="00152CFC">
        <w:tc>
          <w:tcPr>
            <w:tcW w:w="1526" w:type="dxa"/>
          </w:tcPr>
          <w:p w:rsidR="00152CFC" w:rsidRPr="004C5425" w:rsidRDefault="00152CFC" w:rsidP="00EA553B">
            <w:pPr>
              <w:spacing w:line="276" w:lineRule="auto"/>
              <w:rPr>
                <w:sz w:val="18"/>
                <w:szCs w:val="18"/>
              </w:rPr>
            </w:pPr>
            <w:proofErr w:type="spellStart"/>
            <w:r>
              <w:rPr>
                <w:sz w:val="18"/>
                <w:szCs w:val="18"/>
              </w:rPr>
              <w:t>Trupin</w:t>
            </w:r>
            <w:proofErr w:type="spellEnd"/>
            <w:r>
              <w:rPr>
                <w:sz w:val="18"/>
                <w:szCs w:val="18"/>
              </w:rPr>
              <w:t xml:space="preserve"> </w:t>
            </w:r>
            <w:r w:rsidRPr="004C5425">
              <w:rPr>
                <w:sz w:val="18"/>
                <w:szCs w:val="18"/>
              </w:rPr>
              <w:t>2003</w:t>
            </w:r>
          </w:p>
        </w:tc>
        <w:tc>
          <w:tcPr>
            <w:tcW w:w="3119" w:type="dxa"/>
          </w:tcPr>
          <w:p w:rsidR="00152CFC" w:rsidRDefault="00152CFC" w:rsidP="00EA553B">
            <w:pPr>
              <w:spacing w:line="276" w:lineRule="auto"/>
              <w:rPr>
                <w:sz w:val="18"/>
                <w:szCs w:val="18"/>
              </w:rPr>
            </w:pPr>
            <w:r w:rsidRPr="004C5425">
              <w:rPr>
                <w:sz w:val="18"/>
                <w:szCs w:val="18"/>
              </w:rPr>
              <w:t>2.0 (1.6-2.5)</w:t>
            </w:r>
          </w:p>
          <w:p w:rsidR="00152CFC" w:rsidRPr="004C5425" w:rsidRDefault="00152CFC" w:rsidP="00EA553B">
            <w:pPr>
              <w:spacing w:line="276" w:lineRule="auto"/>
              <w:rPr>
                <w:sz w:val="18"/>
                <w:szCs w:val="18"/>
              </w:rPr>
            </w:pPr>
            <w:r w:rsidRPr="004C5425">
              <w:rPr>
                <w:sz w:val="18"/>
                <w:szCs w:val="18"/>
              </w:rPr>
              <w:t>20.0%</w:t>
            </w:r>
            <w:r>
              <w:rPr>
                <w:sz w:val="18"/>
                <w:szCs w:val="18"/>
              </w:rPr>
              <w:t xml:space="preserve">, </w:t>
            </w:r>
            <w:r w:rsidRPr="004C5425">
              <w:rPr>
                <w:sz w:val="18"/>
                <w:szCs w:val="18"/>
              </w:rPr>
              <w:t>SIG</w:t>
            </w:r>
          </w:p>
        </w:tc>
        <w:tc>
          <w:tcPr>
            <w:tcW w:w="3827" w:type="dxa"/>
          </w:tcPr>
          <w:p w:rsidR="00152CFC" w:rsidRPr="00FD53BD" w:rsidRDefault="00152CFC" w:rsidP="00286784">
            <w:pPr>
              <w:rPr>
                <w:color w:val="FF0000"/>
                <w:sz w:val="18"/>
                <w:szCs w:val="18"/>
              </w:rPr>
            </w:pPr>
            <w:r w:rsidRPr="00286784">
              <w:rPr>
                <w:sz w:val="18"/>
                <w:szCs w:val="18"/>
              </w:rPr>
              <w:t xml:space="preserve">377 cases, 1555 </w:t>
            </w:r>
            <w:r w:rsidR="00286784" w:rsidRPr="00286784">
              <w:rPr>
                <w:sz w:val="18"/>
                <w:szCs w:val="18"/>
              </w:rPr>
              <w:t>non cases</w:t>
            </w:r>
          </w:p>
        </w:tc>
        <w:tc>
          <w:tcPr>
            <w:tcW w:w="1843" w:type="dxa"/>
          </w:tcPr>
          <w:p w:rsidR="00152CFC" w:rsidRPr="004C5425" w:rsidRDefault="00152CFC" w:rsidP="008C067B">
            <w:pPr>
              <w:rPr>
                <w:sz w:val="18"/>
                <w:szCs w:val="18"/>
              </w:rPr>
            </w:pPr>
            <w:r>
              <w:rPr>
                <w:sz w:val="18"/>
                <w:szCs w:val="18"/>
              </w:rPr>
              <w:t>Self-reported</w:t>
            </w:r>
          </w:p>
        </w:tc>
        <w:tc>
          <w:tcPr>
            <w:tcW w:w="2409" w:type="dxa"/>
          </w:tcPr>
          <w:p w:rsidR="00152CFC" w:rsidRPr="004C5425" w:rsidRDefault="00152CFC" w:rsidP="00FD53BD">
            <w:pPr>
              <w:rPr>
                <w:sz w:val="18"/>
                <w:szCs w:val="18"/>
              </w:rPr>
            </w:pPr>
            <w:r>
              <w:rPr>
                <w:sz w:val="18"/>
                <w:szCs w:val="18"/>
              </w:rPr>
              <w:t>Self-reported</w:t>
            </w:r>
          </w:p>
        </w:tc>
      </w:tr>
      <w:tr w:rsidR="00152CFC" w:rsidRPr="004C5425" w:rsidTr="00152CFC">
        <w:tc>
          <w:tcPr>
            <w:tcW w:w="1526" w:type="dxa"/>
          </w:tcPr>
          <w:p w:rsidR="00152CFC" w:rsidRPr="004C5425" w:rsidRDefault="00152CFC" w:rsidP="008C067B">
            <w:pPr>
              <w:spacing w:line="276" w:lineRule="auto"/>
              <w:rPr>
                <w:sz w:val="18"/>
                <w:szCs w:val="18"/>
              </w:rPr>
            </w:pPr>
            <w:proofErr w:type="spellStart"/>
            <w:r>
              <w:rPr>
                <w:sz w:val="18"/>
                <w:szCs w:val="18"/>
              </w:rPr>
              <w:t>Hnizdo</w:t>
            </w:r>
            <w:proofErr w:type="spellEnd"/>
            <w:r>
              <w:rPr>
                <w:sz w:val="18"/>
                <w:szCs w:val="18"/>
              </w:rPr>
              <w:t xml:space="preserve"> 2002</w:t>
            </w:r>
          </w:p>
          <w:p w:rsidR="00152CFC" w:rsidRPr="004C5425" w:rsidRDefault="00152CFC" w:rsidP="008C067B">
            <w:pPr>
              <w:spacing w:line="276" w:lineRule="auto"/>
              <w:rPr>
                <w:sz w:val="18"/>
                <w:szCs w:val="18"/>
              </w:rPr>
            </w:pPr>
          </w:p>
        </w:tc>
        <w:tc>
          <w:tcPr>
            <w:tcW w:w="3119" w:type="dxa"/>
          </w:tcPr>
          <w:p w:rsidR="00152CFC" w:rsidRDefault="00152CFC" w:rsidP="00EA553B">
            <w:pPr>
              <w:spacing w:line="276" w:lineRule="auto"/>
              <w:rPr>
                <w:sz w:val="18"/>
                <w:szCs w:val="18"/>
              </w:rPr>
            </w:pPr>
            <w:r>
              <w:rPr>
                <w:sz w:val="18"/>
                <w:szCs w:val="18"/>
              </w:rPr>
              <w:t xml:space="preserve">OR </w:t>
            </w:r>
            <w:r w:rsidRPr="004C5425">
              <w:rPr>
                <w:sz w:val="18"/>
                <w:szCs w:val="18"/>
              </w:rPr>
              <w:t>1.4 (1.0-2.0)</w:t>
            </w:r>
          </w:p>
          <w:p w:rsidR="00152CFC" w:rsidRPr="004C5425" w:rsidRDefault="00152CFC" w:rsidP="00EA553B">
            <w:pPr>
              <w:spacing w:line="276" w:lineRule="auto"/>
              <w:rPr>
                <w:sz w:val="18"/>
                <w:szCs w:val="18"/>
              </w:rPr>
            </w:pPr>
            <w:r w:rsidRPr="004C5425">
              <w:rPr>
                <w:sz w:val="18"/>
                <w:szCs w:val="18"/>
              </w:rPr>
              <w:t>15.0%</w:t>
            </w:r>
            <w:r>
              <w:rPr>
                <w:sz w:val="18"/>
                <w:szCs w:val="18"/>
              </w:rPr>
              <w:t xml:space="preserve">, </w:t>
            </w:r>
            <w:r w:rsidRPr="004C5425">
              <w:rPr>
                <w:sz w:val="18"/>
                <w:szCs w:val="18"/>
              </w:rPr>
              <w:t>SIG</w:t>
            </w:r>
          </w:p>
        </w:tc>
        <w:tc>
          <w:tcPr>
            <w:tcW w:w="3827" w:type="dxa"/>
          </w:tcPr>
          <w:p w:rsidR="00152CFC" w:rsidRPr="004C5425" w:rsidRDefault="00152CFC" w:rsidP="00EA553B">
            <w:pPr>
              <w:rPr>
                <w:sz w:val="18"/>
                <w:szCs w:val="18"/>
              </w:rPr>
            </w:pPr>
            <w:r w:rsidRPr="004C5425">
              <w:rPr>
                <w:rStyle w:val="normaltextrun"/>
                <w:rFonts w:cs="Segoe UI"/>
                <w:sz w:val="18"/>
                <w:szCs w:val="18"/>
              </w:rPr>
              <w:t>693 cases</w:t>
            </w:r>
            <w:r>
              <w:rPr>
                <w:rStyle w:val="normaltextrun"/>
                <w:rFonts w:cs="Segoe UI"/>
                <w:sz w:val="18"/>
                <w:szCs w:val="18"/>
              </w:rPr>
              <w:t xml:space="preserve">, </w:t>
            </w:r>
            <w:r w:rsidRPr="004C5425">
              <w:rPr>
                <w:rStyle w:val="normaltextrun"/>
                <w:rFonts w:cs="Segoe UI"/>
                <w:sz w:val="18"/>
                <w:szCs w:val="18"/>
              </w:rPr>
              <w:t>9130 non</w:t>
            </w:r>
            <w:r>
              <w:rPr>
                <w:rStyle w:val="normaltextrun"/>
                <w:rFonts w:cs="Segoe UI"/>
                <w:sz w:val="18"/>
                <w:szCs w:val="18"/>
              </w:rPr>
              <w:t xml:space="preserve"> cases</w:t>
            </w:r>
          </w:p>
        </w:tc>
        <w:tc>
          <w:tcPr>
            <w:tcW w:w="1843" w:type="dxa"/>
          </w:tcPr>
          <w:p w:rsidR="00152CFC" w:rsidRPr="004C5425" w:rsidRDefault="00152CFC" w:rsidP="008C067B">
            <w:pPr>
              <w:rPr>
                <w:sz w:val="18"/>
                <w:szCs w:val="18"/>
              </w:rPr>
            </w:pPr>
            <w:r>
              <w:rPr>
                <w:rStyle w:val="normaltextrun"/>
                <w:rFonts w:cs="Segoe UI"/>
                <w:sz w:val="18"/>
                <w:szCs w:val="18"/>
              </w:rPr>
              <w:t>Pre BD</w:t>
            </w:r>
            <w:r w:rsidRPr="004C5425">
              <w:rPr>
                <w:rStyle w:val="normaltextrun"/>
                <w:rFonts w:cs="Segoe UI"/>
                <w:sz w:val="18"/>
                <w:szCs w:val="18"/>
              </w:rPr>
              <w:t> </w:t>
            </w:r>
            <w:r w:rsidRPr="004C5425">
              <w:rPr>
                <w:rStyle w:val="eop"/>
                <w:rFonts w:cs="Segoe UI"/>
                <w:sz w:val="18"/>
                <w:szCs w:val="18"/>
              </w:rPr>
              <w:t> </w:t>
            </w:r>
          </w:p>
        </w:tc>
        <w:tc>
          <w:tcPr>
            <w:tcW w:w="2409" w:type="dxa"/>
          </w:tcPr>
          <w:p w:rsidR="00152CFC" w:rsidRPr="004C5425" w:rsidRDefault="00152CFC" w:rsidP="008C067B">
            <w:pPr>
              <w:rPr>
                <w:sz w:val="18"/>
                <w:szCs w:val="18"/>
              </w:rPr>
            </w:pPr>
            <w:r w:rsidRPr="004C5425">
              <w:rPr>
                <w:rStyle w:val="normaltextrun"/>
                <w:rFonts w:cs="Segoe UI"/>
                <w:sz w:val="18"/>
                <w:szCs w:val="18"/>
              </w:rPr>
              <w:t>JEM</w:t>
            </w:r>
            <w:r w:rsidRPr="004C5425">
              <w:rPr>
                <w:rStyle w:val="eop"/>
                <w:rFonts w:cs="Segoe UI"/>
                <w:sz w:val="18"/>
                <w:szCs w:val="18"/>
              </w:rPr>
              <w:t> </w:t>
            </w:r>
          </w:p>
        </w:tc>
      </w:tr>
      <w:tr w:rsidR="00152CFC" w:rsidRPr="004C5425" w:rsidTr="00152CFC">
        <w:tc>
          <w:tcPr>
            <w:tcW w:w="1526" w:type="dxa"/>
          </w:tcPr>
          <w:p w:rsidR="00152CFC" w:rsidRPr="004C5425" w:rsidRDefault="00152CFC" w:rsidP="00EA553B">
            <w:pPr>
              <w:spacing w:line="276" w:lineRule="auto"/>
              <w:rPr>
                <w:sz w:val="18"/>
                <w:szCs w:val="18"/>
              </w:rPr>
            </w:pPr>
            <w:proofErr w:type="spellStart"/>
            <w:r w:rsidRPr="004C5425">
              <w:rPr>
                <w:sz w:val="18"/>
                <w:szCs w:val="18"/>
              </w:rPr>
              <w:t>Mak</w:t>
            </w:r>
            <w:proofErr w:type="spellEnd"/>
            <w:r>
              <w:rPr>
                <w:sz w:val="18"/>
                <w:szCs w:val="18"/>
              </w:rPr>
              <w:t xml:space="preserve"> </w:t>
            </w:r>
            <w:r w:rsidRPr="004C5425">
              <w:rPr>
                <w:sz w:val="18"/>
                <w:szCs w:val="18"/>
              </w:rPr>
              <w:t>2001</w:t>
            </w:r>
          </w:p>
        </w:tc>
        <w:tc>
          <w:tcPr>
            <w:tcW w:w="3119" w:type="dxa"/>
          </w:tcPr>
          <w:p w:rsidR="00152CFC" w:rsidRDefault="00152CFC" w:rsidP="008C067B">
            <w:pPr>
              <w:spacing w:line="276" w:lineRule="auto"/>
              <w:rPr>
                <w:sz w:val="18"/>
                <w:szCs w:val="18"/>
              </w:rPr>
            </w:pPr>
            <w:r>
              <w:rPr>
                <w:sz w:val="18"/>
                <w:szCs w:val="18"/>
              </w:rPr>
              <w:t>OR 1.8 (1.1-2.9)</w:t>
            </w:r>
          </w:p>
          <w:p w:rsidR="00152CFC" w:rsidRPr="004C5425" w:rsidRDefault="00152CFC" w:rsidP="00EA553B">
            <w:pPr>
              <w:spacing w:line="276" w:lineRule="auto"/>
              <w:rPr>
                <w:sz w:val="18"/>
                <w:szCs w:val="18"/>
              </w:rPr>
            </w:pPr>
            <w:r w:rsidRPr="004C5425">
              <w:rPr>
                <w:sz w:val="18"/>
                <w:szCs w:val="18"/>
              </w:rPr>
              <w:t>30%</w:t>
            </w:r>
            <w:r>
              <w:rPr>
                <w:sz w:val="18"/>
                <w:szCs w:val="18"/>
              </w:rPr>
              <w:t xml:space="preserve">, </w:t>
            </w:r>
            <w:r w:rsidRPr="004C5425">
              <w:rPr>
                <w:sz w:val="18"/>
                <w:szCs w:val="18"/>
              </w:rPr>
              <w:t>SIG</w:t>
            </w:r>
          </w:p>
        </w:tc>
        <w:tc>
          <w:tcPr>
            <w:tcW w:w="3827" w:type="dxa"/>
          </w:tcPr>
          <w:p w:rsidR="00152CFC" w:rsidRPr="004C5425" w:rsidRDefault="00152CFC" w:rsidP="00EA553B">
            <w:pPr>
              <w:pStyle w:val="paragraph"/>
              <w:spacing w:before="0" w:after="0"/>
              <w:textAlignment w:val="baseline"/>
              <w:rPr>
                <w:rFonts w:asciiTheme="minorHAnsi" w:hAnsiTheme="minorHAnsi" w:cs="Segoe UI"/>
                <w:sz w:val="12"/>
                <w:szCs w:val="12"/>
              </w:rPr>
            </w:pPr>
            <w:r w:rsidRPr="004C5425">
              <w:rPr>
                <w:rFonts w:asciiTheme="minorHAnsi" w:hAnsiTheme="minorHAnsi"/>
                <w:sz w:val="18"/>
                <w:szCs w:val="18"/>
              </w:rPr>
              <w:t>67 cases</w:t>
            </w:r>
          </w:p>
        </w:tc>
        <w:tc>
          <w:tcPr>
            <w:tcW w:w="1843" w:type="dxa"/>
          </w:tcPr>
          <w:p w:rsidR="00152CFC" w:rsidRPr="004C5425" w:rsidRDefault="00152CFC" w:rsidP="007B518C">
            <w:pPr>
              <w:rPr>
                <w:rFonts w:cs="Segoe UI"/>
                <w:sz w:val="12"/>
                <w:szCs w:val="12"/>
              </w:rPr>
            </w:pPr>
            <w:r>
              <w:rPr>
                <w:sz w:val="18"/>
                <w:szCs w:val="18"/>
              </w:rPr>
              <w:t>Pre BD</w:t>
            </w:r>
          </w:p>
        </w:tc>
        <w:tc>
          <w:tcPr>
            <w:tcW w:w="2409" w:type="dxa"/>
          </w:tcPr>
          <w:p w:rsidR="00152CFC" w:rsidRPr="004C5425" w:rsidRDefault="00152CFC" w:rsidP="00EA553B">
            <w:pPr>
              <w:pStyle w:val="paragraph"/>
              <w:spacing w:before="0" w:after="0"/>
              <w:textAlignment w:val="baseline"/>
              <w:rPr>
                <w:rFonts w:asciiTheme="minorHAnsi" w:hAnsiTheme="minorHAnsi" w:cs="Segoe UI"/>
                <w:sz w:val="12"/>
                <w:szCs w:val="12"/>
              </w:rPr>
            </w:pPr>
            <w:r w:rsidRPr="004C5425">
              <w:rPr>
                <w:rFonts w:asciiTheme="minorHAnsi" w:hAnsiTheme="minorHAnsi"/>
                <w:sz w:val="18"/>
                <w:szCs w:val="18"/>
              </w:rPr>
              <w:t>Self-reported</w:t>
            </w:r>
          </w:p>
        </w:tc>
      </w:tr>
    </w:tbl>
    <w:p w:rsidR="00DE092E" w:rsidRDefault="00DE092E" w:rsidP="00B1376B">
      <w:pPr>
        <w:ind w:right="2759"/>
        <w:jc w:val="both"/>
        <w:rPr>
          <w:sz w:val="18"/>
          <w:szCs w:val="18"/>
        </w:rPr>
      </w:pPr>
    </w:p>
    <w:p w:rsidR="00DE092E" w:rsidRDefault="00DE092E">
      <w:pPr>
        <w:rPr>
          <w:sz w:val="18"/>
          <w:szCs w:val="18"/>
        </w:rPr>
      </w:pPr>
      <w:r>
        <w:rPr>
          <w:sz w:val="18"/>
          <w:szCs w:val="18"/>
        </w:rPr>
        <w:br w:type="page"/>
      </w:r>
    </w:p>
    <w:p w:rsidR="00AD2354" w:rsidRDefault="00AD2354" w:rsidP="00B1376B">
      <w:pPr>
        <w:ind w:right="2759"/>
        <w:jc w:val="both"/>
        <w:rPr>
          <w:sz w:val="18"/>
          <w:szCs w:val="18"/>
        </w:rPr>
      </w:pPr>
      <w:r>
        <w:rPr>
          <w:sz w:val="18"/>
          <w:szCs w:val="18"/>
        </w:rPr>
        <w:lastRenderedPageBreak/>
        <w:t>Table 1 notes NOT</w:t>
      </w:r>
      <w:bookmarkStart w:id="0" w:name="_GoBack"/>
      <w:bookmarkEnd w:id="0"/>
      <w:r>
        <w:rPr>
          <w:sz w:val="18"/>
          <w:szCs w:val="18"/>
        </w:rPr>
        <w:t xml:space="preserve"> for publication</w:t>
      </w:r>
    </w:p>
    <w:p w:rsidR="002918C6" w:rsidRDefault="005F0F3D" w:rsidP="00B1376B">
      <w:pPr>
        <w:ind w:right="2759"/>
        <w:jc w:val="both"/>
        <w:rPr>
          <w:sz w:val="18"/>
          <w:szCs w:val="18"/>
        </w:rPr>
      </w:pPr>
      <w:proofErr w:type="gramStart"/>
      <w:r>
        <w:rPr>
          <w:sz w:val="18"/>
          <w:szCs w:val="18"/>
        </w:rPr>
        <w:t>a.</w:t>
      </w:r>
      <w:r w:rsidRPr="005F0F3D">
        <w:rPr>
          <w:sz w:val="18"/>
          <w:szCs w:val="18"/>
        </w:rPr>
        <w:t>12% PAF.</w:t>
      </w:r>
      <w:proofErr w:type="gramEnd"/>
      <w:r w:rsidRPr="005F0F3D">
        <w:rPr>
          <w:sz w:val="18"/>
          <w:szCs w:val="18"/>
        </w:rPr>
        <w:t xml:space="preserve"> The proportion of cases exposed is 283</w:t>
      </w:r>
      <w:proofErr w:type="gramStart"/>
      <w:r w:rsidRPr="005F0F3D">
        <w:rPr>
          <w:sz w:val="18"/>
          <w:szCs w:val="18"/>
        </w:rPr>
        <w:t>/(</w:t>
      </w:r>
      <w:proofErr w:type="gramEnd"/>
      <w:r w:rsidRPr="005F0F3D">
        <w:rPr>
          <w:sz w:val="18"/>
          <w:szCs w:val="18"/>
        </w:rPr>
        <w:t xml:space="preserve">283+438) which is 0.3925. </w:t>
      </w:r>
      <w:proofErr w:type="gramStart"/>
      <w:r w:rsidRPr="005F0F3D">
        <w:rPr>
          <w:sz w:val="18"/>
          <w:szCs w:val="18"/>
        </w:rPr>
        <w:t>OR 1.44 (1.04–1.97).</w:t>
      </w:r>
      <w:proofErr w:type="gramEnd"/>
    </w:p>
    <w:p w:rsidR="00B1376B" w:rsidRDefault="00B1376B" w:rsidP="00B1376B">
      <w:pPr>
        <w:ind w:right="2759"/>
        <w:jc w:val="both"/>
        <w:rPr>
          <w:sz w:val="18"/>
          <w:szCs w:val="18"/>
        </w:rPr>
      </w:pPr>
      <w:r>
        <w:rPr>
          <w:sz w:val="18"/>
          <w:szCs w:val="18"/>
        </w:rPr>
        <w:t xml:space="preserve">b. </w:t>
      </w:r>
      <w:r w:rsidRPr="00B1376B">
        <w:rPr>
          <w:sz w:val="18"/>
          <w:szCs w:val="18"/>
        </w:rPr>
        <w:t>PAR COPD 18.3%. 39 cases of COPD in manual labour, total of 131 cases in the occupational subgroup. Proportion of cases in manual labour 39/131=29.8%. OR for risk of COPD in manual labour=2.6 (1.3-5.3) (adjusted). PAR=29.8*(1.6/2.6</w:t>
      </w:r>
      <w:proofErr w:type="gramStart"/>
      <w:r w:rsidRPr="00B1376B">
        <w:rPr>
          <w:sz w:val="18"/>
          <w:szCs w:val="18"/>
        </w:rPr>
        <w:t>)=</w:t>
      </w:r>
      <w:proofErr w:type="gramEnd"/>
      <w:r w:rsidRPr="00B1376B">
        <w:rPr>
          <w:sz w:val="18"/>
          <w:szCs w:val="18"/>
        </w:rPr>
        <w:t>18.3% for manual labour. OR represents manual labour v those with a “lack of occupational exposure: managers</w:t>
      </w:r>
      <w:r>
        <w:rPr>
          <w:sz w:val="18"/>
          <w:szCs w:val="18"/>
        </w:rPr>
        <w:t xml:space="preserve"> </w:t>
      </w:r>
      <w:r w:rsidRPr="00B1376B">
        <w:rPr>
          <w:sz w:val="18"/>
          <w:szCs w:val="18"/>
        </w:rPr>
        <w:t>or professionals, office work, service or sales”.</w:t>
      </w:r>
    </w:p>
    <w:p w:rsidR="007861DA" w:rsidRDefault="007861DA" w:rsidP="00B1376B">
      <w:pPr>
        <w:ind w:right="2759"/>
        <w:jc w:val="both"/>
        <w:rPr>
          <w:sz w:val="18"/>
          <w:szCs w:val="18"/>
        </w:rPr>
      </w:pPr>
      <w:r>
        <w:rPr>
          <w:sz w:val="18"/>
          <w:szCs w:val="18"/>
        </w:rPr>
        <w:t xml:space="preserve">c. </w:t>
      </w:r>
      <w:r w:rsidRPr="007861DA">
        <w:rPr>
          <w:sz w:val="18"/>
          <w:szCs w:val="18"/>
        </w:rPr>
        <w:t>COPD; PAF (COPD LLN definition) 48% (30% to 65%) for VGDF. OR=3.69 (95% CI 1.36 to 10.04).</w:t>
      </w:r>
    </w:p>
    <w:p w:rsidR="0039604A" w:rsidRDefault="0039604A" w:rsidP="00B1376B">
      <w:pPr>
        <w:ind w:right="2759"/>
        <w:jc w:val="both"/>
        <w:rPr>
          <w:sz w:val="18"/>
          <w:szCs w:val="18"/>
        </w:rPr>
      </w:pPr>
      <w:r>
        <w:rPr>
          <w:sz w:val="18"/>
          <w:szCs w:val="18"/>
        </w:rPr>
        <w:t xml:space="preserve">d. </w:t>
      </w:r>
      <w:r w:rsidRPr="0039604A">
        <w:rPr>
          <w:sz w:val="18"/>
          <w:szCs w:val="18"/>
        </w:rPr>
        <w:t>COPD; no information given to allow proportion of cases exposed to be calculated. VGDF category data as follows; No versus high exposure OR (adjusted) =1.38 (0.99-1.93). n=2330 no exposure, n=1351 high exposure. Proportion of population exposed=1351/3681=37%. PAR=</w:t>
      </w:r>
      <w:proofErr w:type="gramStart"/>
      <w:r w:rsidRPr="0039604A">
        <w:rPr>
          <w:sz w:val="18"/>
          <w:szCs w:val="18"/>
        </w:rPr>
        <w:t>p(</w:t>
      </w:r>
      <w:proofErr w:type="gramEnd"/>
      <w:r w:rsidRPr="0039604A">
        <w:rPr>
          <w:sz w:val="18"/>
          <w:szCs w:val="18"/>
        </w:rPr>
        <w:t>RR-1)/(p(RR-1)+1)=0.37(0.38)/((0.37(0.38))=1)=12.3%.</w:t>
      </w:r>
    </w:p>
    <w:p w:rsidR="0039604A" w:rsidRDefault="0039604A" w:rsidP="00B1376B">
      <w:pPr>
        <w:ind w:right="2759"/>
        <w:jc w:val="both"/>
        <w:rPr>
          <w:sz w:val="18"/>
          <w:szCs w:val="18"/>
        </w:rPr>
      </w:pPr>
      <w:r>
        <w:rPr>
          <w:sz w:val="18"/>
          <w:szCs w:val="18"/>
        </w:rPr>
        <w:t xml:space="preserve">e. </w:t>
      </w:r>
      <w:r w:rsidR="007C6790" w:rsidRPr="007C6790">
        <w:rPr>
          <w:sz w:val="18"/>
          <w:szCs w:val="18"/>
        </w:rPr>
        <w:t>COPD; 24% for all workers, 53% for never smokers. The fraction of COPD attributable to occupational exposure was estimated to be 0.24 among all workers (RR, 1.32, 1.18-1.47)) and 0.53 among never-smoking workers (RR, 2.11, 1.17-3.83).</w:t>
      </w:r>
      <w:r w:rsidR="007C6790">
        <w:rPr>
          <w:sz w:val="18"/>
          <w:szCs w:val="18"/>
        </w:rPr>
        <w:t xml:space="preserve"> </w:t>
      </w:r>
    </w:p>
    <w:p w:rsidR="00F97E48" w:rsidRDefault="00F97E48" w:rsidP="00F97E48">
      <w:pPr>
        <w:ind w:right="2759"/>
        <w:jc w:val="both"/>
        <w:rPr>
          <w:sz w:val="18"/>
          <w:szCs w:val="18"/>
        </w:rPr>
      </w:pPr>
      <w:proofErr w:type="gramStart"/>
      <w:r>
        <w:rPr>
          <w:sz w:val="18"/>
          <w:szCs w:val="18"/>
        </w:rPr>
        <w:t>f</w:t>
      </w:r>
      <w:proofErr w:type="gramEnd"/>
      <w:r>
        <w:rPr>
          <w:sz w:val="18"/>
          <w:szCs w:val="18"/>
        </w:rPr>
        <w:t xml:space="preserve">. </w:t>
      </w:r>
      <w:r w:rsidRPr="00F97E48">
        <w:rPr>
          <w:sz w:val="18"/>
          <w:szCs w:val="18"/>
        </w:rPr>
        <w:t>COPD LLN (after contacting authors for additional information) as follows for ever/never VGDF exposed; ((OR-1)/OR)*</w:t>
      </w:r>
      <w:proofErr w:type="spellStart"/>
      <w:r w:rsidRPr="00F97E48">
        <w:rPr>
          <w:sz w:val="18"/>
          <w:szCs w:val="18"/>
        </w:rPr>
        <w:t>Pe</w:t>
      </w:r>
      <w:proofErr w:type="spellEnd"/>
      <w:r w:rsidRPr="00F97E48">
        <w:rPr>
          <w:sz w:val="18"/>
          <w:szCs w:val="18"/>
        </w:rPr>
        <w:t xml:space="preserve"> (</w:t>
      </w:r>
      <w:proofErr w:type="spellStart"/>
      <w:r w:rsidRPr="00F97E48">
        <w:rPr>
          <w:sz w:val="18"/>
          <w:szCs w:val="18"/>
        </w:rPr>
        <w:t>Pe</w:t>
      </w:r>
      <w:proofErr w:type="spellEnd"/>
      <w:r w:rsidRPr="00F97E48">
        <w:rPr>
          <w:sz w:val="18"/>
          <w:szCs w:val="18"/>
        </w:rPr>
        <w:t>=proportion of cases exposed)</w:t>
      </w:r>
      <w:r>
        <w:rPr>
          <w:sz w:val="18"/>
          <w:szCs w:val="18"/>
        </w:rPr>
        <w:t xml:space="preserve"> </w:t>
      </w:r>
      <w:r w:rsidRPr="00F97E48">
        <w:rPr>
          <w:sz w:val="18"/>
          <w:szCs w:val="18"/>
        </w:rPr>
        <w:t>OR=1.07 (0.64 – 1.81)</w:t>
      </w:r>
      <w:r>
        <w:rPr>
          <w:sz w:val="18"/>
          <w:szCs w:val="18"/>
        </w:rPr>
        <w:t xml:space="preserve"> </w:t>
      </w:r>
      <w:r w:rsidRPr="00F97E48">
        <w:rPr>
          <w:sz w:val="18"/>
          <w:szCs w:val="18"/>
        </w:rPr>
        <w:t>(55/83)*(0.07/1.07)=4.3%</w:t>
      </w:r>
    </w:p>
    <w:p w:rsidR="00242E09" w:rsidRDefault="00242E09" w:rsidP="00F97E48">
      <w:pPr>
        <w:ind w:right="2759"/>
        <w:jc w:val="both"/>
        <w:rPr>
          <w:sz w:val="18"/>
          <w:szCs w:val="18"/>
        </w:rPr>
      </w:pPr>
      <w:r>
        <w:rPr>
          <w:sz w:val="18"/>
          <w:szCs w:val="18"/>
        </w:rPr>
        <w:t xml:space="preserve">g. </w:t>
      </w:r>
      <w:r w:rsidRPr="00242E09">
        <w:rPr>
          <w:sz w:val="18"/>
          <w:szCs w:val="18"/>
        </w:rPr>
        <w:t xml:space="preserve">COPD; (“mild obstruction”). OR 1.41 (1.16 to 1.70) VGDF not exposed v VGDF high exposure. In non-exposed group, 917/6534 </w:t>
      </w:r>
      <w:proofErr w:type="gramStart"/>
      <w:r w:rsidRPr="00242E09">
        <w:rPr>
          <w:sz w:val="18"/>
          <w:szCs w:val="18"/>
        </w:rPr>
        <w:t>were</w:t>
      </w:r>
      <w:proofErr w:type="gramEnd"/>
      <w:r w:rsidRPr="00242E09">
        <w:rPr>
          <w:sz w:val="18"/>
          <w:szCs w:val="18"/>
        </w:rPr>
        <w:t xml:space="preserve"> cases. In high exposed group, 259/1332 </w:t>
      </w:r>
      <w:proofErr w:type="gramStart"/>
      <w:r w:rsidRPr="00242E09">
        <w:rPr>
          <w:sz w:val="18"/>
          <w:szCs w:val="18"/>
        </w:rPr>
        <w:t>were</w:t>
      </w:r>
      <w:proofErr w:type="gramEnd"/>
      <w:r w:rsidRPr="00242E09">
        <w:rPr>
          <w:sz w:val="18"/>
          <w:szCs w:val="18"/>
        </w:rPr>
        <w:t xml:space="preserve"> cases. </w:t>
      </w:r>
      <w:proofErr w:type="gramStart"/>
      <w:r w:rsidRPr="00242E09">
        <w:rPr>
          <w:sz w:val="18"/>
          <w:szCs w:val="18"/>
        </w:rPr>
        <w:t>Total cases in these two groups was</w:t>
      </w:r>
      <w:proofErr w:type="gramEnd"/>
      <w:r w:rsidRPr="00242E09">
        <w:rPr>
          <w:sz w:val="18"/>
          <w:szCs w:val="18"/>
        </w:rPr>
        <w:t xml:space="preserve"> 917+259=1176. Proportion of cases exposed=259/1176=22%. PAR</w:t>
      </w:r>
      <w:proofErr w:type="gramStart"/>
      <w:r w:rsidRPr="00242E09">
        <w:rPr>
          <w:sz w:val="18"/>
          <w:szCs w:val="18"/>
        </w:rPr>
        <w:t>=(</w:t>
      </w:r>
      <w:proofErr w:type="gramEnd"/>
      <w:r w:rsidRPr="00242E09">
        <w:rPr>
          <w:sz w:val="18"/>
          <w:szCs w:val="18"/>
        </w:rPr>
        <w:t>0.41/1.41)*22=6.4%.</w:t>
      </w:r>
    </w:p>
    <w:p w:rsidR="00F064AF" w:rsidRDefault="00F064AF" w:rsidP="00F064AF">
      <w:pPr>
        <w:ind w:right="2759"/>
        <w:jc w:val="both"/>
        <w:rPr>
          <w:sz w:val="18"/>
          <w:szCs w:val="18"/>
        </w:rPr>
      </w:pPr>
      <w:r>
        <w:rPr>
          <w:sz w:val="18"/>
          <w:szCs w:val="18"/>
        </w:rPr>
        <w:t xml:space="preserve">h. </w:t>
      </w:r>
      <w:r w:rsidRPr="00F064AF">
        <w:rPr>
          <w:sz w:val="18"/>
          <w:szCs w:val="18"/>
        </w:rPr>
        <w:t xml:space="preserve">140 incident cases from 4302 followed up. 44.3% of the incident cases had self-reported occupational exposure ("dust, gases or fumes") in 2007. This equates to 62 individuals. </w:t>
      </w:r>
      <w:proofErr w:type="gramStart"/>
      <w:r w:rsidRPr="00F064AF">
        <w:rPr>
          <w:sz w:val="18"/>
          <w:szCs w:val="18"/>
        </w:rPr>
        <w:t>Proportion of cases with self-reported exposures thus 62/140.</w:t>
      </w:r>
      <w:proofErr w:type="gramEnd"/>
      <w:r w:rsidRPr="00F064AF">
        <w:rPr>
          <w:sz w:val="18"/>
          <w:szCs w:val="18"/>
        </w:rPr>
        <w:t xml:space="preserve"> Adjusted OR=2.140 (1.503-3.046) for COPD. PAR</w:t>
      </w:r>
      <w:proofErr w:type="gramStart"/>
      <w:r w:rsidRPr="00F064AF">
        <w:rPr>
          <w:sz w:val="18"/>
          <w:szCs w:val="18"/>
        </w:rPr>
        <w:t>=(</w:t>
      </w:r>
      <w:proofErr w:type="gramEnd"/>
      <w:r w:rsidRPr="00F064AF">
        <w:rPr>
          <w:sz w:val="18"/>
          <w:szCs w:val="18"/>
        </w:rPr>
        <w:t>1.142/2.142)*(62/140)=.53*44.2=23.6%</w:t>
      </w:r>
    </w:p>
    <w:p w:rsidR="0048106E" w:rsidRDefault="0048106E" w:rsidP="00F064AF">
      <w:pPr>
        <w:ind w:right="2759"/>
        <w:jc w:val="both"/>
        <w:rPr>
          <w:sz w:val="18"/>
          <w:szCs w:val="18"/>
        </w:rPr>
      </w:pPr>
      <w:proofErr w:type="spellStart"/>
      <w:r>
        <w:rPr>
          <w:sz w:val="18"/>
          <w:szCs w:val="18"/>
        </w:rPr>
        <w:t>i</w:t>
      </w:r>
      <w:proofErr w:type="spellEnd"/>
      <w:r>
        <w:rPr>
          <w:sz w:val="18"/>
          <w:szCs w:val="18"/>
        </w:rPr>
        <w:t xml:space="preserve">. </w:t>
      </w:r>
      <w:r w:rsidRPr="0048106E">
        <w:rPr>
          <w:sz w:val="18"/>
          <w:szCs w:val="18"/>
        </w:rPr>
        <w:t>COPD; (</w:t>
      </w:r>
      <w:proofErr w:type="spellStart"/>
      <w:r w:rsidRPr="0048106E">
        <w:rPr>
          <w:sz w:val="18"/>
          <w:szCs w:val="18"/>
        </w:rPr>
        <w:t>i</w:t>
      </w:r>
      <w:proofErr w:type="spellEnd"/>
      <w:r w:rsidRPr="0048106E">
        <w:rPr>
          <w:sz w:val="18"/>
          <w:szCs w:val="18"/>
        </w:rPr>
        <w:t xml:space="preserve">) self-reported COPD from HSE study. </w:t>
      </w:r>
      <w:proofErr w:type="gramStart"/>
      <w:r w:rsidRPr="0048106E">
        <w:rPr>
          <w:sz w:val="18"/>
          <w:szCs w:val="18"/>
        </w:rPr>
        <w:t>Effect of routine job v professional 166 cases in referent and routine job groups, 108 of which are in routine job.</w:t>
      </w:r>
      <w:proofErr w:type="gramEnd"/>
      <w:r w:rsidRPr="0048106E">
        <w:rPr>
          <w:sz w:val="18"/>
          <w:szCs w:val="18"/>
        </w:rPr>
        <w:t xml:space="preserve"> 1.61 (1.13-2.31). PAR</w:t>
      </w:r>
      <w:proofErr w:type="gramStart"/>
      <w:r w:rsidRPr="0048106E">
        <w:rPr>
          <w:sz w:val="18"/>
          <w:szCs w:val="18"/>
        </w:rPr>
        <w:t>=(</w:t>
      </w:r>
      <w:proofErr w:type="gramEnd"/>
      <w:r w:rsidRPr="0048106E">
        <w:rPr>
          <w:sz w:val="18"/>
          <w:szCs w:val="18"/>
        </w:rPr>
        <w:t xml:space="preserve">(.61/1.61)*108)/166. PAR=24.7%. (ii) PB advice; 503 with COPD defined by LLN and of those 195 (43%) are in the routine work (e.g., heavy exposure) category. The OR of </w:t>
      </w:r>
      <w:proofErr w:type="gramStart"/>
      <w:r w:rsidRPr="0048106E">
        <w:rPr>
          <w:sz w:val="18"/>
          <w:szCs w:val="18"/>
        </w:rPr>
        <w:t>1.28  taken</w:t>
      </w:r>
      <w:proofErr w:type="gramEnd"/>
      <w:r w:rsidRPr="0048106E">
        <w:rPr>
          <w:sz w:val="18"/>
          <w:szCs w:val="18"/>
        </w:rPr>
        <w:t xml:space="preserve"> from the main paper and exposure </w:t>
      </w:r>
      <w:proofErr w:type="spellStart"/>
      <w:r w:rsidRPr="0048106E">
        <w:rPr>
          <w:sz w:val="18"/>
          <w:szCs w:val="18"/>
        </w:rPr>
        <w:t>fx</w:t>
      </w:r>
      <w:proofErr w:type="spellEnd"/>
      <w:r w:rsidRPr="0048106E">
        <w:rPr>
          <w:sz w:val="18"/>
          <w:szCs w:val="18"/>
        </w:rPr>
        <w:t xml:space="preserve"> 0f 0.43 among cases gives 0.28/1.28 x 0.43 = 9.4% PAR.  </w:t>
      </w:r>
    </w:p>
    <w:p w:rsidR="0094525B" w:rsidRDefault="0094525B" w:rsidP="00F064AF">
      <w:pPr>
        <w:ind w:right="2759"/>
        <w:jc w:val="both"/>
        <w:rPr>
          <w:sz w:val="18"/>
          <w:szCs w:val="18"/>
        </w:rPr>
      </w:pPr>
      <w:r>
        <w:rPr>
          <w:sz w:val="18"/>
          <w:szCs w:val="18"/>
        </w:rPr>
        <w:t xml:space="preserve">j. </w:t>
      </w:r>
      <w:r w:rsidRPr="0094525B">
        <w:rPr>
          <w:sz w:val="18"/>
          <w:szCs w:val="18"/>
        </w:rPr>
        <w:t>PAFs calculated by authors for two COPD endpoints and 4 exposure categories, and also for ever or never smokers. For ever smokers exposed to VGDF, PARs calculated as 24% for stage II+ GOLD COPD and 23% for LLN stage II+ COPD.</w:t>
      </w:r>
    </w:p>
    <w:p w:rsidR="00864026" w:rsidRDefault="00864026" w:rsidP="00F064AF">
      <w:pPr>
        <w:ind w:right="2759"/>
        <w:jc w:val="both"/>
        <w:rPr>
          <w:sz w:val="18"/>
          <w:szCs w:val="18"/>
        </w:rPr>
      </w:pPr>
      <w:r>
        <w:rPr>
          <w:sz w:val="18"/>
          <w:szCs w:val="18"/>
        </w:rPr>
        <w:t xml:space="preserve">k. </w:t>
      </w:r>
      <w:r w:rsidRPr="00864026">
        <w:rPr>
          <w:sz w:val="18"/>
          <w:szCs w:val="18"/>
        </w:rPr>
        <w:t>PAR 65.3% for "overall" occupational exposures, calculated by authors. Multiple other endpoints used to calculate PAR (low, medium, high VGDF, silica, etc</w:t>
      </w:r>
      <w:proofErr w:type="gramStart"/>
      <w:r w:rsidRPr="00864026">
        <w:rPr>
          <w:sz w:val="18"/>
          <w:szCs w:val="18"/>
        </w:rPr>
        <w:t>..)</w:t>
      </w:r>
      <w:proofErr w:type="gramEnd"/>
      <w:r w:rsidRPr="00864026">
        <w:rPr>
          <w:sz w:val="18"/>
          <w:szCs w:val="18"/>
        </w:rPr>
        <w:t>. This was based on OR 5.9 (3.6 to 9.8)</w:t>
      </w:r>
    </w:p>
    <w:p w:rsidR="00864026" w:rsidRDefault="00864026" w:rsidP="00864026">
      <w:pPr>
        <w:ind w:right="2759"/>
        <w:jc w:val="both"/>
        <w:rPr>
          <w:sz w:val="18"/>
          <w:szCs w:val="18"/>
        </w:rPr>
      </w:pPr>
      <w:proofErr w:type="gramStart"/>
      <w:r>
        <w:rPr>
          <w:sz w:val="18"/>
          <w:szCs w:val="18"/>
        </w:rPr>
        <w:lastRenderedPageBreak/>
        <w:t xml:space="preserve">l. </w:t>
      </w:r>
      <w:r w:rsidRPr="00864026">
        <w:rPr>
          <w:sz w:val="18"/>
          <w:szCs w:val="18"/>
        </w:rPr>
        <w:t>10.4</w:t>
      </w:r>
      <w:proofErr w:type="gramEnd"/>
      <w:r w:rsidRPr="00864026">
        <w:rPr>
          <w:sz w:val="18"/>
          <w:szCs w:val="18"/>
        </w:rPr>
        <w:t>% (95% CI -0.9%, 19.5%) as calculated by the authors for any dust gas/fume exposure and COPD using LLN definition</w:t>
      </w:r>
      <w:r w:rsidR="003D49A0">
        <w:rPr>
          <w:sz w:val="18"/>
          <w:szCs w:val="18"/>
        </w:rPr>
        <w:t xml:space="preserve"> </w:t>
      </w:r>
      <w:r w:rsidRPr="00864026">
        <w:rPr>
          <w:sz w:val="18"/>
          <w:szCs w:val="18"/>
        </w:rPr>
        <w:t>[9.1%. This was not calculated by the authors.  COPD was associated with high exposure to dust or gas/fume (exposed: 87/1206 v non-exposed: 191/3853; adjusted odds ratio: 1.41; 95% confidence interval (CI) 1.06, 1.87). 278 cases, 87 of which were exposed=31.3%. PAR=0.41/1.41*31.3=9.10%]</w:t>
      </w:r>
    </w:p>
    <w:p w:rsidR="00EA553B" w:rsidRDefault="00EA553B" w:rsidP="00864026">
      <w:pPr>
        <w:ind w:right="2759"/>
        <w:jc w:val="both"/>
        <w:rPr>
          <w:sz w:val="18"/>
          <w:szCs w:val="18"/>
        </w:rPr>
      </w:pPr>
      <w:r>
        <w:rPr>
          <w:sz w:val="18"/>
          <w:szCs w:val="18"/>
        </w:rPr>
        <w:t xml:space="preserve">m. </w:t>
      </w:r>
      <w:r w:rsidRPr="00EA553B">
        <w:rPr>
          <w:sz w:val="18"/>
          <w:szCs w:val="18"/>
        </w:rPr>
        <w:t>COPD; 20% for spirometry defined COPD GOLD 1 or greater. 58.7% for self-reported VGDF exposures, and 31% based on high risk JEM derived exposure category.</w:t>
      </w:r>
    </w:p>
    <w:p w:rsidR="00FD53BD" w:rsidRDefault="00FD53BD" w:rsidP="00864026">
      <w:pPr>
        <w:ind w:right="2759"/>
        <w:jc w:val="both"/>
        <w:rPr>
          <w:sz w:val="18"/>
          <w:szCs w:val="18"/>
        </w:rPr>
      </w:pPr>
      <w:r>
        <w:rPr>
          <w:sz w:val="18"/>
          <w:szCs w:val="18"/>
        </w:rPr>
        <w:t xml:space="preserve">n. </w:t>
      </w:r>
      <w:r w:rsidRPr="00FD53BD">
        <w:rPr>
          <w:sz w:val="18"/>
          <w:szCs w:val="18"/>
        </w:rPr>
        <w:t xml:space="preserve">COPD; data used from Table 3 (univariate OR only quoted, thus unadjusted for other factors (adjusted models only contain duration of occupational exposures). </w:t>
      </w:r>
      <w:proofErr w:type="gramStart"/>
      <w:r w:rsidRPr="00FD53BD">
        <w:rPr>
          <w:sz w:val="18"/>
          <w:szCs w:val="18"/>
        </w:rPr>
        <w:t>Dusty job yes/no (by greater or less than 30 years of exposure), COPD yes/no.</w:t>
      </w:r>
      <w:proofErr w:type="gramEnd"/>
      <w:r w:rsidRPr="00FD53BD">
        <w:rPr>
          <w:sz w:val="18"/>
          <w:szCs w:val="18"/>
        </w:rPr>
        <w:t xml:space="preserve"> OR=1.16 (0.79-1.69). </w:t>
      </w:r>
      <w:proofErr w:type="gramStart"/>
      <w:r w:rsidRPr="00FD53BD">
        <w:rPr>
          <w:sz w:val="18"/>
          <w:szCs w:val="18"/>
        </w:rPr>
        <w:t>141 cases, 53 of whom are exposed.</w:t>
      </w:r>
      <w:proofErr w:type="gramEnd"/>
      <w:r w:rsidRPr="00FD53BD">
        <w:rPr>
          <w:sz w:val="18"/>
          <w:szCs w:val="18"/>
        </w:rPr>
        <w:t xml:space="preserve"> </w:t>
      </w:r>
      <w:proofErr w:type="spellStart"/>
      <w:r w:rsidRPr="00FD53BD">
        <w:rPr>
          <w:sz w:val="18"/>
          <w:szCs w:val="18"/>
        </w:rPr>
        <w:t>Pe</w:t>
      </w:r>
      <w:proofErr w:type="spellEnd"/>
      <w:r w:rsidRPr="00FD53BD">
        <w:rPr>
          <w:sz w:val="18"/>
          <w:szCs w:val="18"/>
        </w:rPr>
        <w:t>=53/141. PAR</w:t>
      </w:r>
      <w:proofErr w:type="gramStart"/>
      <w:r w:rsidRPr="00FD53BD">
        <w:rPr>
          <w:sz w:val="18"/>
          <w:szCs w:val="18"/>
        </w:rPr>
        <w:t>=(</w:t>
      </w:r>
      <w:proofErr w:type="gramEnd"/>
      <w:r w:rsidRPr="00FD53BD">
        <w:rPr>
          <w:sz w:val="18"/>
          <w:szCs w:val="18"/>
        </w:rPr>
        <w:t>0.16</w:t>
      </w:r>
      <w:r>
        <w:rPr>
          <w:sz w:val="18"/>
          <w:szCs w:val="18"/>
        </w:rPr>
        <w:t xml:space="preserve">/1.16)*(53/141)=0.14*0.38=5.3% </w:t>
      </w:r>
    </w:p>
    <w:p w:rsidR="00012A61" w:rsidRDefault="00012A61" w:rsidP="00864026">
      <w:pPr>
        <w:ind w:right="2759"/>
        <w:jc w:val="both"/>
        <w:rPr>
          <w:sz w:val="18"/>
          <w:szCs w:val="18"/>
        </w:rPr>
      </w:pPr>
      <w:proofErr w:type="gramStart"/>
      <w:r>
        <w:rPr>
          <w:sz w:val="18"/>
          <w:szCs w:val="18"/>
        </w:rPr>
        <w:t xml:space="preserve">o. </w:t>
      </w:r>
      <w:r w:rsidRPr="00012A61">
        <w:rPr>
          <w:sz w:val="18"/>
          <w:szCs w:val="18"/>
        </w:rPr>
        <w:t>39.6</w:t>
      </w:r>
      <w:proofErr w:type="gramEnd"/>
      <w:r w:rsidRPr="00012A61">
        <w:rPr>
          <w:sz w:val="18"/>
          <w:szCs w:val="18"/>
        </w:rPr>
        <w:t xml:space="preserve">%; not calculated by authors and does not appear to contain enough data to derive a PAR. </w:t>
      </w:r>
      <w:proofErr w:type="gramStart"/>
      <w:r w:rsidRPr="00012A61">
        <w:rPr>
          <w:sz w:val="18"/>
          <w:szCs w:val="18"/>
        </w:rPr>
        <w:t>After contacting them directly; data as follows.</w:t>
      </w:r>
      <w:proofErr w:type="gramEnd"/>
      <w:r w:rsidRPr="00012A61">
        <w:rPr>
          <w:sz w:val="18"/>
          <w:szCs w:val="18"/>
        </w:rPr>
        <w:t xml:space="preserve"> 39.6%. (</w:t>
      </w:r>
      <w:proofErr w:type="gramStart"/>
      <w:r w:rsidRPr="00012A61">
        <w:rPr>
          <w:sz w:val="18"/>
          <w:szCs w:val="18"/>
        </w:rPr>
        <w:t>PAR%</w:t>
      </w:r>
      <w:proofErr w:type="gramEnd"/>
      <w:r w:rsidRPr="00012A61">
        <w:rPr>
          <w:sz w:val="18"/>
          <w:szCs w:val="18"/>
        </w:rPr>
        <w:t>) of occupational exposures to COPD was: (417/839) x [(61 x 393)/(356 x 29) – 1] / [0.497 x (2.32 – 1) +1] = 39.6%.</w:t>
      </w:r>
    </w:p>
    <w:p w:rsidR="007909FF" w:rsidRDefault="007909FF" w:rsidP="00864026">
      <w:pPr>
        <w:ind w:right="2759"/>
        <w:jc w:val="both"/>
        <w:rPr>
          <w:sz w:val="18"/>
          <w:szCs w:val="18"/>
        </w:rPr>
      </w:pPr>
      <w:r>
        <w:rPr>
          <w:sz w:val="18"/>
          <w:szCs w:val="18"/>
        </w:rPr>
        <w:t xml:space="preserve">p. </w:t>
      </w:r>
      <w:r w:rsidRPr="007909FF">
        <w:rPr>
          <w:sz w:val="18"/>
          <w:szCs w:val="18"/>
        </w:rPr>
        <w:t xml:space="preserve">COPD; 12.2% for industry and 17.4% for occupation stratifications. NEED FULL PAPER. Paper arrived 6.1.17. 12.2% has a limit of 12.1-12.5, and 17.4% has a limit of 17.1-17.6. </w:t>
      </w:r>
      <w:proofErr w:type="gramStart"/>
      <w:r w:rsidRPr="007909FF">
        <w:rPr>
          <w:sz w:val="18"/>
          <w:szCs w:val="18"/>
        </w:rPr>
        <w:t>Both thus significant.</w:t>
      </w:r>
      <w:proofErr w:type="gramEnd"/>
      <w:r>
        <w:rPr>
          <w:sz w:val="18"/>
          <w:szCs w:val="18"/>
        </w:rPr>
        <w:t xml:space="preserve"> </w:t>
      </w:r>
    </w:p>
    <w:p w:rsidR="007909FF" w:rsidRDefault="007909FF" w:rsidP="00864026">
      <w:pPr>
        <w:ind w:right="2759"/>
        <w:jc w:val="both"/>
        <w:rPr>
          <w:sz w:val="18"/>
          <w:szCs w:val="18"/>
        </w:rPr>
      </w:pPr>
      <w:proofErr w:type="gramStart"/>
      <w:r>
        <w:rPr>
          <w:sz w:val="18"/>
          <w:szCs w:val="18"/>
        </w:rPr>
        <w:t xml:space="preserve">q. </w:t>
      </w:r>
      <w:r w:rsidRPr="007909FF">
        <w:rPr>
          <w:sz w:val="18"/>
          <w:szCs w:val="18"/>
        </w:rPr>
        <w:t>4</w:t>
      </w:r>
      <w:proofErr w:type="gramEnd"/>
      <w:r w:rsidRPr="007909FF">
        <w:rPr>
          <w:sz w:val="18"/>
          <w:szCs w:val="18"/>
        </w:rPr>
        <w:t>% (calculated by DF). OR 1.2 (1.04-1.39), total cases 1668, total cases exposed 394 (dust/gases/fumes).</w:t>
      </w:r>
    </w:p>
    <w:p w:rsidR="00382BDD" w:rsidRDefault="00382BDD" w:rsidP="00864026">
      <w:pPr>
        <w:ind w:right="2759"/>
        <w:jc w:val="both"/>
        <w:rPr>
          <w:rStyle w:val="eop"/>
          <w:rFonts w:cs="Segoe UI"/>
          <w:sz w:val="18"/>
          <w:szCs w:val="18"/>
        </w:rPr>
      </w:pPr>
      <w:r>
        <w:rPr>
          <w:sz w:val="18"/>
          <w:szCs w:val="18"/>
        </w:rPr>
        <w:t xml:space="preserve">r. </w:t>
      </w:r>
      <w:r w:rsidRPr="004C5425">
        <w:rPr>
          <w:rStyle w:val="normaltextrun"/>
          <w:rFonts w:cs="Segoe UI"/>
          <w:sz w:val="18"/>
          <w:szCs w:val="18"/>
        </w:rPr>
        <w:t>COPD; GOLD</w:t>
      </w:r>
      <w:r w:rsidRPr="004C5425">
        <w:rPr>
          <w:rStyle w:val="apple-converted-space"/>
          <w:rFonts w:cs="Segoe UI"/>
          <w:sz w:val="18"/>
          <w:szCs w:val="18"/>
        </w:rPr>
        <w:t> </w:t>
      </w:r>
      <w:r w:rsidRPr="004C5425">
        <w:rPr>
          <w:rStyle w:val="normaltextrun"/>
          <w:rFonts w:cs="Segoe UI"/>
          <w:sz w:val="18"/>
          <w:szCs w:val="18"/>
        </w:rPr>
        <w:t>II or higher. 7.7%. Study largely related to assessment of farming exposures alone, not other high risk groups. Assume from paper that the PAR calculation relates to the OR 1.8; 95% CI 1.2–2.8?</w:t>
      </w:r>
      <w:r w:rsidRPr="004C5425">
        <w:rPr>
          <w:rStyle w:val="apple-converted-space"/>
          <w:rFonts w:cs="Segoe UI"/>
          <w:sz w:val="18"/>
          <w:szCs w:val="18"/>
        </w:rPr>
        <w:t> </w:t>
      </w:r>
      <w:r w:rsidRPr="004C5425">
        <w:rPr>
          <w:rStyle w:val="eop"/>
          <w:rFonts w:cs="Segoe UI"/>
          <w:sz w:val="18"/>
          <w:szCs w:val="18"/>
        </w:rPr>
        <w:t> </w:t>
      </w:r>
    </w:p>
    <w:p w:rsidR="00CF33F0" w:rsidRDefault="00CF33F0" w:rsidP="00864026">
      <w:pPr>
        <w:ind w:right="2759"/>
        <w:jc w:val="both"/>
        <w:rPr>
          <w:rStyle w:val="eop"/>
          <w:rFonts w:cs="Segoe UI"/>
          <w:sz w:val="18"/>
          <w:szCs w:val="18"/>
        </w:rPr>
      </w:pPr>
      <w:r>
        <w:rPr>
          <w:rStyle w:val="eop"/>
          <w:rFonts w:cs="Segoe UI"/>
          <w:sz w:val="18"/>
          <w:szCs w:val="18"/>
        </w:rPr>
        <w:t xml:space="preserve">s. </w:t>
      </w:r>
      <w:r w:rsidRPr="00CF33F0">
        <w:rPr>
          <w:rStyle w:val="eop"/>
          <w:rFonts w:cs="Segoe UI"/>
          <w:sz w:val="18"/>
          <w:szCs w:val="18"/>
        </w:rPr>
        <w:t xml:space="preserve">COPD; 9% (calculated by PB). </w:t>
      </w:r>
      <w:proofErr w:type="gramStart"/>
      <w:r w:rsidRPr="00CF33F0">
        <w:rPr>
          <w:rStyle w:val="eop"/>
          <w:rFonts w:cs="Segoe UI"/>
          <w:sz w:val="18"/>
          <w:szCs w:val="18"/>
        </w:rPr>
        <w:t>OR 1.2 (0.7-2.2).</w:t>
      </w:r>
      <w:proofErr w:type="gramEnd"/>
      <w:r w:rsidRPr="00CF33F0">
        <w:rPr>
          <w:rStyle w:val="eop"/>
          <w:rFonts w:cs="Segoe UI"/>
          <w:sz w:val="18"/>
          <w:szCs w:val="18"/>
        </w:rPr>
        <w:t xml:space="preserve"> NEEDS CHECKING WITH PB’S ESTIMASTES FOR COPD AND CB</w:t>
      </w:r>
    </w:p>
    <w:p w:rsidR="00BD4723" w:rsidRDefault="00BD4723" w:rsidP="00864026">
      <w:pPr>
        <w:ind w:right="2759"/>
        <w:jc w:val="both"/>
        <w:rPr>
          <w:rStyle w:val="eop"/>
          <w:rFonts w:cs="Segoe UI"/>
          <w:sz w:val="18"/>
          <w:szCs w:val="18"/>
        </w:rPr>
      </w:pPr>
      <w:proofErr w:type="gramStart"/>
      <w:r>
        <w:rPr>
          <w:rStyle w:val="eop"/>
          <w:rFonts w:cs="Segoe UI"/>
          <w:sz w:val="18"/>
          <w:szCs w:val="18"/>
        </w:rPr>
        <w:t xml:space="preserve">t. </w:t>
      </w:r>
      <w:r w:rsidRPr="00BD4723">
        <w:rPr>
          <w:rStyle w:val="eop"/>
          <w:rFonts w:cs="Segoe UI"/>
          <w:sz w:val="18"/>
          <w:szCs w:val="18"/>
        </w:rPr>
        <w:t>37</w:t>
      </w:r>
      <w:proofErr w:type="gramEnd"/>
      <w:r w:rsidRPr="00BD4723">
        <w:rPr>
          <w:rStyle w:val="eop"/>
          <w:rFonts w:cs="Segoe UI"/>
          <w:sz w:val="18"/>
          <w:szCs w:val="18"/>
        </w:rPr>
        <w:t xml:space="preserve">%, 8%, 27% in biological dusts, mineral dusts and gases/fumes exposed. </w:t>
      </w:r>
      <w:proofErr w:type="gramStart"/>
      <w:r w:rsidRPr="00BD4723">
        <w:rPr>
          <w:rStyle w:val="eop"/>
          <w:rFonts w:cs="Segoe UI"/>
          <w:sz w:val="18"/>
          <w:szCs w:val="18"/>
        </w:rPr>
        <w:t>OR 2.7 (1.4-5.2), 1.1 (0.6-2.3), 1.6 (0.8-3.2) respectively.</w:t>
      </w:r>
      <w:proofErr w:type="gramEnd"/>
    </w:p>
    <w:p w:rsidR="00F06694" w:rsidRDefault="00F06694" w:rsidP="00F06694">
      <w:pPr>
        <w:ind w:right="2759"/>
        <w:jc w:val="both"/>
        <w:rPr>
          <w:rStyle w:val="eop"/>
          <w:rFonts w:cs="Segoe UI"/>
          <w:sz w:val="18"/>
          <w:szCs w:val="18"/>
        </w:rPr>
      </w:pPr>
      <w:r>
        <w:rPr>
          <w:rStyle w:val="eop"/>
          <w:rFonts w:cs="Segoe UI"/>
          <w:sz w:val="18"/>
          <w:szCs w:val="18"/>
        </w:rPr>
        <w:t xml:space="preserve">u. </w:t>
      </w:r>
      <w:r w:rsidRPr="00F06694">
        <w:rPr>
          <w:rStyle w:val="eop"/>
          <w:rFonts w:cs="Segoe UI"/>
          <w:sz w:val="18"/>
          <w:szCs w:val="18"/>
        </w:rPr>
        <w:t>COPD; (not calculated by authors).</w:t>
      </w:r>
      <w:r>
        <w:rPr>
          <w:rStyle w:val="eop"/>
          <w:rFonts w:cs="Segoe UI"/>
          <w:sz w:val="18"/>
          <w:szCs w:val="18"/>
        </w:rPr>
        <w:t xml:space="preserve"> </w:t>
      </w:r>
      <w:r w:rsidRPr="00F06694">
        <w:rPr>
          <w:rStyle w:val="eop"/>
          <w:rFonts w:cs="Segoe UI"/>
          <w:sz w:val="18"/>
          <w:szCs w:val="18"/>
        </w:rPr>
        <w:t xml:space="preserve">OR (corrected) 1.47 (1.31-1.65) for GOLD 0. </w:t>
      </w:r>
      <w:proofErr w:type="gramStart"/>
      <w:r w:rsidRPr="00F06694">
        <w:rPr>
          <w:rStyle w:val="eop"/>
          <w:rFonts w:cs="Segoe UI"/>
          <w:sz w:val="18"/>
          <w:szCs w:val="18"/>
        </w:rPr>
        <w:t>PAF%</w:t>
      </w:r>
      <w:proofErr w:type="gramEnd"/>
      <w:r w:rsidRPr="00F06694">
        <w:rPr>
          <w:rStyle w:val="eop"/>
          <w:rFonts w:cs="Segoe UI"/>
          <w:sz w:val="18"/>
          <w:szCs w:val="18"/>
        </w:rPr>
        <w:t>=(0.47/1.47)*</w:t>
      </w:r>
      <w:proofErr w:type="spellStart"/>
      <w:r w:rsidRPr="00F06694">
        <w:rPr>
          <w:rStyle w:val="eop"/>
          <w:rFonts w:cs="Segoe UI"/>
          <w:sz w:val="18"/>
          <w:szCs w:val="18"/>
        </w:rPr>
        <w:t>Pe</w:t>
      </w:r>
      <w:proofErr w:type="spellEnd"/>
      <w:r w:rsidRPr="00F06694">
        <w:rPr>
          <w:rStyle w:val="eop"/>
          <w:rFonts w:cs="Segoe UI"/>
          <w:sz w:val="18"/>
          <w:szCs w:val="18"/>
        </w:rPr>
        <w:t>.</w:t>
      </w:r>
      <w:r>
        <w:rPr>
          <w:rStyle w:val="eop"/>
          <w:rFonts w:cs="Segoe UI"/>
          <w:sz w:val="18"/>
          <w:szCs w:val="18"/>
        </w:rPr>
        <w:t xml:space="preserve"> </w:t>
      </w:r>
      <w:proofErr w:type="spellStart"/>
      <w:r w:rsidRPr="00F06694">
        <w:rPr>
          <w:rStyle w:val="eop"/>
          <w:rFonts w:cs="Segoe UI"/>
          <w:sz w:val="18"/>
          <w:szCs w:val="18"/>
        </w:rPr>
        <w:t>Pe</w:t>
      </w:r>
      <w:proofErr w:type="spellEnd"/>
      <w:r w:rsidRPr="00F06694">
        <w:rPr>
          <w:rStyle w:val="eop"/>
          <w:rFonts w:cs="Segoe UI"/>
          <w:sz w:val="18"/>
          <w:szCs w:val="18"/>
        </w:rPr>
        <w:t>=54.4%</w:t>
      </w:r>
      <w:r>
        <w:rPr>
          <w:rStyle w:val="eop"/>
          <w:rFonts w:cs="Segoe UI"/>
          <w:sz w:val="18"/>
          <w:szCs w:val="18"/>
        </w:rPr>
        <w:t xml:space="preserve"> </w:t>
      </w:r>
      <w:r w:rsidRPr="00F06694">
        <w:rPr>
          <w:rStyle w:val="eop"/>
          <w:rFonts w:cs="Segoe UI"/>
          <w:sz w:val="18"/>
          <w:szCs w:val="18"/>
        </w:rPr>
        <w:t>PAF%= 17.4</w:t>
      </w:r>
    </w:p>
    <w:p w:rsidR="00E831BD" w:rsidRPr="005F0F3D" w:rsidRDefault="00152CFC" w:rsidP="00E831BD">
      <w:pPr>
        <w:ind w:right="2759"/>
        <w:jc w:val="both"/>
        <w:rPr>
          <w:sz w:val="18"/>
          <w:szCs w:val="18"/>
        </w:rPr>
      </w:pPr>
      <w:r>
        <w:rPr>
          <w:sz w:val="18"/>
          <w:szCs w:val="18"/>
        </w:rPr>
        <w:t xml:space="preserve">v. </w:t>
      </w:r>
      <w:proofErr w:type="spellStart"/>
      <w:r w:rsidR="00E831BD">
        <w:rPr>
          <w:sz w:val="18"/>
          <w:szCs w:val="18"/>
        </w:rPr>
        <w:t>Hnizdo</w:t>
      </w:r>
      <w:proofErr w:type="spellEnd"/>
      <w:r w:rsidR="00E831BD">
        <w:rPr>
          <w:sz w:val="18"/>
          <w:szCs w:val="18"/>
        </w:rPr>
        <w:t xml:space="preserve"> 2004 </w:t>
      </w:r>
      <w:r w:rsidR="00E831BD" w:rsidRPr="00E831BD">
        <w:rPr>
          <w:sz w:val="18"/>
          <w:szCs w:val="18"/>
        </w:rPr>
        <w:t xml:space="preserve">COPD (AO); 22.2%, (95% CI 9.1–33.4). Calculated by combining all occupational groups with OR for COPD&gt;1. </w:t>
      </w:r>
      <w:proofErr w:type="gramStart"/>
      <w:r w:rsidR="00E831BD" w:rsidRPr="00E831BD">
        <w:rPr>
          <w:sz w:val="18"/>
          <w:szCs w:val="18"/>
        </w:rPr>
        <w:t>[23.4%, 49</w:t>
      </w:r>
      <w:r w:rsidR="00324F7F">
        <w:rPr>
          <w:sz w:val="18"/>
          <w:szCs w:val="18"/>
        </w:rPr>
        <w:t>.6% in differing ethics groups.</w:t>
      </w:r>
      <w:proofErr w:type="gramEnd"/>
    </w:p>
    <w:p w:rsidR="00C27340" w:rsidRPr="001F45C7" w:rsidRDefault="00C27340" w:rsidP="001F45C7">
      <w:pPr>
        <w:jc w:val="both"/>
        <w:rPr>
          <w:sz w:val="18"/>
          <w:szCs w:val="18"/>
        </w:rPr>
      </w:pPr>
    </w:p>
    <w:p w:rsidR="00C27340" w:rsidRPr="001F45C7" w:rsidRDefault="00C27340" w:rsidP="001F45C7">
      <w:pPr>
        <w:jc w:val="both"/>
      </w:pPr>
    </w:p>
    <w:p w:rsidR="00C27340" w:rsidRPr="001F45C7" w:rsidRDefault="00C27340" w:rsidP="001F45C7">
      <w:pPr>
        <w:jc w:val="both"/>
      </w:pPr>
    </w:p>
    <w:p w:rsidR="00546B54" w:rsidRDefault="00546B54" w:rsidP="001F45C7">
      <w:pPr>
        <w:jc w:val="both"/>
        <w:sectPr w:rsidR="00546B54" w:rsidSect="00546B54">
          <w:pgSz w:w="16838" w:h="11906" w:orient="landscape"/>
          <w:pgMar w:top="1440" w:right="1440" w:bottom="1440" w:left="1440" w:header="708" w:footer="708" w:gutter="0"/>
          <w:cols w:space="708"/>
          <w:docGrid w:linePitch="360"/>
        </w:sectPr>
      </w:pPr>
    </w:p>
    <w:p w:rsidR="00C27340" w:rsidRPr="001F45C7" w:rsidRDefault="00C27340" w:rsidP="001F45C7">
      <w:pPr>
        <w:jc w:val="both"/>
      </w:pPr>
      <w:r w:rsidRPr="001F45C7">
        <w:lastRenderedPageBreak/>
        <w:t xml:space="preserve">Table </w:t>
      </w:r>
      <w:r w:rsidR="00C75EC3">
        <w:t>2</w:t>
      </w:r>
      <w:r w:rsidR="00375791" w:rsidRPr="001F45C7">
        <w:t>;</w:t>
      </w:r>
      <w:r w:rsidRPr="001F45C7">
        <w:t xml:space="preserve"> C</w:t>
      </w:r>
      <w:r w:rsidR="00BD2D93" w:rsidRPr="001F45C7">
        <w:t>hronic Bronchitis s</w:t>
      </w:r>
      <w:r w:rsidRPr="001F45C7">
        <w:t>tudies</w:t>
      </w:r>
    </w:p>
    <w:tbl>
      <w:tblPr>
        <w:tblStyle w:val="TableGrid"/>
        <w:tblW w:w="9072" w:type="dxa"/>
        <w:tblInd w:w="-459" w:type="dxa"/>
        <w:tblLayout w:type="fixed"/>
        <w:tblLook w:val="04A0" w:firstRow="1" w:lastRow="0" w:firstColumn="1" w:lastColumn="0" w:noHBand="0" w:noVBand="1"/>
      </w:tblPr>
      <w:tblGrid>
        <w:gridCol w:w="1560"/>
        <w:gridCol w:w="2551"/>
        <w:gridCol w:w="2552"/>
        <w:gridCol w:w="2409"/>
      </w:tblGrid>
      <w:tr w:rsidR="00990CED" w:rsidRPr="004C5425" w:rsidTr="00990CED">
        <w:tc>
          <w:tcPr>
            <w:tcW w:w="1560" w:type="dxa"/>
          </w:tcPr>
          <w:p w:rsidR="00990CED" w:rsidRPr="00546B54" w:rsidRDefault="00990CED" w:rsidP="00393C2D">
            <w:pPr>
              <w:spacing w:line="276" w:lineRule="auto"/>
              <w:rPr>
                <w:b/>
                <w:sz w:val="18"/>
                <w:szCs w:val="18"/>
              </w:rPr>
            </w:pPr>
            <w:r w:rsidRPr="00546B54">
              <w:rPr>
                <w:b/>
                <w:sz w:val="18"/>
                <w:szCs w:val="18"/>
              </w:rPr>
              <w:t>Author and date</w:t>
            </w:r>
          </w:p>
        </w:tc>
        <w:tc>
          <w:tcPr>
            <w:tcW w:w="2551" w:type="dxa"/>
          </w:tcPr>
          <w:p w:rsidR="00990CED" w:rsidRPr="00546B54" w:rsidRDefault="00990CED" w:rsidP="00386DA3">
            <w:pPr>
              <w:spacing w:line="276" w:lineRule="auto"/>
              <w:rPr>
                <w:b/>
                <w:sz w:val="18"/>
                <w:szCs w:val="18"/>
              </w:rPr>
            </w:pPr>
            <w:r w:rsidRPr="00546B54">
              <w:rPr>
                <w:b/>
                <w:sz w:val="18"/>
                <w:szCs w:val="18"/>
              </w:rPr>
              <w:t>OR (95%CI).</w:t>
            </w:r>
          </w:p>
          <w:p w:rsidR="00990CED" w:rsidRPr="00546B54" w:rsidRDefault="00492A7C" w:rsidP="00B27A51">
            <w:pPr>
              <w:spacing w:line="276" w:lineRule="auto"/>
              <w:rPr>
                <w:b/>
                <w:sz w:val="18"/>
                <w:szCs w:val="18"/>
              </w:rPr>
            </w:pPr>
            <w:r>
              <w:rPr>
                <w:b/>
                <w:sz w:val="18"/>
                <w:szCs w:val="18"/>
              </w:rPr>
              <w:t>PAF</w:t>
            </w:r>
            <w:r w:rsidR="00990CED" w:rsidRPr="00546B54">
              <w:rPr>
                <w:b/>
                <w:sz w:val="18"/>
                <w:szCs w:val="18"/>
              </w:rPr>
              <w:t xml:space="preserve"> for chronic bronchitis; significant (SIG) or not significant (NS)</w:t>
            </w:r>
          </w:p>
        </w:tc>
        <w:tc>
          <w:tcPr>
            <w:tcW w:w="2552" w:type="dxa"/>
          </w:tcPr>
          <w:p w:rsidR="00990CED" w:rsidRPr="00546B54" w:rsidRDefault="00990CED" w:rsidP="00546B54">
            <w:pPr>
              <w:spacing w:line="276" w:lineRule="auto"/>
              <w:rPr>
                <w:b/>
                <w:sz w:val="18"/>
                <w:szCs w:val="18"/>
              </w:rPr>
            </w:pPr>
            <w:r w:rsidRPr="00546B54">
              <w:rPr>
                <w:b/>
                <w:sz w:val="18"/>
                <w:szCs w:val="18"/>
              </w:rPr>
              <w:t>Numbers of cases</w:t>
            </w:r>
            <w:r w:rsidR="00546B54">
              <w:rPr>
                <w:b/>
                <w:sz w:val="18"/>
                <w:szCs w:val="18"/>
              </w:rPr>
              <w:t>, non-cases, participants where available</w:t>
            </w:r>
          </w:p>
        </w:tc>
        <w:tc>
          <w:tcPr>
            <w:tcW w:w="2409" w:type="dxa"/>
          </w:tcPr>
          <w:p w:rsidR="00990CED" w:rsidRPr="00546B54" w:rsidRDefault="00990CED" w:rsidP="00393C2D">
            <w:pPr>
              <w:spacing w:line="276" w:lineRule="auto"/>
              <w:ind w:left="-1810" w:firstLine="1810"/>
              <w:rPr>
                <w:b/>
                <w:sz w:val="18"/>
                <w:szCs w:val="18"/>
              </w:rPr>
            </w:pPr>
            <w:r w:rsidRPr="00546B54">
              <w:rPr>
                <w:b/>
                <w:sz w:val="18"/>
                <w:szCs w:val="18"/>
              </w:rPr>
              <w:t>Exposure stratified by</w:t>
            </w:r>
          </w:p>
        </w:tc>
      </w:tr>
      <w:tr w:rsidR="00990CED" w:rsidRPr="004C5425" w:rsidTr="00990CED">
        <w:tc>
          <w:tcPr>
            <w:tcW w:w="1560" w:type="dxa"/>
          </w:tcPr>
          <w:p w:rsidR="00990CED" w:rsidRPr="004C5425" w:rsidRDefault="00990CED" w:rsidP="00393C2D">
            <w:pPr>
              <w:spacing w:line="276" w:lineRule="auto"/>
              <w:rPr>
                <w:sz w:val="18"/>
                <w:szCs w:val="18"/>
              </w:rPr>
            </w:pPr>
            <w:r>
              <w:rPr>
                <w:sz w:val="18"/>
                <w:szCs w:val="18"/>
              </w:rPr>
              <w:t>Axelsson 2016</w:t>
            </w:r>
          </w:p>
          <w:p w:rsidR="00990CED" w:rsidRPr="004C5425" w:rsidRDefault="00990CED" w:rsidP="00393C2D">
            <w:pPr>
              <w:spacing w:line="276" w:lineRule="auto"/>
              <w:rPr>
                <w:sz w:val="18"/>
                <w:szCs w:val="18"/>
              </w:rPr>
            </w:pPr>
          </w:p>
        </w:tc>
        <w:tc>
          <w:tcPr>
            <w:tcW w:w="2551" w:type="dxa"/>
          </w:tcPr>
          <w:p w:rsidR="00990CED" w:rsidRDefault="00990CED" w:rsidP="00393C2D">
            <w:pPr>
              <w:spacing w:line="276" w:lineRule="auto"/>
              <w:rPr>
                <w:sz w:val="18"/>
                <w:szCs w:val="18"/>
              </w:rPr>
            </w:pPr>
            <w:r>
              <w:rPr>
                <w:sz w:val="18"/>
                <w:szCs w:val="18"/>
              </w:rPr>
              <w:t>1.4 (0.8-2.3)</w:t>
            </w:r>
          </w:p>
          <w:p w:rsidR="00990CED" w:rsidRPr="004C5425" w:rsidRDefault="00990CED" w:rsidP="00393C2D">
            <w:pPr>
              <w:spacing w:line="276" w:lineRule="auto"/>
              <w:rPr>
                <w:sz w:val="18"/>
                <w:szCs w:val="18"/>
              </w:rPr>
            </w:pPr>
            <w:r w:rsidRPr="004C5425">
              <w:rPr>
                <w:sz w:val="18"/>
                <w:szCs w:val="18"/>
              </w:rPr>
              <w:t>8.6%</w:t>
            </w:r>
            <w:r>
              <w:rPr>
                <w:sz w:val="18"/>
                <w:szCs w:val="18"/>
              </w:rPr>
              <w:t>, SIG</w:t>
            </w:r>
            <w:r w:rsidR="00546B54">
              <w:rPr>
                <w:sz w:val="18"/>
                <w:szCs w:val="18"/>
              </w:rPr>
              <w:t xml:space="preserve"> </w:t>
            </w:r>
            <w:r w:rsidRPr="00B27A51">
              <w:rPr>
                <w:sz w:val="18"/>
                <w:szCs w:val="18"/>
                <w:vertAlign w:val="superscript"/>
              </w:rPr>
              <w:t>a</w:t>
            </w:r>
          </w:p>
        </w:tc>
        <w:tc>
          <w:tcPr>
            <w:tcW w:w="2552" w:type="dxa"/>
          </w:tcPr>
          <w:p w:rsidR="00990CED" w:rsidRPr="004C5425" w:rsidRDefault="00990CED" w:rsidP="00393C2D">
            <w:pPr>
              <w:spacing w:line="276" w:lineRule="auto"/>
              <w:rPr>
                <w:sz w:val="18"/>
                <w:szCs w:val="18"/>
              </w:rPr>
            </w:pPr>
            <w:r w:rsidRPr="004C5425">
              <w:rPr>
                <w:sz w:val="18"/>
                <w:szCs w:val="18"/>
              </w:rPr>
              <w:t>84 cases</w:t>
            </w:r>
          </w:p>
          <w:p w:rsidR="00990CED" w:rsidRPr="004C5425" w:rsidRDefault="00990CED" w:rsidP="00393C2D">
            <w:pPr>
              <w:spacing w:line="276" w:lineRule="auto"/>
              <w:rPr>
                <w:sz w:val="18"/>
                <w:szCs w:val="18"/>
              </w:rPr>
            </w:pPr>
            <w:r w:rsidRPr="004C5425">
              <w:rPr>
                <w:sz w:val="18"/>
                <w:szCs w:val="18"/>
              </w:rPr>
              <w:t>1172 participants</w:t>
            </w:r>
          </w:p>
        </w:tc>
        <w:tc>
          <w:tcPr>
            <w:tcW w:w="2409" w:type="dxa"/>
          </w:tcPr>
          <w:p w:rsidR="00990CED" w:rsidRPr="004C5425" w:rsidRDefault="00990CED" w:rsidP="00386DA3">
            <w:pPr>
              <w:spacing w:line="276" w:lineRule="auto"/>
              <w:rPr>
                <w:sz w:val="18"/>
                <w:szCs w:val="18"/>
              </w:rPr>
            </w:pPr>
            <w:r w:rsidRPr="004C5425">
              <w:rPr>
                <w:sz w:val="18"/>
                <w:szCs w:val="18"/>
              </w:rPr>
              <w:t>Self-reported</w:t>
            </w:r>
          </w:p>
        </w:tc>
      </w:tr>
      <w:tr w:rsidR="00990CED" w:rsidRPr="004C5425" w:rsidTr="00990CED">
        <w:tc>
          <w:tcPr>
            <w:tcW w:w="1560" w:type="dxa"/>
          </w:tcPr>
          <w:p w:rsidR="00990CED" w:rsidRPr="004C5425" w:rsidRDefault="00990CED" w:rsidP="007A6AA0">
            <w:pPr>
              <w:spacing w:line="276" w:lineRule="auto"/>
              <w:rPr>
                <w:sz w:val="18"/>
                <w:szCs w:val="18"/>
              </w:rPr>
            </w:pPr>
            <w:proofErr w:type="spellStart"/>
            <w:r w:rsidRPr="004C5425">
              <w:rPr>
                <w:sz w:val="18"/>
                <w:szCs w:val="18"/>
              </w:rPr>
              <w:t>Hansell</w:t>
            </w:r>
            <w:proofErr w:type="spellEnd"/>
            <w:r w:rsidRPr="004C5425">
              <w:rPr>
                <w:sz w:val="18"/>
                <w:szCs w:val="18"/>
              </w:rPr>
              <w:t xml:space="preserve"> A</w:t>
            </w:r>
            <w:r>
              <w:rPr>
                <w:sz w:val="18"/>
                <w:szCs w:val="18"/>
              </w:rPr>
              <w:t xml:space="preserve"> 2014</w:t>
            </w:r>
          </w:p>
        </w:tc>
        <w:tc>
          <w:tcPr>
            <w:tcW w:w="2551" w:type="dxa"/>
          </w:tcPr>
          <w:p w:rsidR="00990CED" w:rsidRDefault="00990CED" w:rsidP="00393C2D">
            <w:pPr>
              <w:spacing w:line="276" w:lineRule="auto"/>
              <w:rPr>
                <w:sz w:val="18"/>
                <w:szCs w:val="18"/>
              </w:rPr>
            </w:pPr>
            <w:r>
              <w:rPr>
                <w:sz w:val="18"/>
                <w:szCs w:val="18"/>
              </w:rPr>
              <w:t>1.4 (0.8-2.3)</w:t>
            </w:r>
          </w:p>
          <w:p w:rsidR="00990CED" w:rsidRPr="004C5425" w:rsidRDefault="00990CED" w:rsidP="00393C2D">
            <w:pPr>
              <w:spacing w:line="276" w:lineRule="auto"/>
              <w:rPr>
                <w:sz w:val="18"/>
                <w:szCs w:val="18"/>
              </w:rPr>
            </w:pPr>
            <w:r w:rsidRPr="004C5425">
              <w:rPr>
                <w:sz w:val="18"/>
                <w:szCs w:val="18"/>
              </w:rPr>
              <w:t>18.9%</w:t>
            </w:r>
            <w:r>
              <w:rPr>
                <w:sz w:val="18"/>
                <w:szCs w:val="18"/>
              </w:rPr>
              <w:t>, NS</w:t>
            </w:r>
            <w:r w:rsidR="00546B54">
              <w:rPr>
                <w:sz w:val="18"/>
                <w:szCs w:val="18"/>
              </w:rPr>
              <w:t xml:space="preserve"> </w:t>
            </w:r>
            <w:r w:rsidRPr="00536ABE">
              <w:rPr>
                <w:sz w:val="18"/>
                <w:szCs w:val="18"/>
                <w:vertAlign w:val="superscript"/>
              </w:rPr>
              <w:t>b</w:t>
            </w:r>
          </w:p>
        </w:tc>
        <w:tc>
          <w:tcPr>
            <w:tcW w:w="2552" w:type="dxa"/>
          </w:tcPr>
          <w:p w:rsidR="00990CED" w:rsidRPr="004C5425" w:rsidRDefault="00990CED" w:rsidP="00393C2D">
            <w:pPr>
              <w:spacing w:line="276" w:lineRule="auto"/>
              <w:rPr>
                <w:sz w:val="18"/>
                <w:szCs w:val="18"/>
              </w:rPr>
            </w:pPr>
            <w:r w:rsidRPr="004C5425">
              <w:rPr>
                <w:sz w:val="18"/>
                <w:szCs w:val="18"/>
              </w:rPr>
              <w:t>59 cases</w:t>
            </w:r>
          </w:p>
          <w:p w:rsidR="00990CED" w:rsidRPr="004C5425" w:rsidRDefault="00990CED" w:rsidP="00393C2D">
            <w:pPr>
              <w:spacing w:line="276" w:lineRule="auto"/>
              <w:rPr>
                <w:sz w:val="18"/>
                <w:szCs w:val="18"/>
              </w:rPr>
            </w:pPr>
            <w:r w:rsidRPr="004C5425">
              <w:rPr>
                <w:sz w:val="18"/>
                <w:szCs w:val="18"/>
              </w:rPr>
              <w:t>27 non cases</w:t>
            </w:r>
          </w:p>
        </w:tc>
        <w:tc>
          <w:tcPr>
            <w:tcW w:w="2409" w:type="dxa"/>
          </w:tcPr>
          <w:p w:rsidR="00990CED" w:rsidRPr="004C5425" w:rsidRDefault="00990CED" w:rsidP="00393C2D">
            <w:pPr>
              <w:spacing w:line="276" w:lineRule="auto"/>
              <w:rPr>
                <w:sz w:val="18"/>
                <w:szCs w:val="18"/>
              </w:rPr>
            </w:pPr>
            <w:r w:rsidRPr="004C5425">
              <w:rPr>
                <w:sz w:val="18"/>
                <w:szCs w:val="18"/>
              </w:rPr>
              <w:t>JEM</w:t>
            </w:r>
          </w:p>
        </w:tc>
      </w:tr>
      <w:tr w:rsidR="00990CED" w:rsidRPr="004C5425" w:rsidTr="00990CED">
        <w:tc>
          <w:tcPr>
            <w:tcW w:w="1560" w:type="dxa"/>
          </w:tcPr>
          <w:p w:rsidR="00990CED" w:rsidRPr="004C5425" w:rsidRDefault="00990CED" w:rsidP="007A6AA0">
            <w:pPr>
              <w:spacing w:line="276" w:lineRule="auto"/>
              <w:rPr>
                <w:sz w:val="18"/>
                <w:szCs w:val="18"/>
              </w:rPr>
            </w:pPr>
            <w:r w:rsidRPr="004C5425">
              <w:rPr>
                <w:sz w:val="18"/>
                <w:szCs w:val="18"/>
              </w:rPr>
              <w:t>Darby 2012</w:t>
            </w:r>
          </w:p>
        </w:tc>
        <w:tc>
          <w:tcPr>
            <w:tcW w:w="2551" w:type="dxa"/>
          </w:tcPr>
          <w:p w:rsidR="00990CED" w:rsidRDefault="00990CED" w:rsidP="005169C9">
            <w:pPr>
              <w:spacing w:line="276" w:lineRule="auto"/>
              <w:rPr>
                <w:sz w:val="18"/>
                <w:szCs w:val="18"/>
              </w:rPr>
            </w:pPr>
            <w:r>
              <w:rPr>
                <w:sz w:val="18"/>
                <w:szCs w:val="18"/>
              </w:rPr>
              <w:t>3.6 (1.9-6.9)</w:t>
            </w:r>
          </w:p>
          <w:p w:rsidR="00990CED" w:rsidRPr="004C5425" w:rsidRDefault="00990CED" w:rsidP="005169C9">
            <w:pPr>
              <w:spacing w:line="276" w:lineRule="auto"/>
              <w:rPr>
                <w:sz w:val="18"/>
                <w:szCs w:val="18"/>
              </w:rPr>
            </w:pPr>
            <w:r w:rsidRPr="004C5425">
              <w:rPr>
                <w:sz w:val="18"/>
                <w:szCs w:val="18"/>
              </w:rPr>
              <w:t>56.8%</w:t>
            </w:r>
            <w:r>
              <w:rPr>
                <w:sz w:val="18"/>
                <w:szCs w:val="18"/>
              </w:rPr>
              <w:t xml:space="preserve">, </w:t>
            </w:r>
            <w:r w:rsidRPr="004C5425">
              <w:rPr>
                <w:sz w:val="18"/>
                <w:szCs w:val="18"/>
              </w:rPr>
              <w:t>SIG</w:t>
            </w:r>
            <w:r w:rsidR="00546B54">
              <w:rPr>
                <w:sz w:val="18"/>
                <w:szCs w:val="18"/>
              </w:rPr>
              <w:t xml:space="preserve"> </w:t>
            </w:r>
            <w:r w:rsidRPr="00536ABE">
              <w:rPr>
                <w:sz w:val="18"/>
                <w:szCs w:val="18"/>
                <w:vertAlign w:val="superscript"/>
              </w:rPr>
              <w:t>c</w:t>
            </w:r>
          </w:p>
        </w:tc>
        <w:tc>
          <w:tcPr>
            <w:tcW w:w="2552" w:type="dxa"/>
          </w:tcPr>
          <w:p w:rsidR="00990CED" w:rsidRPr="004C5425" w:rsidRDefault="00990CED" w:rsidP="00386DA3">
            <w:pPr>
              <w:spacing w:line="276" w:lineRule="auto"/>
              <w:rPr>
                <w:sz w:val="18"/>
                <w:szCs w:val="18"/>
              </w:rPr>
            </w:pPr>
            <w:r w:rsidRPr="004C5425">
              <w:rPr>
                <w:sz w:val="18"/>
                <w:szCs w:val="18"/>
              </w:rPr>
              <w:t>70 cases</w:t>
            </w:r>
            <w:r>
              <w:rPr>
                <w:sz w:val="18"/>
                <w:szCs w:val="18"/>
              </w:rPr>
              <w:t xml:space="preserve">, </w:t>
            </w:r>
            <w:r w:rsidRPr="004C5425">
              <w:rPr>
                <w:sz w:val="18"/>
                <w:szCs w:val="18"/>
              </w:rPr>
              <w:t>55 of these exposed</w:t>
            </w:r>
          </w:p>
        </w:tc>
        <w:tc>
          <w:tcPr>
            <w:tcW w:w="2409" w:type="dxa"/>
          </w:tcPr>
          <w:p w:rsidR="00990CED" w:rsidRDefault="00990CED" w:rsidP="00393C2D">
            <w:pPr>
              <w:spacing w:line="276" w:lineRule="auto"/>
              <w:rPr>
                <w:sz w:val="18"/>
                <w:szCs w:val="18"/>
              </w:rPr>
            </w:pPr>
            <w:r w:rsidRPr="004C5425">
              <w:rPr>
                <w:sz w:val="18"/>
                <w:szCs w:val="18"/>
              </w:rPr>
              <w:t>Self-reported</w:t>
            </w:r>
          </w:p>
          <w:p w:rsidR="00990CED" w:rsidRPr="004C5425" w:rsidRDefault="00990CED" w:rsidP="00393C2D">
            <w:pPr>
              <w:spacing w:line="276" w:lineRule="auto"/>
              <w:rPr>
                <w:sz w:val="18"/>
                <w:szCs w:val="18"/>
              </w:rPr>
            </w:pPr>
            <w:r w:rsidRPr="004C5425">
              <w:rPr>
                <w:sz w:val="18"/>
                <w:szCs w:val="18"/>
              </w:rPr>
              <w:t>JEM</w:t>
            </w:r>
          </w:p>
        </w:tc>
      </w:tr>
      <w:tr w:rsidR="00990CED" w:rsidRPr="004C5425" w:rsidTr="00990CED">
        <w:tc>
          <w:tcPr>
            <w:tcW w:w="1560" w:type="dxa"/>
          </w:tcPr>
          <w:p w:rsidR="00990CED" w:rsidRPr="004C5425" w:rsidRDefault="00990CED" w:rsidP="00393C2D">
            <w:pPr>
              <w:spacing w:line="276" w:lineRule="auto"/>
              <w:rPr>
                <w:sz w:val="18"/>
                <w:szCs w:val="18"/>
              </w:rPr>
            </w:pPr>
            <w:proofErr w:type="spellStart"/>
            <w:r w:rsidRPr="004C5425">
              <w:rPr>
                <w:sz w:val="18"/>
                <w:szCs w:val="18"/>
              </w:rPr>
              <w:t>Mazitova</w:t>
            </w:r>
            <w:proofErr w:type="spellEnd"/>
            <w:r w:rsidRPr="004C5425">
              <w:rPr>
                <w:sz w:val="18"/>
                <w:szCs w:val="18"/>
              </w:rPr>
              <w:t xml:space="preserve"> N</w:t>
            </w:r>
            <w:r>
              <w:rPr>
                <w:sz w:val="18"/>
                <w:szCs w:val="18"/>
              </w:rPr>
              <w:t xml:space="preserve"> 2012</w:t>
            </w:r>
          </w:p>
        </w:tc>
        <w:tc>
          <w:tcPr>
            <w:tcW w:w="2551" w:type="dxa"/>
          </w:tcPr>
          <w:p w:rsidR="00990CED" w:rsidRDefault="00990CED" w:rsidP="005169C9">
            <w:pPr>
              <w:spacing w:line="276" w:lineRule="auto"/>
              <w:rPr>
                <w:sz w:val="18"/>
                <w:szCs w:val="18"/>
              </w:rPr>
            </w:pPr>
            <w:r>
              <w:rPr>
                <w:sz w:val="18"/>
                <w:szCs w:val="18"/>
              </w:rPr>
              <w:t>OR 1.0 (0.7-1.4)</w:t>
            </w:r>
          </w:p>
          <w:p w:rsidR="00990CED" w:rsidRPr="004C5425" w:rsidRDefault="00990CED" w:rsidP="005169C9">
            <w:pPr>
              <w:spacing w:line="276" w:lineRule="auto"/>
              <w:rPr>
                <w:sz w:val="18"/>
                <w:szCs w:val="18"/>
              </w:rPr>
            </w:pPr>
            <w:r w:rsidRPr="004C5425">
              <w:rPr>
                <w:sz w:val="18"/>
                <w:szCs w:val="18"/>
              </w:rPr>
              <w:t>0.19%</w:t>
            </w:r>
            <w:r>
              <w:rPr>
                <w:sz w:val="18"/>
                <w:szCs w:val="18"/>
              </w:rPr>
              <w:t>, NS</w:t>
            </w:r>
          </w:p>
        </w:tc>
        <w:tc>
          <w:tcPr>
            <w:tcW w:w="2552" w:type="dxa"/>
          </w:tcPr>
          <w:p w:rsidR="00990CED" w:rsidRPr="004C5425" w:rsidRDefault="00990CED" w:rsidP="00990CED">
            <w:pPr>
              <w:spacing w:line="276" w:lineRule="auto"/>
              <w:rPr>
                <w:sz w:val="18"/>
                <w:szCs w:val="18"/>
              </w:rPr>
            </w:pPr>
            <w:r w:rsidRPr="004C5425">
              <w:rPr>
                <w:sz w:val="18"/>
                <w:szCs w:val="18"/>
              </w:rPr>
              <w:t>170 cases</w:t>
            </w:r>
            <w:r>
              <w:rPr>
                <w:sz w:val="18"/>
                <w:szCs w:val="18"/>
              </w:rPr>
              <w:t xml:space="preserve">, </w:t>
            </w:r>
            <w:r w:rsidRPr="004C5425">
              <w:rPr>
                <w:sz w:val="18"/>
                <w:szCs w:val="18"/>
              </w:rPr>
              <w:t>1375 participants</w:t>
            </w:r>
          </w:p>
        </w:tc>
        <w:tc>
          <w:tcPr>
            <w:tcW w:w="2409" w:type="dxa"/>
          </w:tcPr>
          <w:p w:rsidR="00990CED" w:rsidRDefault="00990CED" w:rsidP="00393C2D">
            <w:pPr>
              <w:spacing w:line="276" w:lineRule="auto"/>
              <w:rPr>
                <w:sz w:val="18"/>
                <w:szCs w:val="18"/>
              </w:rPr>
            </w:pPr>
            <w:r w:rsidRPr="004C5425">
              <w:rPr>
                <w:sz w:val="18"/>
                <w:szCs w:val="18"/>
              </w:rPr>
              <w:t>Self-reported</w:t>
            </w:r>
          </w:p>
          <w:p w:rsidR="00990CED" w:rsidRPr="004C5425" w:rsidRDefault="00990CED" w:rsidP="00393C2D">
            <w:pPr>
              <w:spacing w:line="276" w:lineRule="auto"/>
              <w:rPr>
                <w:sz w:val="18"/>
                <w:szCs w:val="18"/>
              </w:rPr>
            </w:pPr>
          </w:p>
        </w:tc>
      </w:tr>
      <w:tr w:rsidR="00990CED" w:rsidRPr="004C5425" w:rsidTr="00990CED">
        <w:tc>
          <w:tcPr>
            <w:tcW w:w="1560" w:type="dxa"/>
          </w:tcPr>
          <w:p w:rsidR="00990CED" w:rsidRPr="007C76CE" w:rsidRDefault="00990CED" w:rsidP="00393C2D">
            <w:pPr>
              <w:spacing w:line="276" w:lineRule="auto"/>
              <w:rPr>
                <w:sz w:val="18"/>
                <w:szCs w:val="18"/>
              </w:rPr>
            </w:pPr>
            <w:r w:rsidRPr="007C76CE">
              <w:rPr>
                <w:sz w:val="18"/>
                <w:szCs w:val="18"/>
              </w:rPr>
              <w:t>Holm M 2012</w:t>
            </w:r>
          </w:p>
          <w:p w:rsidR="00990CED" w:rsidRPr="007C76CE" w:rsidRDefault="00990CED" w:rsidP="00393C2D">
            <w:pPr>
              <w:spacing w:line="276" w:lineRule="auto"/>
              <w:rPr>
                <w:sz w:val="18"/>
                <w:szCs w:val="18"/>
              </w:rPr>
            </w:pPr>
          </w:p>
        </w:tc>
        <w:tc>
          <w:tcPr>
            <w:tcW w:w="2551" w:type="dxa"/>
          </w:tcPr>
          <w:p w:rsidR="0073469C" w:rsidRPr="007C76CE" w:rsidRDefault="007C76CE" w:rsidP="005169C9">
            <w:pPr>
              <w:spacing w:line="276" w:lineRule="auto"/>
              <w:rPr>
                <w:sz w:val="18"/>
                <w:szCs w:val="18"/>
              </w:rPr>
            </w:pPr>
            <w:r w:rsidRPr="007C76CE">
              <w:rPr>
                <w:sz w:val="18"/>
                <w:szCs w:val="18"/>
              </w:rPr>
              <w:t>OR -</w:t>
            </w:r>
          </w:p>
          <w:p w:rsidR="00990CED" w:rsidRPr="007C76CE" w:rsidRDefault="00990CED" w:rsidP="005169C9">
            <w:pPr>
              <w:spacing w:line="276" w:lineRule="auto"/>
              <w:rPr>
                <w:sz w:val="18"/>
                <w:szCs w:val="18"/>
              </w:rPr>
            </w:pPr>
            <w:r w:rsidRPr="007C76CE">
              <w:rPr>
                <w:sz w:val="18"/>
                <w:szCs w:val="18"/>
              </w:rPr>
              <w:t xml:space="preserve">10% (2.8% for females, 18% for males) </w:t>
            </w:r>
          </w:p>
        </w:tc>
        <w:tc>
          <w:tcPr>
            <w:tcW w:w="2552" w:type="dxa"/>
          </w:tcPr>
          <w:p w:rsidR="00990CED" w:rsidRPr="007C76CE" w:rsidRDefault="007C76CE" w:rsidP="007C76CE">
            <w:pPr>
              <w:spacing w:line="276" w:lineRule="auto"/>
              <w:rPr>
                <w:sz w:val="18"/>
                <w:szCs w:val="18"/>
              </w:rPr>
            </w:pPr>
            <w:r w:rsidRPr="007C76CE">
              <w:rPr>
                <w:sz w:val="18"/>
                <w:szCs w:val="18"/>
              </w:rPr>
              <w:t>86</w:t>
            </w:r>
            <w:r w:rsidR="00990CED" w:rsidRPr="007C76CE">
              <w:rPr>
                <w:sz w:val="18"/>
                <w:szCs w:val="18"/>
              </w:rPr>
              <w:t>6</w:t>
            </w:r>
            <w:r w:rsidRPr="007C76CE">
              <w:rPr>
                <w:sz w:val="18"/>
                <w:szCs w:val="18"/>
              </w:rPr>
              <w:t xml:space="preserve"> cases, </w:t>
            </w:r>
            <w:r w:rsidR="00990CED" w:rsidRPr="007C76CE">
              <w:rPr>
                <w:sz w:val="18"/>
                <w:szCs w:val="18"/>
              </w:rPr>
              <w:t>15</w:t>
            </w:r>
            <w:r w:rsidRPr="007C76CE">
              <w:rPr>
                <w:sz w:val="18"/>
                <w:szCs w:val="18"/>
              </w:rPr>
              <w:t>919 participants</w:t>
            </w:r>
          </w:p>
        </w:tc>
        <w:tc>
          <w:tcPr>
            <w:tcW w:w="2409" w:type="dxa"/>
          </w:tcPr>
          <w:p w:rsidR="00990CED" w:rsidRPr="007C76CE" w:rsidRDefault="00990CED" w:rsidP="00393C2D">
            <w:pPr>
              <w:spacing w:line="276" w:lineRule="auto"/>
              <w:rPr>
                <w:sz w:val="18"/>
                <w:szCs w:val="18"/>
              </w:rPr>
            </w:pPr>
            <w:r w:rsidRPr="007C76CE">
              <w:rPr>
                <w:sz w:val="18"/>
                <w:szCs w:val="18"/>
              </w:rPr>
              <w:t>Self-reported</w:t>
            </w:r>
          </w:p>
        </w:tc>
      </w:tr>
      <w:tr w:rsidR="00990CED" w:rsidRPr="004C5425" w:rsidTr="00990CED">
        <w:tc>
          <w:tcPr>
            <w:tcW w:w="1560" w:type="dxa"/>
          </w:tcPr>
          <w:p w:rsidR="00990CED" w:rsidRPr="004C5425" w:rsidRDefault="00990CED" w:rsidP="00393C2D">
            <w:pPr>
              <w:spacing w:line="276" w:lineRule="auto"/>
              <w:rPr>
                <w:sz w:val="18"/>
                <w:szCs w:val="18"/>
              </w:rPr>
            </w:pPr>
            <w:r w:rsidRPr="004C5425">
              <w:rPr>
                <w:sz w:val="18"/>
                <w:szCs w:val="18"/>
              </w:rPr>
              <w:t>LeVan TD</w:t>
            </w:r>
            <w:r>
              <w:rPr>
                <w:sz w:val="18"/>
                <w:szCs w:val="18"/>
              </w:rPr>
              <w:t xml:space="preserve"> </w:t>
            </w:r>
            <w:r w:rsidRPr="004C5425">
              <w:rPr>
                <w:sz w:val="18"/>
                <w:szCs w:val="18"/>
              </w:rPr>
              <w:t>2006</w:t>
            </w:r>
          </w:p>
          <w:p w:rsidR="00990CED" w:rsidRPr="004C5425" w:rsidRDefault="00990CED" w:rsidP="00393C2D">
            <w:pPr>
              <w:spacing w:line="276" w:lineRule="auto"/>
              <w:rPr>
                <w:sz w:val="18"/>
                <w:szCs w:val="18"/>
              </w:rPr>
            </w:pPr>
          </w:p>
        </w:tc>
        <w:tc>
          <w:tcPr>
            <w:tcW w:w="2551" w:type="dxa"/>
          </w:tcPr>
          <w:p w:rsidR="00990CED" w:rsidRDefault="00990CED" w:rsidP="005169C9">
            <w:pPr>
              <w:spacing w:line="276" w:lineRule="auto"/>
              <w:rPr>
                <w:sz w:val="18"/>
                <w:szCs w:val="18"/>
              </w:rPr>
            </w:pPr>
            <w:r>
              <w:rPr>
                <w:sz w:val="18"/>
                <w:szCs w:val="18"/>
              </w:rPr>
              <w:t>1.3 (1.0-1.6)</w:t>
            </w:r>
          </w:p>
          <w:p w:rsidR="00990CED" w:rsidRPr="004C5425" w:rsidRDefault="00990CED" w:rsidP="005169C9">
            <w:pPr>
              <w:spacing w:line="276" w:lineRule="auto"/>
              <w:rPr>
                <w:sz w:val="18"/>
                <w:szCs w:val="18"/>
              </w:rPr>
            </w:pPr>
            <w:r w:rsidRPr="004C5425">
              <w:rPr>
                <w:sz w:val="18"/>
                <w:szCs w:val="18"/>
              </w:rPr>
              <w:t>6.0%</w:t>
            </w:r>
            <w:r>
              <w:rPr>
                <w:sz w:val="18"/>
                <w:szCs w:val="18"/>
              </w:rPr>
              <w:t xml:space="preserve">, </w:t>
            </w:r>
            <w:r w:rsidRPr="004C5425">
              <w:rPr>
                <w:sz w:val="18"/>
                <w:szCs w:val="18"/>
              </w:rPr>
              <w:t>SIG</w:t>
            </w:r>
          </w:p>
        </w:tc>
        <w:tc>
          <w:tcPr>
            <w:tcW w:w="2552" w:type="dxa"/>
          </w:tcPr>
          <w:p w:rsidR="00990CED" w:rsidRPr="004C5425" w:rsidRDefault="00990CED" w:rsidP="00393C2D">
            <w:pPr>
              <w:spacing w:line="276" w:lineRule="auto"/>
              <w:rPr>
                <w:sz w:val="18"/>
                <w:szCs w:val="18"/>
              </w:rPr>
            </w:pPr>
            <w:r>
              <w:rPr>
                <w:sz w:val="18"/>
                <w:szCs w:val="18"/>
              </w:rPr>
              <w:t>417 cases</w:t>
            </w:r>
          </w:p>
          <w:p w:rsidR="00990CED" w:rsidRPr="004C5425" w:rsidRDefault="00990CED" w:rsidP="00393C2D">
            <w:pPr>
              <w:spacing w:line="276" w:lineRule="auto"/>
              <w:rPr>
                <w:sz w:val="18"/>
                <w:szCs w:val="18"/>
              </w:rPr>
            </w:pPr>
            <w:r w:rsidRPr="004C5425">
              <w:rPr>
                <w:sz w:val="18"/>
                <w:szCs w:val="18"/>
              </w:rPr>
              <w:t>45104 non cases</w:t>
            </w:r>
          </w:p>
        </w:tc>
        <w:tc>
          <w:tcPr>
            <w:tcW w:w="2409" w:type="dxa"/>
          </w:tcPr>
          <w:p w:rsidR="00990CED" w:rsidRPr="004C5425" w:rsidRDefault="00990CED" w:rsidP="00386DA3">
            <w:pPr>
              <w:spacing w:line="276" w:lineRule="auto"/>
              <w:rPr>
                <w:sz w:val="18"/>
                <w:szCs w:val="18"/>
              </w:rPr>
            </w:pPr>
            <w:r w:rsidRPr="004C5425">
              <w:rPr>
                <w:sz w:val="18"/>
                <w:szCs w:val="18"/>
              </w:rPr>
              <w:t xml:space="preserve">Self-reported </w:t>
            </w:r>
          </w:p>
        </w:tc>
      </w:tr>
      <w:tr w:rsidR="00990CED" w:rsidRPr="004C5425" w:rsidTr="00990CED">
        <w:tc>
          <w:tcPr>
            <w:tcW w:w="1560" w:type="dxa"/>
          </w:tcPr>
          <w:p w:rsidR="00990CED" w:rsidRPr="004C5425" w:rsidRDefault="00990CED" w:rsidP="00990CED">
            <w:pPr>
              <w:spacing w:line="276" w:lineRule="auto"/>
              <w:rPr>
                <w:sz w:val="18"/>
                <w:szCs w:val="18"/>
              </w:rPr>
            </w:pPr>
            <w:proofErr w:type="spellStart"/>
            <w:r w:rsidRPr="004C5425">
              <w:rPr>
                <w:sz w:val="18"/>
                <w:szCs w:val="18"/>
              </w:rPr>
              <w:t>Jaén</w:t>
            </w:r>
            <w:proofErr w:type="spellEnd"/>
            <w:r w:rsidRPr="004C5425">
              <w:rPr>
                <w:sz w:val="18"/>
                <w:szCs w:val="18"/>
              </w:rPr>
              <w:t xml:space="preserve"> A</w:t>
            </w:r>
            <w:r>
              <w:rPr>
                <w:sz w:val="18"/>
                <w:szCs w:val="18"/>
              </w:rPr>
              <w:t xml:space="preserve"> </w:t>
            </w:r>
            <w:r w:rsidRPr="004C5425">
              <w:rPr>
                <w:sz w:val="18"/>
                <w:szCs w:val="18"/>
              </w:rPr>
              <w:t>2006</w:t>
            </w:r>
          </w:p>
        </w:tc>
        <w:tc>
          <w:tcPr>
            <w:tcW w:w="2551" w:type="dxa"/>
          </w:tcPr>
          <w:p w:rsidR="00990CED" w:rsidRDefault="00990CED" w:rsidP="00393C2D">
            <w:pPr>
              <w:spacing w:line="276" w:lineRule="auto"/>
              <w:rPr>
                <w:sz w:val="18"/>
                <w:szCs w:val="18"/>
              </w:rPr>
            </w:pPr>
            <w:r>
              <w:rPr>
                <w:sz w:val="18"/>
                <w:szCs w:val="18"/>
              </w:rPr>
              <w:t>2.0 (1.1-3.7)</w:t>
            </w:r>
          </w:p>
          <w:p w:rsidR="00990CED" w:rsidRPr="004C5425" w:rsidRDefault="00990CED" w:rsidP="00393C2D">
            <w:pPr>
              <w:spacing w:line="276" w:lineRule="auto"/>
              <w:rPr>
                <w:sz w:val="18"/>
                <w:szCs w:val="18"/>
              </w:rPr>
            </w:pPr>
            <w:r w:rsidRPr="004C5425">
              <w:rPr>
                <w:sz w:val="18"/>
                <w:szCs w:val="18"/>
              </w:rPr>
              <w:t>34.0%</w:t>
            </w:r>
            <w:r>
              <w:rPr>
                <w:sz w:val="18"/>
                <w:szCs w:val="18"/>
              </w:rPr>
              <w:t>, SIG</w:t>
            </w:r>
          </w:p>
        </w:tc>
        <w:tc>
          <w:tcPr>
            <w:tcW w:w="2552" w:type="dxa"/>
          </w:tcPr>
          <w:p w:rsidR="00990CED" w:rsidRPr="004C5425" w:rsidRDefault="00990CED" w:rsidP="00393C2D">
            <w:pPr>
              <w:spacing w:line="276" w:lineRule="auto"/>
              <w:rPr>
                <w:sz w:val="18"/>
                <w:szCs w:val="18"/>
              </w:rPr>
            </w:pPr>
            <w:r w:rsidRPr="004C5425">
              <w:rPr>
                <w:sz w:val="18"/>
                <w:szCs w:val="18"/>
              </w:rPr>
              <w:t>69 cases</w:t>
            </w:r>
          </w:p>
          <w:p w:rsidR="00990CED" w:rsidRPr="004C5425" w:rsidRDefault="00990CED" w:rsidP="00393C2D">
            <w:pPr>
              <w:spacing w:line="276" w:lineRule="auto"/>
              <w:rPr>
                <w:sz w:val="18"/>
                <w:szCs w:val="18"/>
              </w:rPr>
            </w:pPr>
            <w:r w:rsidRPr="004C5425">
              <w:rPr>
                <w:sz w:val="18"/>
                <w:szCs w:val="18"/>
              </w:rPr>
              <w:t>576 participants</w:t>
            </w:r>
          </w:p>
        </w:tc>
        <w:tc>
          <w:tcPr>
            <w:tcW w:w="2409" w:type="dxa"/>
          </w:tcPr>
          <w:p w:rsidR="00990CED" w:rsidRPr="004C5425" w:rsidRDefault="00990CED" w:rsidP="00990CED">
            <w:pPr>
              <w:spacing w:line="276" w:lineRule="auto"/>
              <w:rPr>
                <w:sz w:val="18"/>
                <w:szCs w:val="18"/>
              </w:rPr>
            </w:pPr>
            <w:r w:rsidRPr="004C5425">
              <w:rPr>
                <w:sz w:val="18"/>
                <w:szCs w:val="18"/>
              </w:rPr>
              <w:t>Self-reporte</w:t>
            </w:r>
            <w:r>
              <w:rPr>
                <w:sz w:val="18"/>
                <w:szCs w:val="18"/>
              </w:rPr>
              <w:t>d</w:t>
            </w:r>
          </w:p>
        </w:tc>
      </w:tr>
      <w:tr w:rsidR="00990CED" w:rsidRPr="004C5425" w:rsidTr="00990CED">
        <w:tc>
          <w:tcPr>
            <w:tcW w:w="1560" w:type="dxa"/>
          </w:tcPr>
          <w:p w:rsidR="00990CED" w:rsidRPr="004C5425" w:rsidRDefault="00990CED" w:rsidP="007A6AA0">
            <w:pPr>
              <w:spacing w:line="276" w:lineRule="auto"/>
              <w:rPr>
                <w:sz w:val="18"/>
                <w:szCs w:val="18"/>
              </w:rPr>
            </w:pPr>
            <w:proofErr w:type="spellStart"/>
            <w:r w:rsidRPr="004C5425">
              <w:rPr>
                <w:sz w:val="18"/>
                <w:szCs w:val="18"/>
              </w:rPr>
              <w:t>Sunyer</w:t>
            </w:r>
            <w:proofErr w:type="spellEnd"/>
            <w:r w:rsidRPr="004C5425">
              <w:rPr>
                <w:sz w:val="18"/>
                <w:szCs w:val="18"/>
              </w:rPr>
              <w:t xml:space="preserve"> J</w:t>
            </w:r>
            <w:r>
              <w:rPr>
                <w:sz w:val="18"/>
                <w:szCs w:val="18"/>
              </w:rPr>
              <w:t xml:space="preserve"> </w:t>
            </w:r>
            <w:r w:rsidRPr="004C5425">
              <w:rPr>
                <w:sz w:val="18"/>
                <w:szCs w:val="18"/>
              </w:rPr>
              <w:t>2005</w:t>
            </w:r>
          </w:p>
        </w:tc>
        <w:tc>
          <w:tcPr>
            <w:tcW w:w="2551" w:type="dxa"/>
          </w:tcPr>
          <w:p w:rsidR="00990CED" w:rsidRDefault="00990CED" w:rsidP="00393C2D">
            <w:pPr>
              <w:spacing w:line="276" w:lineRule="auto"/>
              <w:rPr>
                <w:sz w:val="18"/>
                <w:szCs w:val="18"/>
              </w:rPr>
            </w:pPr>
            <w:r>
              <w:rPr>
                <w:sz w:val="18"/>
                <w:szCs w:val="18"/>
              </w:rPr>
              <w:t>1.7 (1.2-2.5)</w:t>
            </w:r>
          </w:p>
          <w:p w:rsidR="00990CED" w:rsidRPr="004C5425" w:rsidRDefault="00990CED" w:rsidP="00393C2D">
            <w:pPr>
              <w:spacing w:line="276" w:lineRule="auto"/>
              <w:rPr>
                <w:sz w:val="18"/>
                <w:szCs w:val="18"/>
              </w:rPr>
            </w:pPr>
            <w:r w:rsidRPr="004C5425">
              <w:rPr>
                <w:sz w:val="18"/>
                <w:szCs w:val="18"/>
              </w:rPr>
              <w:t>15.0% males</w:t>
            </w:r>
            <w:r>
              <w:rPr>
                <w:sz w:val="18"/>
                <w:szCs w:val="18"/>
              </w:rPr>
              <w:t xml:space="preserve">, </w:t>
            </w:r>
            <w:r w:rsidRPr="004C5425">
              <w:rPr>
                <w:sz w:val="18"/>
                <w:szCs w:val="18"/>
              </w:rPr>
              <w:t>SIG</w:t>
            </w:r>
          </w:p>
          <w:p w:rsidR="00990CED" w:rsidRDefault="00990CED" w:rsidP="00393C2D">
            <w:pPr>
              <w:spacing w:line="276" w:lineRule="auto"/>
              <w:rPr>
                <w:sz w:val="18"/>
                <w:szCs w:val="18"/>
              </w:rPr>
            </w:pPr>
            <w:r>
              <w:rPr>
                <w:sz w:val="18"/>
                <w:szCs w:val="18"/>
              </w:rPr>
              <w:t>1.0 (0.4-2.1)</w:t>
            </w:r>
          </w:p>
          <w:p w:rsidR="00990CED" w:rsidRPr="004C5425" w:rsidRDefault="00990CED" w:rsidP="00990CED">
            <w:pPr>
              <w:spacing w:line="276" w:lineRule="auto"/>
              <w:rPr>
                <w:sz w:val="18"/>
                <w:szCs w:val="18"/>
              </w:rPr>
            </w:pPr>
            <w:r w:rsidRPr="004C5425">
              <w:rPr>
                <w:sz w:val="18"/>
                <w:szCs w:val="18"/>
              </w:rPr>
              <w:t>0.0% females</w:t>
            </w:r>
            <w:r>
              <w:rPr>
                <w:sz w:val="18"/>
                <w:szCs w:val="18"/>
              </w:rPr>
              <w:t>, NS</w:t>
            </w:r>
          </w:p>
        </w:tc>
        <w:tc>
          <w:tcPr>
            <w:tcW w:w="2552" w:type="dxa"/>
          </w:tcPr>
          <w:p w:rsidR="00990CED" w:rsidRPr="004C5425" w:rsidRDefault="00990CED" w:rsidP="00536ABE">
            <w:pPr>
              <w:spacing w:line="276" w:lineRule="auto"/>
              <w:rPr>
                <w:sz w:val="18"/>
                <w:szCs w:val="18"/>
              </w:rPr>
            </w:pPr>
            <w:r w:rsidRPr="004C5425">
              <w:rPr>
                <w:sz w:val="18"/>
                <w:szCs w:val="18"/>
              </w:rPr>
              <w:t>2.9% of females, 3.0% of males</w:t>
            </w:r>
            <w:r>
              <w:rPr>
                <w:sz w:val="18"/>
                <w:szCs w:val="18"/>
              </w:rPr>
              <w:t xml:space="preserve"> with </w:t>
            </w:r>
            <w:r w:rsidRPr="004C5425">
              <w:rPr>
                <w:sz w:val="18"/>
                <w:szCs w:val="18"/>
              </w:rPr>
              <w:t>CB</w:t>
            </w:r>
          </w:p>
        </w:tc>
        <w:tc>
          <w:tcPr>
            <w:tcW w:w="2409" w:type="dxa"/>
          </w:tcPr>
          <w:p w:rsidR="00990CED" w:rsidRDefault="00990CED" w:rsidP="00393C2D">
            <w:pPr>
              <w:spacing w:line="276" w:lineRule="auto"/>
              <w:rPr>
                <w:sz w:val="18"/>
                <w:szCs w:val="18"/>
              </w:rPr>
            </w:pPr>
            <w:r>
              <w:rPr>
                <w:sz w:val="18"/>
                <w:szCs w:val="18"/>
              </w:rPr>
              <w:t>Self-reported</w:t>
            </w:r>
          </w:p>
          <w:p w:rsidR="00990CED" w:rsidRDefault="00990CED" w:rsidP="00393C2D">
            <w:pPr>
              <w:spacing w:line="276" w:lineRule="auto"/>
              <w:rPr>
                <w:sz w:val="18"/>
                <w:szCs w:val="18"/>
              </w:rPr>
            </w:pPr>
            <w:r w:rsidRPr="004C5425">
              <w:rPr>
                <w:sz w:val="18"/>
                <w:szCs w:val="18"/>
              </w:rPr>
              <w:t>JEM</w:t>
            </w:r>
          </w:p>
          <w:p w:rsidR="00990CED" w:rsidRPr="004C5425" w:rsidRDefault="00990CED" w:rsidP="00393C2D">
            <w:pPr>
              <w:spacing w:line="276" w:lineRule="auto"/>
              <w:rPr>
                <w:sz w:val="18"/>
                <w:szCs w:val="18"/>
              </w:rPr>
            </w:pPr>
          </w:p>
        </w:tc>
      </w:tr>
      <w:tr w:rsidR="00990CED" w:rsidRPr="004C5425" w:rsidTr="00990CED">
        <w:tc>
          <w:tcPr>
            <w:tcW w:w="1560" w:type="dxa"/>
          </w:tcPr>
          <w:p w:rsidR="00990CED" w:rsidRPr="004C5425" w:rsidRDefault="00990CED" w:rsidP="00393C2D">
            <w:pPr>
              <w:spacing w:line="276" w:lineRule="auto"/>
              <w:rPr>
                <w:sz w:val="18"/>
                <w:szCs w:val="18"/>
              </w:rPr>
            </w:pPr>
            <w:r w:rsidRPr="004C5425">
              <w:rPr>
                <w:sz w:val="18"/>
                <w:szCs w:val="18"/>
              </w:rPr>
              <w:t>de Meer</w:t>
            </w:r>
            <w:r>
              <w:rPr>
                <w:sz w:val="18"/>
                <w:szCs w:val="18"/>
              </w:rPr>
              <w:t xml:space="preserve"> </w:t>
            </w:r>
            <w:r w:rsidRPr="004C5425">
              <w:rPr>
                <w:sz w:val="18"/>
                <w:szCs w:val="18"/>
              </w:rPr>
              <w:t>2004</w:t>
            </w:r>
          </w:p>
        </w:tc>
        <w:tc>
          <w:tcPr>
            <w:tcW w:w="2551" w:type="dxa"/>
          </w:tcPr>
          <w:p w:rsidR="00990CED" w:rsidRDefault="00990CED" w:rsidP="005169C9">
            <w:pPr>
              <w:spacing w:line="276" w:lineRule="auto"/>
              <w:rPr>
                <w:sz w:val="18"/>
                <w:szCs w:val="18"/>
              </w:rPr>
            </w:pPr>
            <w:r w:rsidRPr="004C5425">
              <w:rPr>
                <w:sz w:val="18"/>
                <w:szCs w:val="18"/>
              </w:rPr>
              <w:t>OR 2.2 (1.2-4.2).</w:t>
            </w:r>
          </w:p>
          <w:p w:rsidR="00990CED" w:rsidRPr="004C5425" w:rsidRDefault="00990CED" w:rsidP="005169C9">
            <w:pPr>
              <w:spacing w:line="276" w:lineRule="auto"/>
              <w:rPr>
                <w:sz w:val="18"/>
                <w:szCs w:val="18"/>
              </w:rPr>
            </w:pPr>
            <w:r w:rsidRPr="004C5425">
              <w:rPr>
                <w:sz w:val="18"/>
                <w:szCs w:val="18"/>
              </w:rPr>
              <w:t>25.0%</w:t>
            </w:r>
            <w:r>
              <w:rPr>
                <w:sz w:val="18"/>
                <w:szCs w:val="18"/>
              </w:rPr>
              <w:t xml:space="preserve">, </w:t>
            </w:r>
            <w:r w:rsidRPr="004C5425">
              <w:rPr>
                <w:sz w:val="18"/>
                <w:szCs w:val="18"/>
              </w:rPr>
              <w:t>SIG</w:t>
            </w:r>
          </w:p>
        </w:tc>
        <w:tc>
          <w:tcPr>
            <w:tcW w:w="2552" w:type="dxa"/>
          </w:tcPr>
          <w:p w:rsidR="00990CED" w:rsidRPr="004C5425" w:rsidRDefault="00990CED" w:rsidP="00393C2D">
            <w:pPr>
              <w:spacing w:line="276" w:lineRule="auto"/>
              <w:rPr>
                <w:sz w:val="18"/>
                <w:szCs w:val="18"/>
              </w:rPr>
            </w:pPr>
            <w:r w:rsidRPr="004C5425">
              <w:rPr>
                <w:sz w:val="18"/>
                <w:szCs w:val="18"/>
              </w:rPr>
              <w:t>72 cases</w:t>
            </w:r>
          </w:p>
          <w:p w:rsidR="00990CED" w:rsidRPr="004C5425" w:rsidRDefault="00990CED" w:rsidP="00393C2D">
            <w:pPr>
              <w:spacing w:line="276" w:lineRule="auto"/>
              <w:rPr>
                <w:sz w:val="18"/>
                <w:szCs w:val="18"/>
              </w:rPr>
            </w:pPr>
            <w:r w:rsidRPr="004C5425">
              <w:rPr>
                <w:sz w:val="18"/>
                <w:szCs w:val="18"/>
              </w:rPr>
              <w:t>1906 participants</w:t>
            </w:r>
          </w:p>
        </w:tc>
        <w:tc>
          <w:tcPr>
            <w:tcW w:w="2409" w:type="dxa"/>
          </w:tcPr>
          <w:p w:rsidR="00990CED" w:rsidRDefault="00990CED" w:rsidP="00393C2D">
            <w:pPr>
              <w:spacing w:line="276" w:lineRule="auto"/>
              <w:rPr>
                <w:sz w:val="18"/>
                <w:szCs w:val="18"/>
              </w:rPr>
            </w:pPr>
            <w:r w:rsidRPr="004C5425">
              <w:rPr>
                <w:sz w:val="18"/>
                <w:szCs w:val="18"/>
              </w:rPr>
              <w:t>Self-reported</w:t>
            </w:r>
          </w:p>
          <w:p w:rsidR="00990CED" w:rsidRPr="004C5425" w:rsidRDefault="00990CED" w:rsidP="00386DA3">
            <w:pPr>
              <w:spacing w:line="276" w:lineRule="auto"/>
              <w:rPr>
                <w:sz w:val="18"/>
                <w:szCs w:val="18"/>
              </w:rPr>
            </w:pPr>
            <w:r>
              <w:rPr>
                <w:sz w:val="18"/>
                <w:szCs w:val="18"/>
              </w:rPr>
              <w:t>JEM</w:t>
            </w:r>
          </w:p>
        </w:tc>
      </w:tr>
      <w:tr w:rsidR="00990CED" w:rsidRPr="004C5425" w:rsidTr="00990CED">
        <w:tc>
          <w:tcPr>
            <w:tcW w:w="1560" w:type="dxa"/>
          </w:tcPr>
          <w:p w:rsidR="00990CED" w:rsidRPr="004C5425" w:rsidRDefault="00990CED" w:rsidP="00393C2D">
            <w:pPr>
              <w:spacing w:line="276" w:lineRule="auto"/>
              <w:rPr>
                <w:sz w:val="18"/>
                <w:szCs w:val="18"/>
              </w:rPr>
            </w:pPr>
            <w:r w:rsidRPr="004C5425">
              <w:rPr>
                <w:sz w:val="18"/>
                <w:szCs w:val="18"/>
              </w:rPr>
              <w:t>Lange</w:t>
            </w:r>
            <w:r>
              <w:rPr>
                <w:sz w:val="18"/>
                <w:szCs w:val="18"/>
              </w:rPr>
              <w:t xml:space="preserve"> </w:t>
            </w:r>
            <w:r w:rsidRPr="004C5425">
              <w:rPr>
                <w:sz w:val="18"/>
                <w:szCs w:val="18"/>
              </w:rPr>
              <w:t>2003</w:t>
            </w:r>
          </w:p>
        </w:tc>
        <w:tc>
          <w:tcPr>
            <w:tcW w:w="2551" w:type="dxa"/>
          </w:tcPr>
          <w:p w:rsidR="00990CED" w:rsidRDefault="00990CED" w:rsidP="005169C9">
            <w:pPr>
              <w:spacing w:line="276" w:lineRule="auto"/>
              <w:rPr>
                <w:sz w:val="18"/>
                <w:szCs w:val="18"/>
              </w:rPr>
            </w:pPr>
            <w:r>
              <w:rPr>
                <w:sz w:val="18"/>
                <w:szCs w:val="18"/>
              </w:rPr>
              <w:t>2.2 (1.7-2.7)</w:t>
            </w:r>
          </w:p>
          <w:p w:rsidR="00990CED" w:rsidRPr="004C5425" w:rsidRDefault="00990CED" w:rsidP="005169C9">
            <w:pPr>
              <w:spacing w:line="276" w:lineRule="auto"/>
              <w:rPr>
                <w:sz w:val="18"/>
                <w:szCs w:val="18"/>
              </w:rPr>
            </w:pPr>
            <w:r w:rsidRPr="004C5425">
              <w:rPr>
                <w:sz w:val="18"/>
                <w:szCs w:val="18"/>
              </w:rPr>
              <w:t>16.0%</w:t>
            </w:r>
            <w:r>
              <w:rPr>
                <w:sz w:val="18"/>
                <w:szCs w:val="18"/>
              </w:rPr>
              <w:t xml:space="preserve">, </w:t>
            </w:r>
            <w:r w:rsidRPr="004C5425">
              <w:rPr>
                <w:sz w:val="18"/>
                <w:szCs w:val="18"/>
              </w:rPr>
              <w:t>SIG</w:t>
            </w:r>
          </w:p>
        </w:tc>
        <w:tc>
          <w:tcPr>
            <w:tcW w:w="2552" w:type="dxa"/>
          </w:tcPr>
          <w:p w:rsidR="00990CED" w:rsidRDefault="00990CED" w:rsidP="00393C2D">
            <w:pPr>
              <w:spacing w:line="276" w:lineRule="auto"/>
              <w:rPr>
                <w:sz w:val="18"/>
                <w:szCs w:val="18"/>
              </w:rPr>
            </w:pPr>
            <w:r w:rsidRPr="004C5425">
              <w:rPr>
                <w:sz w:val="18"/>
                <w:szCs w:val="18"/>
              </w:rPr>
              <w:t>13.0% in</w:t>
            </w:r>
            <w:r>
              <w:rPr>
                <w:sz w:val="18"/>
                <w:szCs w:val="18"/>
              </w:rPr>
              <w:t xml:space="preserve"> females</w:t>
            </w:r>
          </w:p>
          <w:p w:rsidR="00990CED" w:rsidRPr="004C5425" w:rsidRDefault="00990CED" w:rsidP="00990CED">
            <w:pPr>
              <w:spacing w:line="276" w:lineRule="auto"/>
              <w:rPr>
                <w:sz w:val="18"/>
                <w:szCs w:val="18"/>
              </w:rPr>
            </w:pPr>
            <w:r w:rsidRPr="004C5425">
              <w:rPr>
                <w:sz w:val="18"/>
                <w:szCs w:val="18"/>
              </w:rPr>
              <w:t xml:space="preserve">18.6% in </w:t>
            </w:r>
            <w:r>
              <w:rPr>
                <w:sz w:val="18"/>
                <w:szCs w:val="18"/>
              </w:rPr>
              <w:t>males</w:t>
            </w:r>
          </w:p>
        </w:tc>
        <w:tc>
          <w:tcPr>
            <w:tcW w:w="2409" w:type="dxa"/>
          </w:tcPr>
          <w:p w:rsidR="00990CED" w:rsidRPr="004C5425" w:rsidRDefault="00990CED" w:rsidP="00386DA3">
            <w:pPr>
              <w:spacing w:line="276" w:lineRule="auto"/>
              <w:rPr>
                <w:sz w:val="18"/>
                <w:szCs w:val="18"/>
              </w:rPr>
            </w:pPr>
            <w:r w:rsidRPr="004C5425">
              <w:rPr>
                <w:sz w:val="18"/>
                <w:szCs w:val="18"/>
              </w:rPr>
              <w:t>Self-reported</w:t>
            </w:r>
          </w:p>
        </w:tc>
      </w:tr>
      <w:tr w:rsidR="00990CED" w:rsidRPr="004C5425" w:rsidTr="00990CED">
        <w:tc>
          <w:tcPr>
            <w:tcW w:w="1560" w:type="dxa"/>
          </w:tcPr>
          <w:p w:rsidR="00990CED" w:rsidRPr="004C5425" w:rsidRDefault="00990CED" w:rsidP="00393C2D">
            <w:pPr>
              <w:spacing w:line="276" w:lineRule="auto"/>
              <w:rPr>
                <w:sz w:val="18"/>
                <w:szCs w:val="18"/>
              </w:rPr>
            </w:pPr>
            <w:r w:rsidRPr="004C5425">
              <w:rPr>
                <w:sz w:val="18"/>
                <w:szCs w:val="18"/>
              </w:rPr>
              <w:t>Montnemery P</w:t>
            </w:r>
          </w:p>
          <w:p w:rsidR="00990CED" w:rsidRPr="004C5425" w:rsidRDefault="00990CED" w:rsidP="00393C2D">
            <w:pPr>
              <w:spacing w:line="276" w:lineRule="auto"/>
              <w:rPr>
                <w:sz w:val="18"/>
                <w:szCs w:val="18"/>
              </w:rPr>
            </w:pPr>
            <w:r>
              <w:rPr>
                <w:sz w:val="18"/>
                <w:szCs w:val="18"/>
              </w:rPr>
              <w:t>2001</w:t>
            </w:r>
          </w:p>
        </w:tc>
        <w:tc>
          <w:tcPr>
            <w:tcW w:w="2551" w:type="dxa"/>
          </w:tcPr>
          <w:p w:rsidR="00990CED" w:rsidRDefault="00990CED" w:rsidP="005169C9">
            <w:pPr>
              <w:spacing w:line="276" w:lineRule="auto"/>
              <w:rPr>
                <w:sz w:val="18"/>
                <w:szCs w:val="18"/>
              </w:rPr>
            </w:pPr>
            <w:r>
              <w:rPr>
                <w:sz w:val="18"/>
                <w:szCs w:val="18"/>
              </w:rPr>
              <w:t>1.4 (1.1-1.7)</w:t>
            </w:r>
          </w:p>
          <w:p w:rsidR="00990CED" w:rsidRPr="004C5425" w:rsidRDefault="00990CED" w:rsidP="005169C9">
            <w:pPr>
              <w:spacing w:line="276" w:lineRule="auto"/>
              <w:rPr>
                <w:sz w:val="18"/>
                <w:szCs w:val="18"/>
              </w:rPr>
            </w:pPr>
            <w:r w:rsidRPr="004C5425">
              <w:rPr>
                <w:sz w:val="18"/>
                <w:szCs w:val="18"/>
              </w:rPr>
              <w:t>11.0%</w:t>
            </w:r>
            <w:r>
              <w:rPr>
                <w:sz w:val="18"/>
                <w:szCs w:val="18"/>
              </w:rPr>
              <w:t xml:space="preserve">, </w:t>
            </w:r>
            <w:r w:rsidRPr="004C5425">
              <w:rPr>
                <w:sz w:val="18"/>
                <w:szCs w:val="18"/>
              </w:rPr>
              <w:t>SIG</w:t>
            </w:r>
          </w:p>
        </w:tc>
        <w:tc>
          <w:tcPr>
            <w:tcW w:w="2552" w:type="dxa"/>
          </w:tcPr>
          <w:p w:rsidR="00990CED" w:rsidRPr="004C5425" w:rsidRDefault="00990CED" w:rsidP="00393C2D">
            <w:pPr>
              <w:spacing w:line="276" w:lineRule="auto"/>
              <w:rPr>
                <w:sz w:val="18"/>
                <w:szCs w:val="18"/>
              </w:rPr>
            </w:pPr>
            <w:r w:rsidRPr="004C5425">
              <w:rPr>
                <w:sz w:val="18"/>
                <w:szCs w:val="18"/>
              </w:rPr>
              <w:t>8469 participants</w:t>
            </w:r>
          </w:p>
          <w:p w:rsidR="00990CED" w:rsidRPr="004C5425" w:rsidRDefault="00990CED" w:rsidP="00393C2D">
            <w:pPr>
              <w:spacing w:line="276" w:lineRule="auto"/>
              <w:rPr>
                <w:sz w:val="18"/>
                <w:szCs w:val="18"/>
              </w:rPr>
            </w:pPr>
            <w:r w:rsidRPr="004C5425">
              <w:rPr>
                <w:sz w:val="18"/>
                <w:szCs w:val="18"/>
              </w:rPr>
              <w:t>4.6% had CB</w:t>
            </w:r>
          </w:p>
        </w:tc>
        <w:tc>
          <w:tcPr>
            <w:tcW w:w="2409" w:type="dxa"/>
          </w:tcPr>
          <w:p w:rsidR="00990CED" w:rsidRDefault="00990CED" w:rsidP="00393C2D">
            <w:pPr>
              <w:spacing w:line="276" w:lineRule="auto"/>
              <w:rPr>
                <w:sz w:val="18"/>
                <w:szCs w:val="18"/>
              </w:rPr>
            </w:pPr>
            <w:r w:rsidRPr="004C5425">
              <w:rPr>
                <w:sz w:val="18"/>
                <w:szCs w:val="18"/>
              </w:rPr>
              <w:t>Self-reported</w:t>
            </w:r>
          </w:p>
          <w:p w:rsidR="00990CED" w:rsidRPr="004C5425" w:rsidRDefault="00990CED" w:rsidP="00393C2D">
            <w:pPr>
              <w:spacing w:line="276" w:lineRule="auto"/>
              <w:rPr>
                <w:sz w:val="18"/>
                <w:szCs w:val="18"/>
              </w:rPr>
            </w:pPr>
          </w:p>
        </w:tc>
      </w:tr>
      <w:tr w:rsidR="00990CED" w:rsidRPr="004C5425" w:rsidTr="00990CED">
        <w:tc>
          <w:tcPr>
            <w:tcW w:w="1560" w:type="dxa"/>
          </w:tcPr>
          <w:p w:rsidR="00990CED" w:rsidRPr="004C5425" w:rsidRDefault="00990CED" w:rsidP="00393C2D">
            <w:pPr>
              <w:spacing w:line="276" w:lineRule="auto"/>
              <w:rPr>
                <w:sz w:val="18"/>
                <w:szCs w:val="18"/>
              </w:rPr>
            </w:pPr>
            <w:r w:rsidRPr="004C5425">
              <w:rPr>
                <w:sz w:val="18"/>
                <w:szCs w:val="18"/>
              </w:rPr>
              <w:t>Zock JP</w:t>
            </w:r>
          </w:p>
          <w:p w:rsidR="00990CED" w:rsidRPr="004C5425" w:rsidRDefault="00990CED" w:rsidP="00393C2D">
            <w:pPr>
              <w:spacing w:line="276" w:lineRule="auto"/>
              <w:rPr>
                <w:sz w:val="18"/>
                <w:szCs w:val="18"/>
              </w:rPr>
            </w:pPr>
            <w:r>
              <w:rPr>
                <w:sz w:val="18"/>
                <w:szCs w:val="18"/>
              </w:rPr>
              <w:t>2001</w:t>
            </w:r>
          </w:p>
          <w:p w:rsidR="00990CED" w:rsidRPr="004C5425" w:rsidRDefault="00990CED" w:rsidP="00393C2D">
            <w:pPr>
              <w:spacing w:line="276" w:lineRule="auto"/>
              <w:rPr>
                <w:sz w:val="18"/>
                <w:szCs w:val="18"/>
              </w:rPr>
            </w:pPr>
          </w:p>
        </w:tc>
        <w:tc>
          <w:tcPr>
            <w:tcW w:w="2551" w:type="dxa"/>
          </w:tcPr>
          <w:p w:rsidR="00990CED" w:rsidRDefault="00990CED" w:rsidP="00393C2D">
            <w:pPr>
              <w:spacing w:line="276" w:lineRule="auto"/>
              <w:rPr>
                <w:sz w:val="18"/>
                <w:szCs w:val="18"/>
              </w:rPr>
            </w:pPr>
            <w:r>
              <w:rPr>
                <w:sz w:val="18"/>
                <w:szCs w:val="18"/>
              </w:rPr>
              <w:t>1.7 (1.3-2.3)</w:t>
            </w:r>
          </w:p>
          <w:p w:rsidR="00990CED" w:rsidRPr="004C5425" w:rsidRDefault="00990CED" w:rsidP="00393C2D">
            <w:pPr>
              <w:spacing w:line="276" w:lineRule="auto"/>
              <w:rPr>
                <w:sz w:val="18"/>
                <w:szCs w:val="18"/>
              </w:rPr>
            </w:pPr>
            <w:r w:rsidRPr="004C5425">
              <w:rPr>
                <w:sz w:val="18"/>
                <w:szCs w:val="18"/>
              </w:rPr>
              <w:t xml:space="preserve">24% </w:t>
            </w:r>
            <w:r>
              <w:rPr>
                <w:sz w:val="18"/>
                <w:szCs w:val="18"/>
              </w:rPr>
              <w:t>for current smokers, SIG</w:t>
            </w:r>
          </w:p>
          <w:p w:rsidR="00990CED" w:rsidRDefault="00990CED" w:rsidP="00393C2D">
            <w:pPr>
              <w:spacing w:line="276" w:lineRule="auto"/>
              <w:rPr>
                <w:sz w:val="18"/>
                <w:szCs w:val="18"/>
              </w:rPr>
            </w:pPr>
            <w:r>
              <w:rPr>
                <w:sz w:val="18"/>
                <w:szCs w:val="18"/>
              </w:rPr>
              <w:t>1.8 (0.8-4.1)</w:t>
            </w:r>
          </w:p>
          <w:p w:rsidR="00990CED" w:rsidRPr="004C5425" w:rsidRDefault="00990CED" w:rsidP="00393C2D">
            <w:pPr>
              <w:spacing w:line="276" w:lineRule="auto"/>
              <w:rPr>
                <w:sz w:val="18"/>
                <w:szCs w:val="18"/>
              </w:rPr>
            </w:pPr>
            <w:r w:rsidRPr="004C5425">
              <w:rPr>
                <w:sz w:val="18"/>
                <w:szCs w:val="18"/>
              </w:rPr>
              <w:t xml:space="preserve">26% </w:t>
            </w:r>
            <w:r>
              <w:rPr>
                <w:sz w:val="18"/>
                <w:szCs w:val="18"/>
              </w:rPr>
              <w:t>ex-smokers, NS</w:t>
            </w:r>
          </w:p>
          <w:p w:rsidR="00990CED" w:rsidRDefault="00990CED" w:rsidP="005169C9">
            <w:pPr>
              <w:spacing w:line="276" w:lineRule="auto"/>
              <w:rPr>
                <w:sz w:val="18"/>
                <w:szCs w:val="18"/>
              </w:rPr>
            </w:pPr>
            <w:r>
              <w:rPr>
                <w:sz w:val="18"/>
                <w:szCs w:val="18"/>
              </w:rPr>
              <w:t>1.3 (0.8-2.3)</w:t>
            </w:r>
          </w:p>
          <w:p w:rsidR="00990CED" w:rsidRPr="004C5425" w:rsidRDefault="00990CED" w:rsidP="005169C9">
            <w:pPr>
              <w:spacing w:line="276" w:lineRule="auto"/>
              <w:rPr>
                <w:sz w:val="18"/>
                <w:szCs w:val="18"/>
              </w:rPr>
            </w:pPr>
            <w:r w:rsidRPr="004C5425">
              <w:rPr>
                <w:sz w:val="18"/>
                <w:szCs w:val="18"/>
              </w:rPr>
              <w:t xml:space="preserve">12% </w:t>
            </w:r>
            <w:r>
              <w:rPr>
                <w:sz w:val="18"/>
                <w:szCs w:val="18"/>
              </w:rPr>
              <w:t>never smokers, NS</w:t>
            </w:r>
          </w:p>
        </w:tc>
        <w:tc>
          <w:tcPr>
            <w:tcW w:w="2552" w:type="dxa"/>
          </w:tcPr>
          <w:p w:rsidR="00990CED" w:rsidRPr="004C5425" w:rsidRDefault="00990CED" w:rsidP="00393C2D">
            <w:pPr>
              <w:spacing w:line="276" w:lineRule="auto"/>
              <w:rPr>
                <w:sz w:val="18"/>
                <w:szCs w:val="18"/>
              </w:rPr>
            </w:pPr>
            <w:r w:rsidRPr="004C5425">
              <w:rPr>
                <w:sz w:val="18"/>
                <w:szCs w:val="18"/>
              </w:rPr>
              <w:t>13,253 participants aged 20-44 years old</w:t>
            </w:r>
          </w:p>
          <w:p w:rsidR="00990CED" w:rsidRPr="004C5425" w:rsidRDefault="00990CED" w:rsidP="00393C2D">
            <w:pPr>
              <w:spacing w:line="276" w:lineRule="auto"/>
              <w:rPr>
                <w:sz w:val="18"/>
                <w:szCs w:val="18"/>
              </w:rPr>
            </w:pPr>
          </w:p>
          <w:p w:rsidR="00990CED" w:rsidRPr="004C5425" w:rsidRDefault="00990CED" w:rsidP="00393C2D">
            <w:pPr>
              <w:spacing w:line="276" w:lineRule="auto"/>
              <w:rPr>
                <w:sz w:val="18"/>
                <w:szCs w:val="18"/>
              </w:rPr>
            </w:pPr>
            <w:r w:rsidRPr="004C5425">
              <w:rPr>
                <w:sz w:val="18"/>
                <w:szCs w:val="18"/>
              </w:rPr>
              <w:t>2.9% of never smokers,  3.3% of ex-smokers and  8.9% of current smokers had CB</w:t>
            </w:r>
          </w:p>
        </w:tc>
        <w:tc>
          <w:tcPr>
            <w:tcW w:w="2409" w:type="dxa"/>
          </w:tcPr>
          <w:p w:rsidR="00990CED" w:rsidRPr="004C5425" w:rsidRDefault="00990CED" w:rsidP="00393C2D">
            <w:pPr>
              <w:spacing w:line="276" w:lineRule="auto"/>
              <w:rPr>
                <w:sz w:val="18"/>
                <w:szCs w:val="18"/>
              </w:rPr>
            </w:pPr>
            <w:r>
              <w:rPr>
                <w:sz w:val="18"/>
                <w:szCs w:val="18"/>
              </w:rPr>
              <w:t>JEM</w:t>
            </w:r>
          </w:p>
        </w:tc>
      </w:tr>
      <w:tr w:rsidR="00990CED" w:rsidRPr="004C5425" w:rsidTr="00990CED">
        <w:tc>
          <w:tcPr>
            <w:tcW w:w="1560" w:type="dxa"/>
          </w:tcPr>
          <w:p w:rsidR="00990CED" w:rsidRPr="004C5425" w:rsidRDefault="00990CED" w:rsidP="00393C2D">
            <w:pPr>
              <w:spacing w:line="276" w:lineRule="auto"/>
              <w:rPr>
                <w:sz w:val="18"/>
                <w:szCs w:val="18"/>
              </w:rPr>
            </w:pPr>
            <w:r w:rsidRPr="004C5425">
              <w:rPr>
                <w:sz w:val="18"/>
                <w:szCs w:val="18"/>
              </w:rPr>
              <w:t>Suadicani P</w:t>
            </w:r>
          </w:p>
          <w:p w:rsidR="00990CED" w:rsidRPr="004C5425" w:rsidRDefault="00990CED" w:rsidP="00393C2D">
            <w:pPr>
              <w:spacing w:line="276" w:lineRule="auto"/>
              <w:rPr>
                <w:sz w:val="18"/>
                <w:szCs w:val="18"/>
              </w:rPr>
            </w:pPr>
            <w:r>
              <w:rPr>
                <w:sz w:val="18"/>
                <w:szCs w:val="18"/>
              </w:rPr>
              <w:t>2001</w:t>
            </w:r>
          </w:p>
        </w:tc>
        <w:tc>
          <w:tcPr>
            <w:tcW w:w="2551" w:type="dxa"/>
          </w:tcPr>
          <w:p w:rsidR="00990CED" w:rsidRDefault="00990CED" w:rsidP="00990CED">
            <w:pPr>
              <w:spacing w:line="276" w:lineRule="auto"/>
              <w:rPr>
                <w:sz w:val="18"/>
                <w:szCs w:val="18"/>
              </w:rPr>
            </w:pPr>
            <w:r>
              <w:rPr>
                <w:sz w:val="18"/>
                <w:szCs w:val="18"/>
              </w:rPr>
              <w:t>2.2 (1.7-2.2)</w:t>
            </w:r>
          </w:p>
          <w:p w:rsidR="00990CED" w:rsidRPr="004C5425" w:rsidRDefault="00990CED" w:rsidP="00990CED">
            <w:pPr>
              <w:spacing w:line="276" w:lineRule="auto"/>
              <w:rPr>
                <w:sz w:val="18"/>
                <w:szCs w:val="18"/>
              </w:rPr>
            </w:pPr>
            <w:r w:rsidRPr="004C5425">
              <w:rPr>
                <w:sz w:val="18"/>
                <w:szCs w:val="18"/>
              </w:rPr>
              <w:t>4.0%</w:t>
            </w:r>
            <w:r>
              <w:rPr>
                <w:sz w:val="18"/>
                <w:szCs w:val="18"/>
              </w:rPr>
              <w:t xml:space="preserve">, </w:t>
            </w:r>
            <w:r w:rsidRPr="004C5425">
              <w:rPr>
                <w:sz w:val="18"/>
                <w:szCs w:val="18"/>
              </w:rPr>
              <w:t>SIG</w:t>
            </w:r>
          </w:p>
        </w:tc>
        <w:tc>
          <w:tcPr>
            <w:tcW w:w="2552" w:type="dxa"/>
          </w:tcPr>
          <w:p w:rsidR="00990CED" w:rsidRPr="004C5425" w:rsidRDefault="00990CED" w:rsidP="00393C2D">
            <w:pPr>
              <w:spacing w:line="276" w:lineRule="auto"/>
              <w:rPr>
                <w:sz w:val="18"/>
                <w:szCs w:val="18"/>
              </w:rPr>
            </w:pPr>
            <w:r w:rsidRPr="004C5425">
              <w:rPr>
                <w:sz w:val="18"/>
                <w:szCs w:val="18"/>
              </w:rPr>
              <w:t>485 cases</w:t>
            </w:r>
          </w:p>
          <w:p w:rsidR="00990CED" w:rsidRPr="004C5425" w:rsidRDefault="00990CED" w:rsidP="00393C2D">
            <w:pPr>
              <w:spacing w:line="276" w:lineRule="auto"/>
              <w:rPr>
                <w:sz w:val="18"/>
                <w:szCs w:val="18"/>
              </w:rPr>
            </w:pPr>
            <w:r w:rsidRPr="004C5425">
              <w:rPr>
                <w:sz w:val="18"/>
                <w:szCs w:val="18"/>
              </w:rPr>
              <w:t>2846 non cases</w:t>
            </w:r>
          </w:p>
        </w:tc>
        <w:tc>
          <w:tcPr>
            <w:tcW w:w="2409" w:type="dxa"/>
          </w:tcPr>
          <w:p w:rsidR="00990CED" w:rsidRPr="004C5425" w:rsidRDefault="00990CED" w:rsidP="00386DA3">
            <w:pPr>
              <w:spacing w:line="276" w:lineRule="auto"/>
              <w:rPr>
                <w:sz w:val="18"/>
                <w:szCs w:val="18"/>
              </w:rPr>
            </w:pPr>
            <w:r w:rsidRPr="004C5425">
              <w:rPr>
                <w:sz w:val="18"/>
                <w:szCs w:val="18"/>
              </w:rPr>
              <w:t>Self-reported</w:t>
            </w:r>
          </w:p>
        </w:tc>
      </w:tr>
    </w:tbl>
    <w:p w:rsidR="00B27A51" w:rsidRDefault="00B27A51" w:rsidP="00546B54">
      <w:pPr>
        <w:ind w:left="-567" w:right="521"/>
        <w:rPr>
          <w:sz w:val="16"/>
          <w:szCs w:val="16"/>
        </w:rPr>
      </w:pPr>
      <w:r>
        <w:rPr>
          <w:sz w:val="16"/>
          <w:szCs w:val="16"/>
        </w:rPr>
        <w:t xml:space="preserve">a. </w:t>
      </w:r>
      <w:r w:rsidRPr="00B27A51">
        <w:rPr>
          <w:sz w:val="16"/>
          <w:szCs w:val="16"/>
        </w:rPr>
        <w:t xml:space="preserve">CB; data taken from Tables 1 and 4. 288 with exposure to dust, gases fumes, and 876 not exposed. No information about proportion of cases exposed. However, total number exposed and RR known. Assuming table 4 relates to the same data, OR for CB of exposed v not exposed is adjusted and = 1.38 (0.84-2.26). (1.8 </w:t>
      </w:r>
      <w:proofErr w:type="gramStart"/>
      <w:r w:rsidRPr="00B27A51">
        <w:rPr>
          <w:sz w:val="16"/>
          <w:szCs w:val="16"/>
        </w:rPr>
        <w:t>for</w:t>
      </w:r>
      <w:proofErr w:type="gramEnd"/>
      <w:r w:rsidRPr="00B27A51">
        <w:rPr>
          <w:sz w:val="16"/>
          <w:szCs w:val="16"/>
        </w:rPr>
        <w:t xml:space="preserve"> chronic sputum). PAR calculated using second formula as follows; PAR</w:t>
      </w:r>
      <w:proofErr w:type="gramStart"/>
      <w:r w:rsidRPr="00B27A51">
        <w:rPr>
          <w:sz w:val="16"/>
          <w:szCs w:val="16"/>
        </w:rPr>
        <w:t>=(</w:t>
      </w:r>
      <w:proofErr w:type="gramEnd"/>
      <w:r w:rsidRPr="00B27A51">
        <w:rPr>
          <w:sz w:val="16"/>
          <w:szCs w:val="16"/>
        </w:rPr>
        <w:t>p(RR-1))/(p(RR-1)+1). p=288</w:t>
      </w:r>
      <w:proofErr w:type="gramStart"/>
      <w:r w:rsidRPr="00B27A51">
        <w:rPr>
          <w:sz w:val="16"/>
          <w:szCs w:val="16"/>
        </w:rPr>
        <w:t>/(</w:t>
      </w:r>
      <w:proofErr w:type="gramEnd"/>
      <w:r w:rsidRPr="00B27A51">
        <w:rPr>
          <w:sz w:val="16"/>
          <w:szCs w:val="16"/>
        </w:rPr>
        <w:t>288+876)=0.25 PAR=(0.25*0.38)/(0.25*0.38)+1=8.6%.</w:t>
      </w:r>
    </w:p>
    <w:p w:rsidR="00B27A51" w:rsidRDefault="00B27A51" w:rsidP="00546B54">
      <w:pPr>
        <w:ind w:left="-567" w:right="521"/>
        <w:rPr>
          <w:sz w:val="16"/>
          <w:szCs w:val="16"/>
        </w:rPr>
      </w:pPr>
      <w:r>
        <w:rPr>
          <w:sz w:val="16"/>
          <w:szCs w:val="16"/>
        </w:rPr>
        <w:t>b.</w:t>
      </w:r>
      <w:r w:rsidRPr="00B27A51">
        <w:t xml:space="preserve"> </w:t>
      </w:r>
      <w:r w:rsidRPr="00B27A51">
        <w:rPr>
          <w:sz w:val="16"/>
          <w:szCs w:val="16"/>
        </w:rPr>
        <w:t>After contacting authors; Pc x ((OR-1)/OR) where Pc is the proportion of cases exposed. OR=1.38 (0.84-2.28)</w:t>
      </w:r>
      <w:r>
        <w:rPr>
          <w:sz w:val="16"/>
          <w:szCs w:val="16"/>
        </w:rPr>
        <w:t xml:space="preserve">. </w:t>
      </w:r>
      <w:r w:rsidRPr="00B27A51">
        <w:rPr>
          <w:sz w:val="16"/>
          <w:szCs w:val="16"/>
        </w:rPr>
        <w:t>(59</w:t>
      </w:r>
      <w:proofErr w:type="gramStart"/>
      <w:r w:rsidRPr="00B27A51">
        <w:rPr>
          <w:sz w:val="16"/>
          <w:szCs w:val="16"/>
        </w:rPr>
        <w:t>/(</w:t>
      </w:r>
      <w:proofErr w:type="gramEnd"/>
      <w:r w:rsidRPr="00B27A51">
        <w:rPr>
          <w:sz w:val="16"/>
          <w:szCs w:val="16"/>
        </w:rPr>
        <w:t xml:space="preserve">59+27)) x (0.38/1.38) = 0.68 x 0.28 = 18.9% for CB symptoms (cough AND sputum at least 3 months of year), VGDF exposed v non-exposed. </w:t>
      </w:r>
      <w:r>
        <w:rPr>
          <w:sz w:val="16"/>
          <w:szCs w:val="16"/>
        </w:rPr>
        <w:t xml:space="preserve"> </w:t>
      </w:r>
    </w:p>
    <w:p w:rsidR="00B27A51" w:rsidRPr="00B27A51" w:rsidRDefault="00B27A51" w:rsidP="00546B54">
      <w:pPr>
        <w:ind w:left="-567" w:right="521"/>
        <w:rPr>
          <w:sz w:val="16"/>
          <w:szCs w:val="16"/>
        </w:rPr>
      </w:pPr>
      <w:r>
        <w:rPr>
          <w:sz w:val="16"/>
          <w:szCs w:val="16"/>
        </w:rPr>
        <w:t>c.</w:t>
      </w:r>
      <w:r w:rsidR="00536ABE">
        <w:rPr>
          <w:sz w:val="16"/>
          <w:szCs w:val="16"/>
        </w:rPr>
        <w:t xml:space="preserve"> </w:t>
      </w:r>
      <w:r w:rsidR="00536ABE" w:rsidRPr="00536ABE">
        <w:rPr>
          <w:sz w:val="16"/>
          <w:szCs w:val="16"/>
        </w:rPr>
        <w:t xml:space="preserve">Unpublished data from the Sheffield cohort. 70 cases of CB alone, compared to all others in the dataset. </w:t>
      </w:r>
      <w:proofErr w:type="gramStart"/>
      <w:r w:rsidR="00536ABE" w:rsidRPr="00536ABE">
        <w:rPr>
          <w:sz w:val="16"/>
          <w:szCs w:val="16"/>
        </w:rPr>
        <w:t>VGDF ever/never.</w:t>
      </w:r>
      <w:proofErr w:type="gramEnd"/>
      <w:r w:rsidR="00536ABE" w:rsidRPr="00536ABE">
        <w:rPr>
          <w:sz w:val="16"/>
          <w:szCs w:val="16"/>
        </w:rPr>
        <w:t xml:space="preserve"> OR adjusted for age, gender and smoking. OR=3.606 (1.898-6.852). 70 cases of CB, 55 of </w:t>
      </w:r>
      <w:proofErr w:type="gramStart"/>
      <w:r w:rsidR="00536ABE" w:rsidRPr="00536ABE">
        <w:rPr>
          <w:sz w:val="16"/>
          <w:szCs w:val="16"/>
        </w:rPr>
        <w:t>whom</w:t>
      </w:r>
      <w:proofErr w:type="gramEnd"/>
      <w:r w:rsidR="00536ABE" w:rsidRPr="00536ABE">
        <w:rPr>
          <w:sz w:val="16"/>
          <w:szCs w:val="16"/>
        </w:rPr>
        <w:t xml:space="preserve"> exposed. PAR%=2.606/3.606</w:t>
      </w:r>
      <w:proofErr w:type="gramStart"/>
      <w:r w:rsidR="00536ABE" w:rsidRPr="00536ABE">
        <w:rPr>
          <w:sz w:val="16"/>
          <w:szCs w:val="16"/>
        </w:rPr>
        <w:t>*(</w:t>
      </w:r>
      <w:proofErr w:type="gramEnd"/>
      <w:r w:rsidR="00536ABE" w:rsidRPr="00536ABE">
        <w:rPr>
          <w:sz w:val="16"/>
          <w:szCs w:val="16"/>
        </w:rPr>
        <w:t>55/70)=56.8%.</w:t>
      </w:r>
      <w:r>
        <w:rPr>
          <w:sz w:val="16"/>
          <w:szCs w:val="16"/>
        </w:rPr>
        <w:t xml:space="preserve"> </w:t>
      </w:r>
    </w:p>
    <w:sectPr w:rsidR="00B27A51" w:rsidRPr="00B27A51" w:rsidSect="00546B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25A" w:rsidRDefault="00B7325A" w:rsidP="004F707B">
      <w:pPr>
        <w:spacing w:after="0" w:line="240" w:lineRule="auto"/>
      </w:pPr>
      <w:r>
        <w:separator/>
      </w:r>
    </w:p>
  </w:endnote>
  <w:endnote w:type="continuationSeparator" w:id="0">
    <w:p w:rsidR="00B7325A" w:rsidRDefault="00B7325A" w:rsidP="004F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25A" w:rsidRDefault="00B7325A" w:rsidP="004F707B">
      <w:pPr>
        <w:spacing w:after="0" w:line="240" w:lineRule="auto"/>
      </w:pPr>
      <w:r>
        <w:separator/>
      </w:r>
    </w:p>
  </w:footnote>
  <w:footnote w:type="continuationSeparator" w:id="0">
    <w:p w:rsidR="00B7325A" w:rsidRDefault="00B7325A" w:rsidP="004F7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271BF"/>
    <w:multiLevelType w:val="hybridMultilevel"/>
    <w:tmpl w:val="B4DE27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F60368"/>
    <w:multiLevelType w:val="hybridMultilevel"/>
    <w:tmpl w:val="B67663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C6"/>
    <w:rsid w:val="00001074"/>
    <w:rsid w:val="00006D31"/>
    <w:rsid w:val="0001061D"/>
    <w:rsid w:val="00012A61"/>
    <w:rsid w:val="00024681"/>
    <w:rsid w:val="00024B94"/>
    <w:rsid w:val="00025DC6"/>
    <w:rsid w:val="0002633C"/>
    <w:rsid w:val="00043564"/>
    <w:rsid w:val="0004398B"/>
    <w:rsid w:val="000451BE"/>
    <w:rsid w:val="0004577D"/>
    <w:rsid w:val="00062D6A"/>
    <w:rsid w:val="00064766"/>
    <w:rsid w:val="0006491D"/>
    <w:rsid w:val="00070540"/>
    <w:rsid w:val="00070FF4"/>
    <w:rsid w:val="00076268"/>
    <w:rsid w:val="00076B36"/>
    <w:rsid w:val="0007761F"/>
    <w:rsid w:val="000817DE"/>
    <w:rsid w:val="00084AF7"/>
    <w:rsid w:val="0009416B"/>
    <w:rsid w:val="000B36D5"/>
    <w:rsid w:val="000D162B"/>
    <w:rsid w:val="000D37B2"/>
    <w:rsid w:val="000F3B39"/>
    <w:rsid w:val="00111936"/>
    <w:rsid w:val="001172F6"/>
    <w:rsid w:val="00130D82"/>
    <w:rsid w:val="00134CF0"/>
    <w:rsid w:val="00136D07"/>
    <w:rsid w:val="001377B1"/>
    <w:rsid w:val="00142A8D"/>
    <w:rsid w:val="001449B0"/>
    <w:rsid w:val="001455D4"/>
    <w:rsid w:val="00150342"/>
    <w:rsid w:val="00150647"/>
    <w:rsid w:val="001516D3"/>
    <w:rsid w:val="00152CFC"/>
    <w:rsid w:val="00160E92"/>
    <w:rsid w:val="00164E28"/>
    <w:rsid w:val="00170C9E"/>
    <w:rsid w:val="00173516"/>
    <w:rsid w:val="001855F3"/>
    <w:rsid w:val="001900D0"/>
    <w:rsid w:val="00191B26"/>
    <w:rsid w:val="001A1B48"/>
    <w:rsid w:val="001A4A80"/>
    <w:rsid w:val="001A53C2"/>
    <w:rsid w:val="001C01A2"/>
    <w:rsid w:val="001C448C"/>
    <w:rsid w:val="001C49C2"/>
    <w:rsid w:val="001D40B9"/>
    <w:rsid w:val="001D6166"/>
    <w:rsid w:val="001E036B"/>
    <w:rsid w:val="001E5810"/>
    <w:rsid w:val="001F024D"/>
    <w:rsid w:val="001F45C7"/>
    <w:rsid w:val="002005C0"/>
    <w:rsid w:val="002063CB"/>
    <w:rsid w:val="0021050F"/>
    <w:rsid w:val="00215E93"/>
    <w:rsid w:val="00216AE8"/>
    <w:rsid w:val="002264F3"/>
    <w:rsid w:val="00233BDD"/>
    <w:rsid w:val="00235BB7"/>
    <w:rsid w:val="00242E09"/>
    <w:rsid w:val="00252324"/>
    <w:rsid w:val="002549E7"/>
    <w:rsid w:val="002558A4"/>
    <w:rsid w:val="0025590A"/>
    <w:rsid w:val="002560E3"/>
    <w:rsid w:val="00271A31"/>
    <w:rsid w:val="00274599"/>
    <w:rsid w:val="0028125D"/>
    <w:rsid w:val="002866AB"/>
    <w:rsid w:val="00286784"/>
    <w:rsid w:val="002918C6"/>
    <w:rsid w:val="00294410"/>
    <w:rsid w:val="002B45AD"/>
    <w:rsid w:val="002C3205"/>
    <w:rsid w:val="002C3E6F"/>
    <w:rsid w:val="002D52EC"/>
    <w:rsid w:val="002D68E3"/>
    <w:rsid w:val="002D7B4D"/>
    <w:rsid w:val="002E4E50"/>
    <w:rsid w:val="002E7A2F"/>
    <w:rsid w:val="002F338D"/>
    <w:rsid w:val="00300B6E"/>
    <w:rsid w:val="00300E11"/>
    <w:rsid w:val="00315452"/>
    <w:rsid w:val="00322688"/>
    <w:rsid w:val="00324F7F"/>
    <w:rsid w:val="00326EB6"/>
    <w:rsid w:val="0032702E"/>
    <w:rsid w:val="0033155C"/>
    <w:rsid w:val="00331885"/>
    <w:rsid w:val="00337879"/>
    <w:rsid w:val="003448BB"/>
    <w:rsid w:val="00347EF9"/>
    <w:rsid w:val="0036337B"/>
    <w:rsid w:val="0036752B"/>
    <w:rsid w:val="003741FA"/>
    <w:rsid w:val="00375791"/>
    <w:rsid w:val="00376547"/>
    <w:rsid w:val="00382BDD"/>
    <w:rsid w:val="00386DA3"/>
    <w:rsid w:val="00393C2D"/>
    <w:rsid w:val="0039604A"/>
    <w:rsid w:val="00396834"/>
    <w:rsid w:val="003A04CF"/>
    <w:rsid w:val="003A2824"/>
    <w:rsid w:val="003A368D"/>
    <w:rsid w:val="003A4255"/>
    <w:rsid w:val="003B2414"/>
    <w:rsid w:val="003B4628"/>
    <w:rsid w:val="003D49A0"/>
    <w:rsid w:val="003E0402"/>
    <w:rsid w:val="003F5D75"/>
    <w:rsid w:val="00400E5F"/>
    <w:rsid w:val="004058BA"/>
    <w:rsid w:val="00406403"/>
    <w:rsid w:val="0042093C"/>
    <w:rsid w:val="004243C9"/>
    <w:rsid w:val="00432F73"/>
    <w:rsid w:val="0043490F"/>
    <w:rsid w:val="004409BF"/>
    <w:rsid w:val="0045670D"/>
    <w:rsid w:val="00461AA1"/>
    <w:rsid w:val="0046411B"/>
    <w:rsid w:val="004661E2"/>
    <w:rsid w:val="0047094A"/>
    <w:rsid w:val="00477ED1"/>
    <w:rsid w:val="0048106E"/>
    <w:rsid w:val="00481FC7"/>
    <w:rsid w:val="00492A7C"/>
    <w:rsid w:val="004A57C0"/>
    <w:rsid w:val="004B05DF"/>
    <w:rsid w:val="004B0EBF"/>
    <w:rsid w:val="004B4B97"/>
    <w:rsid w:val="004C28FF"/>
    <w:rsid w:val="004C29C2"/>
    <w:rsid w:val="004C5425"/>
    <w:rsid w:val="004C7989"/>
    <w:rsid w:val="004C79A5"/>
    <w:rsid w:val="004E08AD"/>
    <w:rsid w:val="004E50C3"/>
    <w:rsid w:val="004E5142"/>
    <w:rsid w:val="004E5C0A"/>
    <w:rsid w:val="004F5DD3"/>
    <w:rsid w:val="004F707B"/>
    <w:rsid w:val="004F7A7C"/>
    <w:rsid w:val="00501DE2"/>
    <w:rsid w:val="005169C9"/>
    <w:rsid w:val="005208A9"/>
    <w:rsid w:val="005210D9"/>
    <w:rsid w:val="00524107"/>
    <w:rsid w:val="00525C94"/>
    <w:rsid w:val="00536361"/>
    <w:rsid w:val="00536ABE"/>
    <w:rsid w:val="00546B54"/>
    <w:rsid w:val="00551EC9"/>
    <w:rsid w:val="00561480"/>
    <w:rsid w:val="00562537"/>
    <w:rsid w:val="005640A7"/>
    <w:rsid w:val="00570449"/>
    <w:rsid w:val="005716FD"/>
    <w:rsid w:val="005718C3"/>
    <w:rsid w:val="00572BFB"/>
    <w:rsid w:val="00572F62"/>
    <w:rsid w:val="0057680F"/>
    <w:rsid w:val="005835D6"/>
    <w:rsid w:val="00584759"/>
    <w:rsid w:val="0058509F"/>
    <w:rsid w:val="005A0321"/>
    <w:rsid w:val="005A03F9"/>
    <w:rsid w:val="005A1EFC"/>
    <w:rsid w:val="005A3049"/>
    <w:rsid w:val="005A365C"/>
    <w:rsid w:val="005A6C1D"/>
    <w:rsid w:val="005B0CBC"/>
    <w:rsid w:val="005B4472"/>
    <w:rsid w:val="005B4C71"/>
    <w:rsid w:val="005B7878"/>
    <w:rsid w:val="005C26A0"/>
    <w:rsid w:val="005D2518"/>
    <w:rsid w:val="005E3815"/>
    <w:rsid w:val="005F0F3D"/>
    <w:rsid w:val="005F2F27"/>
    <w:rsid w:val="00600853"/>
    <w:rsid w:val="006253A9"/>
    <w:rsid w:val="006255C4"/>
    <w:rsid w:val="00633CDA"/>
    <w:rsid w:val="00656019"/>
    <w:rsid w:val="00657D56"/>
    <w:rsid w:val="006756D0"/>
    <w:rsid w:val="00693422"/>
    <w:rsid w:val="006A3026"/>
    <w:rsid w:val="006A42F3"/>
    <w:rsid w:val="006C1625"/>
    <w:rsid w:val="006C491B"/>
    <w:rsid w:val="006C5ABC"/>
    <w:rsid w:val="006D0587"/>
    <w:rsid w:val="006D1577"/>
    <w:rsid w:val="006D2F27"/>
    <w:rsid w:val="007059B7"/>
    <w:rsid w:val="007122C8"/>
    <w:rsid w:val="007217BA"/>
    <w:rsid w:val="0072517E"/>
    <w:rsid w:val="0073469C"/>
    <w:rsid w:val="00736C57"/>
    <w:rsid w:val="0074388E"/>
    <w:rsid w:val="007445B8"/>
    <w:rsid w:val="007678CD"/>
    <w:rsid w:val="00772571"/>
    <w:rsid w:val="00776273"/>
    <w:rsid w:val="007861DA"/>
    <w:rsid w:val="007863F2"/>
    <w:rsid w:val="00787F47"/>
    <w:rsid w:val="007908DE"/>
    <w:rsid w:val="007909FF"/>
    <w:rsid w:val="007944FC"/>
    <w:rsid w:val="007A05E5"/>
    <w:rsid w:val="007A0DB9"/>
    <w:rsid w:val="007A33DC"/>
    <w:rsid w:val="007A6AA0"/>
    <w:rsid w:val="007A7A1F"/>
    <w:rsid w:val="007B518C"/>
    <w:rsid w:val="007B64AC"/>
    <w:rsid w:val="007C0BF2"/>
    <w:rsid w:val="007C6790"/>
    <w:rsid w:val="007C76CE"/>
    <w:rsid w:val="007D51B0"/>
    <w:rsid w:val="007E0CB1"/>
    <w:rsid w:val="007E25BF"/>
    <w:rsid w:val="007E2648"/>
    <w:rsid w:val="007E5F18"/>
    <w:rsid w:val="007E7A43"/>
    <w:rsid w:val="007F1605"/>
    <w:rsid w:val="007F6912"/>
    <w:rsid w:val="007F7CEA"/>
    <w:rsid w:val="00815514"/>
    <w:rsid w:val="00831170"/>
    <w:rsid w:val="008412A2"/>
    <w:rsid w:val="0084351C"/>
    <w:rsid w:val="008451E9"/>
    <w:rsid w:val="00851B22"/>
    <w:rsid w:val="00853355"/>
    <w:rsid w:val="00857664"/>
    <w:rsid w:val="0085792C"/>
    <w:rsid w:val="0086090F"/>
    <w:rsid w:val="00861EB4"/>
    <w:rsid w:val="00864026"/>
    <w:rsid w:val="008646D3"/>
    <w:rsid w:val="00874F21"/>
    <w:rsid w:val="0088144C"/>
    <w:rsid w:val="00884BCA"/>
    <w:rsid w:val="008A1DEA"/>
    <w:rsid w:val="008A494A"/>
    <w:rsid w:val="008B28A2"/>
    <w:rsid w:val="008C067B"/>
    <w:rsid w:val="008F1731"/>
    <w:rsid w:val="009049D7"/>
    <w:rsid w:val="009145DA"/>
    <w:rsid w:val="0092212E"/>
    <w:rsid w:val="00924126"/>
    <w:rsid w:val="009259CF"/>
    <w:rsid w:val="00927859"/>
    <w:rsid w:val="00932DC8"/>
    <w:rsid w:val="00943322"/>
    <w:rsid w:val="00943997"/>
    <w:rsid w:val="0094525B"/>
    <w:rsid w:val="009513F5"/>
    <w:rsid w:val="0095436C"/>
    <w:rsid w:val="00955EFE"/>
    <w:rsid w:val="00965439"/>
    <w:rsid w:val="009733AF"/>
    <w:rsid w:val="009748AC"/>
    <w:rsid w:val="00975832"/>
    <w:rsid w:val="00977A86"/>
    <w:rsid w:val="00990CED"/>
    <w:rsid w:val="0099224F"/>
    <w:rsid w:val="009A4E4F"/>
    <w:rsid w:val="009A67ED"/>
    <w:rsid w:val="009B223C"/>
    <w:rsid w:val="009C6E20"/>
    <w:rsid w:val="009D0EFC"/>
    <w:rsid w:val="009D4D5F"/>
    <w:rsid w:val="009E3A46"/>
    <w:rsid w:val="009E7D1E"/>
    <w:rsid w:val="00A011E5"/>
    <w:rsid w:val="00A05BB0"/>
    <w:rsid w:val="00A05D44"/>
    <w:rsid w:val="00A07BED"/>
    <w:rsid w:val="00A16E15"/>
    <w:rsid w:val="00A1750D"/>
    <w:rsid w:val="00A17686"/>
    <w:rsid w:val="00A22F61"/>
    <w:rsid w:val="00A27F42"/>
    <w:rsid w:val="00A35997"/>
    <w:rsid w:val="00A362E2"/>
    <w:rsid w:val="00A372F3"/>
    <w:rsid w:val="00A43C54"/>
    <w:rsid w:val="00A53498"/>
    <w:rsid w:val="00A57749"/>
    <w:rsid w:val="00A61757"/>
    <w:rsid w:val="00A62064"/>
    <w:rsid w:val="00A6386B"/>
    <w:rsid w:val="00A63B34"/>
    <w:rsid w:val="00A643F6"/>
    <w:rsid w:val="00A70120"/>
    <w:rsid w:val="00A715ED"/>
    <w:rsid w:val="00A75750"/>
    <w:rsid w:val="00A7584F"/>
    <w:rsid w:val="00A8245F"/>
    <w:rsid w:val="00A83104"/>
    <w:rsid w:val="00A90649"/>
    <w:rsid w:val="00AB7418"/>
    <w:rsid w:val="00AB7BC0"/>
    <w:rsid w:val="00AC18E8"/>
    <w:rsid w:val="00AC2BD9"/>
    <w:rsid w:val="00AD15A1"/>
    <w:rsid w:val="00AD2354"/>
    <w:rsid w:val="00AE09A0"/>
    <w:rsid w:val="00AE1504"/>
    <w:rsid w:val="00AE1D94"/>
    <w:rsid w:val="00AE406F"/>
    <w:rsid w:val="00AE5370"/>
    <w:rsid w:val="00AE59F2"/>
    <w:rsid w:val="00AE60F5"/>
    <w:rsid w:val="00AF1D1E"/>
    <w:rsid w:val="00AF405A"/>
    <w:rsid w:val="00B05B84"/>
    <w:rsid w:val="00B06759"/>
    <w:rsid w:val="00B1181A"/>
    <w:rsid w:val="00B1376B"/>
    <w:rsid w:val="00B17C11"/>
    <w:rsid w:val="00B27A51"/>
    <w:rsid w:val="00B41238"/>
    <w:rsid w:val="00B45B5F"/>
    <w:rsid w:val="00B52256"/>
    <w:rsid w:val="00B607FA"/>
    <w:rsid w:val="00B61760"/>
    <w:rsid w:val="00B704DE"/>
    <w:rsid w:val="00B7325A"/>
    <w:rsid w:val="00B76475"/>
    <w:rsid w:val="00B92C0D"/>
    <w:rsid w:val="00BA33F3"/>
    <w:rsid w:val="00BB7AFC"/>
    <w:rsid w:val="00BC2363"/>
    <w:rsid w:val="00BC6E4C"/>
    <w:rsid w:val="00BD2D93"/>
    <w:rsid w:val="00BD4723"/>
    <w:rsid w:val="00BE1476"/>
    <w:rsid w:val="00BE312A"/>
    <w:rsid w:val="00BE35E0"/>
    <w:rsid w:val="00BF29B4"/>
    <w:rsid w:val="00BF519D"/>
    <w:rsid w:val="00C036C3"/>
    <w:rsid w:val="00C11488"/>
    <w:rsid w:val="00C178D1"/>
    <w:rsid w:val="00C27340"/>
    <w:rsid w:val="00C37ACD"/>
    <w:rsid w:val="00C463AE"/>
    <w:rsid w:val="00C61F4A"/>
    <w:rsid w:val="00C73A33"/>
    <w:rsid w:val="00C740BB"/>
    <w:rsid w:val="00C758B1"/>
    <w:rsid w:val="00C75D1C"/>
    <w:rsid w:val="00C75EC3"/>
    <w:rsid w:val="00C76AD4"/>
    <w:rsid w:val="00C80FDE"/>
    <w:rsid w:val="00C861D3"/>
    <w:rsid w:val="00C90C75"/>
    <w:rsid w:val="00CA0480"/>
    <w:rsid w:val="00CA2FBE"/>
    <w:rsid w:val="00CB29DE"/>
    <w:rsid w:val="00CB46DE"/>
    <w:rsid w:val="00CC12D2"/>
    <w:rsid w:val="00CC1C1B"/>
    <w:rsid w:val="00CD1B7E"/>
    <w:rsid w:val="00CD35DD"/>
    <w:rsid w:val="00CD5EF2"/>
    <w:rsid w:val="00CD77B0"/>
    <w:rsid w:val="00CE795C"/>
    <w:rsid w:val="00CE7EC2"/>
    <w:rsid w:val="00CF23ED"/>
    <w:rsid w:val="00CF33F0"/>
    <w:rsid w:val="00D038A4"/>
    <w:rsid w:val="00D03BCC"/>
    <w:rsid w:val="00D115E8"/>
    <w:rsid w:val="00D23996"/>
    <w:rsid w:val="00D42644"/>
    <w:rsid w:val="00D501C2"/>
    <w:rsid w:val="00D52919"/>
    <w:rsid w:val="00D52F2D"/>
    <w:rsid w:val="00D612EF"/>
    <w:rsid w:val="00D65F25"/>
    <w:rsid w:val="00D725CF"/>
    <w:rsid w:val="00D733C0"/>
    <w:rsid w:val="00D92C78"/>
    <w:rsid w:val="00D95302"/>
    <w:rsid w:val="00DA003C"/>
    <w:rsid w:val="00DA4849"/>
    <w:rsid w:val="00DC0357"/>
    <w:rsid w:val="00DC76F3"/>
    <w:rsid w:val="00DD0F3A"/>
    <w:rsid w:val="00DD1942"/>
    <w:rsid w:val="00DD769F"/>
    <w:rsid w:val="00DD7845"/>
    <w:rsid w:val="00DE092E"/>
    <w:rsid w:val="00DE15EB"/>
    <w:rsid w:val="00DE2BA6"/>
    <w:rsid w:val="00DE481A"/>
    <w:rsid w:val="00DF07A3"/>
    <w:rsid w:val="00DF2333"/>
    <w:rsid w:val="00DF29BC"/>
    <w:rsid w:val="00DF5448"/>
    <w:rsid w:val="00DF5517"/>
    <w:rsid w:val="00E06202"/>
    <w:rsid w:val="00E10C61"/>
    <w:rsid w:val="00E15228"/>
    <w:rsid w:val="00E15991"/>
    <w:rsid w:val="00E17D52"/>
    <w:rsid w:val="00E21AF7"/>
    <w:rsid w:val="00E30517"/>
    <w:rsid w:val="00E348B5"/>
    <w:rsid w:val="00E403CC"/>
    <w:rsid w:val="00E56B49"/>
    <w:rsid w:val="00E71E62"/>
    <w:rsid w:val="00E831BD"/>
    <w:rsid w:val="00E923A9"/>
    <w:rsid w:val="00EA553B"/>
    <w:rsid w:val="00EB466A"/>
    <w:rsid w:val="00EB5652"/>
    <w:rsid w:val="00ED2B90"/>
    <w:rsid w:val="00ED64E7"/>
    <w:rsid w:val="00EE5416"/>
    <w:rsid w:val="00EF2775"/>
    <w:rsid w:val="00F00C36"/>
    <w:rsid w:val="00F064AF"/>
    <w:rsid w:val="00F06694"/>
    <w:rsid w:val="00F1074C"/>
    <w:rsid w:val="00F10A68"/>
    <w:rsid w:val="00F117A3"/>
    <w:rsid w:val="00F12306"/>
    <w:rsid w:val="00F1250B"/>
    <w:rsid w:val="00F169D0"/>
    <w:rsid w:val="00F3303B"/>
    <w:rsid w:val="00F35347"/>
    <w:rsid w:val="00F42572"/>
    <w:rsid w:val="00F53C05"/>
    <w:rsid w:val="00F61F89"/>
    <w:rsid w:val="00F67B2D"/>
    <w:rsid w:val="00F740D9"/>
    <w:rsid w:val="00F75BBE"/>
    <w:rsid w:val="00F774DC"/>
    <w:rsid w:val="00F84496"/>
    <w:rsid w:val="00F85C14"/>
    <w:rsid w:val="00F8691E"/>
    <w:rsid w:val="00F939DC"/>
    <w:rsid w:val="00F97E48"/>
    <w:rsid w:val="00FA3A6A"/>
    <w:rsid w:val="00FB24A9"/>
    <w:rsid w:val="00FB3B03"/>
    <w:rsid w:val="00FB5B06"/>
    <w:rsid w:val="00FD189E"/>
    <w:rsid w:val="00FD53BD"/>
    <w:rsid w:val="00FE00C2"/>
    <w:rsid w:val="00FE2C5F"/>
    <w:rsid w:val="00FF381A"/>
    <w:rsid w:val="00FF4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7EF9"/>
    <w:rPr>
      <w:sz w:val="16"/>
      <w:szCs w:val="16"/>
    </w:rPr>
  </w:style>
  <w:style w:type="paragraph" w:styleId="CommentText">
    <w:name w:val="annotation text"/>
    <w:basedOn w:val="Normal"/>
    <w:link w:val="CommentTextChar"/>
    <w:uiPriority w:val="99"/>
    <w:semiHidden/>
    <w:unhideWhenUsed/>
    <w:rsid w:val="00347EF9"/>
    <w:pPr>
      <w:spacing w:line="240" w:lineRule="auto"/>
    </w:pPr>
    <w:rPr>
      <w:sz w:val="20"/>
      <w:szCs w:val="20"/>
    </w:rPr>
  </w:style>
  <w:style w:type="character" w:customStyle="1" w:styleId="CommentTextChar">
    <w:name w:val="Comment Text Char"/>
    <w:basedOn w:val="DefaultParagraphFont"/>
    <w:link w:val="CommentText"/>
    <w:uiPriority w:val="99"/>
    <w:semiHidden/>
    <w:rsid w:val="00347EF9"/>
    <w:rPr>
      <w:sz w:val="20"/>
      <w:szCs w:val="20"/>
    </w:rPr>
  </w:style>
  <w:style w:type="paragraph" w:styleId="CommentSubject">
    <w:name w:val="annotation subject"/>
    <w:basedOn w:val="CommentText"/>
    <w:next w:val="CommentText"/>
    <w:link w:val="CommentSubjectChar"/>
    <w:uiPriority w:val="99"/>
    <w:semiHidden/>
    <w:unhideWhenUsed/>
    <w:rsid w:val="00347EF9"/>
    <w:rPr>
      <w:b/>
      <w:bCs/>
    </w:rPr>
  </w:style>
  <w:style w:type="character" w:customStyle="1" w:styleId="CommentSubjectChar">
    <w:name w:val="Comment Subject Char"/>
    <w:basedOn w:val="CommentTextChar"/>
    <w:link w:val="CommentSubject"/>
    <w:uiPriority w:val="99"/>
    <w:semiHidden/>
    <w:rsid w:val="00347EF9"/>
    <w:rPr>
      <w:b/>
      <w:bCs/>
      <w:sz w:val="20"/>
      <w:szCs w:val="20"/>
    </w:rPr>
  </w:style>
  <w:style w:type="paragraph" w:styleId="BalloonText">
    <w:name w:val="Balloon Text"/>
    <w:basedOn w:val="Normal"/>
    <w:link w:val="BalloonTextChar"/>
    <w:uiPriority w:val="99"/>
    <w:semiHidden/>
    <w:unhideWhenUsed/>
    <w:rsid w:val="0034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F9"/>
    <w:rPr>
      <w:rFonts w:ascii="Tahoma" w:hAnsi="Tahoma" w:cs="Tahoma"/>
      <w:sz w:val="16"/>
      <w:szCs w:val="16"/>
    </w:rPr>
  </w:style>
  <w:style w:type="paragraph" w:styleId="NormalWeb">
    <w:name w:val="Normal (Web)"/>
    <w:basedOn w:val="Normal"/>
    <w:uiPriority w:val="99"/>
    <w:unhideWhenUsed/>
    <w:rsid w:val="00BF51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dnoteText">
    <w:name w:val="endnote text"/>
    <w:basedOn w:val="Normal"/>
    <w:link w:val="EndnoteTextChar"/>
    <w:uiPriority w:val="99"/>
    <w:semiHidden/>
    <w:unhideWhenUsed/>
    <w:rsid w:val="004F70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707B"/>
    <w:rPr>
      <w:sz w:val="20"/>
      <w:szCs w:val="20"/>
    </w:rPr>
  </w:style>
  <w:style w:type="character" w:styleId="EndnoteReference">
    <w:name w:val="endnote reference"/>
    <w:basedOn w:val="DefaultParagraphFont"/>
    <w:uiPriority w:val="99"/>
    <w:semiHidden/>
    <w:unhideWhenUsed/>
    <w:rsid w:val="004F707B"/>
    <w:rPr>
      <w:vertAlign w:val="superscript"/>
    </w:rPr>
  </w:style>
  <w:style w:type="paragraph" w:customStyle="1" w:styleId="paragraph">
    <w:name w:val="paragraph"/>
    <w:basedOn w:val="Normal"/>
    <w:rsid w:val="00C80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80FDE"/>
  </w:style>
  <w:style w:type="character" w:customStyle="1" w:styleId="eop">
    <w:name w:val="eop"/>
    <w:basedOn w:val="DefaultParagraphFont"/>
    <w:rsid w:val="00C80FDE"/>
  </w:style>
  <w:style w:type="character" w:customStyle="1" w:styleId="apple-converted-space">
    <w:name w:val="apple-converted-space"/>
    <w:basedOn w:val="DefaultParagraphFont"/>
    <w:rsid w:val="00C80FDE"/>
  </w:style>
  <w:style w:type="character" w:customStyle="1" w:styleId="spellingerror">
    <w:name w:val="spellingerror"/>
    <w:basedOn w:val="DefaultParagraphFont"/>
    <w:rsid w:val="00C80FDE"/>
  </w:style>
  <w:style w:type="paragraph" w:styleId="ListParagraph">
    <w:name w:val="List Paragraph"/>
    <w:basedOn w:val="Normal"/>
    <w:uiPriority w:val="34"/>
    <w:qFormat/>
    <w:rsid w:val="00B27A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7EF9"/>
    <w:rPr>
      <w:sz w:val="16"/>
      <w:szCs w:val="16"/>
    </w:rPr>
  </w:style>
  <w:style w:type="paragraph" w:styleId="CommentText">
    <w:name w:val="annotation text"/>
    <w:basedOn w:val="Normal"/>
    <w:link w:val="CommentTextChar"/>
    <w:uiPriority w:val="99"/>
    <w:semiHidden/>
    <w:unhideWhenUsed/>
    <w:rsid w:val="00347EF9"/>
    <w:pPr>
      <w:spacing w:line="240" w:lineRule="auto"/>
    </w:pPr>
    <w:rPr>
      <w:sz w:val="20"/>
      <w:szCs w:val="20"/>
    </w:rPr>
  </w:style>
  <w:style w:type="character" w:customStyle="1" w:styleId="CommentTextChar">
    <w:name w:val="Comment Text Char"/>
    <w:basedOn w:val="DefaultParagraphFont"/>
    <w:link w:val="CommentText"/>
    <w:uiPriority w:val="99"/>
    <w:semiHidden/>
    <w:rsid w:val="00347EF9"/>
    <w:rPr>
      <w:sz w:val="20"/>
      <w:szCs w:val="20"/>
    </w:rPr>
  </w:style>
  <w:style w:type="paragraph" w:styleId="CommentSubject">
    <w:name w:val="annotation subject"/>
    <w:basedOn w:val="CommentText"/>
    <w:next w:val="CommentText"/>
    <w:link w:val="CommentSubjectChar"/>
    <w:uiPriority w:val="99"/>
    <w:semiHidden/>
    <w:unhideWhenUsed/>
    <w:rsid w:val="00347EF9"/>
    <w:rPr>
      <w:b/>
      <w:bCs/>
    </w:rPr>
  </w:style>
  <w:style w:type="character" w:customStyle="1" w:styleId="CommentSubjectChar">
    <w:name w:val="Comment Subject Char"/>
    <w:basedOn w:val="CommentTextChar"/>
    <w:link w:val="CommentSubject"/>
    <w:uiPriority w:val="99"/>
    <w:semiHidden/>
    <w:rsid w:val="00347EF9"/>
    <w:rPr>
      <w:b/>
      <w:bCs/>
      <w:sz w:val="20"/>
      <w:szCs w:val="20"/>
    </w:rPr>
  </w:style>
  <w:style w:type="paragraph" w:styleId="BalloonText">
    <w:name w:val="Balloon Text"/>
    <w:basedOn w:val="Normal"/>
    <w:link w:val="BalloonTextChar"/>
    <w:uiPriority w:val="99"/>
    <w:semiHidden/>
    <w:unhideWhenUsed/>
    <w:rsid w:val="0034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F9"/>
    <w:rPr>
      <w:rFonts w:ascii="Tahoma" w:hAnsi="Tahoma" w:cs="Tahoma"/>
      <w:sz w:val="16"/>
      <w:szCs w:val="16"/>
    </w:rPr>
  </w:style>
  <w:style w:type="paragraph" w:styleId="NormalWeb">
    <w:name w:val="Normal (Web)"/>
    <w:basedOn w:val="Normal"/>
    <w:uiPriority w:val="99"/>
    <w:unhideWhenUsed/>
    <w:rsid w:val="00BF51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dnoteText">
    <w:name w:val="endnote text"/>
    <w:basedOn w:val="Normal"/>
    <w:link w:val="EndnoteTextChar"/>
    <w:uiPriority w:val="99"/>
    <w:semiHidden/>
    <w:unhideWhenUsed/>
    <w:rsid w:val="004F70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707B"/>
    <w:rPr>
      <w:sz w:val="20"/>
      <w:szCs w:val="20"/>
    </w:rPr>
  </w:style>
  <w:style w:type="character" w:styleId="EndnoteReference">
    <w:name w:val="endnote reference"/>
    <w:basedOn w:val="DefaultParagraphFont"/>
    <w:uiPriority w:val="99"/>
    <w:semiHidden/>
    <w:unhideWhenUsed/>
    <w:rsid w:val="004F707B"/>
    <w:rPr>
      <w:vertAlign w:val="superscript"/>
    </w:rPr>
  </w:style>
  <w:style w:type="paragraph" w:customStyle="1" w:styleId="paragraph">
    <w:name w:val="paragraph"/>
    <w:basedOn w:val="Normal"/>
    <w:rsid w:val="00C80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80FDE"/>
  </w:style>
  <w:style w:type="character" w:customStyle="1" w:styleId="eop">
    <w:name w:val="eop"/>
    <w:basedOn w:val="DefaultParagraphFont"/>
    <w:rsid w:val="00C80FDE"/>
  </w:style>
  <w:style w:type="character" w:customStyle="1" w:styleId="apple-converted-space">
    <w:name w:val="apple-converted-space"/>
    <w:basedOn w:val="DefaultParagraphFont"/>
    <w:rsid w:val="00C80FDE"/>
  </w:style>
  <w:style w:type="character" w:customStyle="1" w:styleId="spellingerror">
    <w:name w:val="spellingerror"/>
    <w:basedOn w:val="DefaultParagraphFont"/>
    <w:rsid w:val="00C80FDE"/>
  </w:style>
  <w:style w:type="paragraph" w:styleId="ListParagraph">
    <w:name w:val="List Paragraph"/>
    <w:basedOn w:val="Normal"/>
    <w:uiPriority w:val="34"/>
    <w:qFormat/>
    <w:rsid w:val="00B27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30453">
      <w:bodyDiv w:val="1"/>
      <w:marLeft w:val="0"/>
      <w:marRight w:val="0"/>
      <w:marTop w:val="0"/>
      <w:marBottom w:val="0"/>
      <w:divBdr>
        <w:top w:val="none" w:sz="0" w:space="0" w:color="auto"/>
        <w:left w:val="none" w:sz="0" w:space="0" w:color="auto"/>
        <w:bottom w:val="none" w:sz="0" w:space="0" w:color="auto"/>
        <w:right w:val="none" w:sz="0" w:space="0" w:color="auto"/>
      </w:divBdr>
    </w:div>
    <w:div w:id="415177221">
      <w:bodyDiv w:val="1"/>
      <w:marLeft w:val="0"/>
      <w:marRight w:val="0"/>
      <w:marTop w:val="0"/>
      <w:marBottom w:val="0"/>
      <w:divBdr>
        <w:top w:val="none" w:sz="0" w:space="0" w:color="auto"/>
        <w:left w:val="none" w:sz="0" w:space="0" w:color="auto"/>
        <w:bottom w:val="none" w:sz="0" w:space="0" w:color="auto"/>
        <w:right w:val="none" w:sz="0" w:space="0" w:color="auto"/>
      </w:divBdr>
      <w:divsChild>
        <w:div w:id="915631242">
          <w:marLeft w:val="0"/>
          <w:marRight w:val="0"/>
          <w:marTop w:val="0"/>
          <w:marBottom w:val="0"/>
          <w:divBdr>
            <w:top w:val="none" w:sz="0" w:space="0" w:color="auto"/>
            <w:left w:val="none" w:sz="0" w:space="0" w:color="auto"/>
            <w:bottom w:val="none" w:sz="0" w:space="0" w:color="auto"/>
            <w:right w:val="none" w:sz="0" w:space="0" w:color="auto"/>
          </w:divBdr>
          <w:divsChild>
            <w:div w:id="448399889">
              <w:marLeft w:val="0"/>
              <w:marRight w:val="0"/>
              <w:marTop w:val="0"/>
              <w:marBottom w:val="0"/>
              <w:divBdr>
                <w:top w:val="none" w:sz="0" w:space="0" w:color="auto"/>
                <w:left w:val="none" w:sz="0" w:space="0" w:color="auto"/>
                <w:bottom w:val="none" w:sz="0" w:space="0" w:color="auto"/>
                <w:right w:val="none" w:sz="0" w:space="0" w:color="auto"/>
              </w:divBdr>
            </w:div>
          </w:divsChild>
        </w:div>
        <w:div w:id="145897433">
          <w:marLeft w:val="0"/>
          <w:marRight w:val="0"/>
          <w:marTop w:val="0"/>
          <w:marBottom w:val="0"/>
          <w:divBdr>
            <w:top w:val="none" w:sz="0" w:space="0" w:color="auto"/>
            <w:left w:val="none" w:sz="0" w:space="0" w:color="auto"/>
            <w:bottom w:val="none" w:sz="0" w:space="0" w:color="auto"/>
            <w:right w:val="none" w:sz="0" w:space="0" w:color="auto"/>
          </w:divBdr>
          <w:divsChild>
            <w:div w:id="171920563">
              <w:marLeft w:val="0"/>
              <w:marRight w:val="0"/>
              <w:marTop w:val="0"/>
              <w:marBottom w:val="0"/>
              <w:divBdr>
                <w:top w:val="none" w:sz="0" w:space="0" w:color="auto"/>
                <w:left w:val="none" w:sz="0" w:space="0" w:color="auto"/>
                <w:bottom w:val="none" w:sz="0" w:space="0" w:color="auto"/>
                <w:right w:val="none" w:sz="0" w:space="0" w:color="auto"/>
              </w:divBdr>
            </w:div>
          </w:divsChild>
        </w:div>
        <w:div w:id="554779140">
          <w:marLeft w:val="0"/>
          <w:marRight w:val="0"/>
          <w:marTop w:val="0"/>
          <w:marBottom w:val="0"/>
          <w:divBdr>
            <w:top w:val="none" w:sz="0" w:space="0" w:color="auto"/>
            <w:left w:val="none" w:sz="0" w:space="0" w:color="auto"/>
            <w:bottom w:val="none" w:sz="0" w:space="0" w:color="auto"/>
            <w:right w:val="none" w:sz="0" w:space="0" w:color="auto"/>
          </w:divBdr>
          <w:divsChild>
            <w:div w:id="209265197">
              <w:marLeft w:val="0"/>
              <w:marRight w:val="0"/>
              <w:marTop w:val="0"/>
              <w:marBottom w:val="0"/>
              <w:divBdr>
                <w:top w:val="none" w:sz="0" w:space="0" w:color="auto"/>
                <w:left w:val="none" w:sz="0" w:space="0" w:color="auto"/>
                <w:bottom w:val="none" w:sz="0" w:space="0" w:color="auto"/>
                <w:right w:val="none" w:sz="0" w:space="0" w:color="auto"/>
              </w:divBdr>
            </w:div>
          </w:divsChild>
        </w:div>
        <w:div w:id="1344093885">
          <w:marLeft w:val="0"/>
          <w:marRight w:val="0"/>
          <w:marTop w:val="0"/>
          <w:marBottom w:val="0"/>
          <w:divBdr>
            <w:top w:val="none" w:sz="0" w:space="0" w:color="auto"/>
            <w:left w:val="none" w:sz="0" w:space="0" w:color="auto"/>
            <w:bottom w:val="none" w:sz="0" w:space="0" w:color="auto"/>
            <w:right w:val="none" w:sz="0" w:space="0" w:color="auto"/>
          </w:divBdr>
          <w:divsChild>
            <w:div w:id="9369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895">
      <w:bodyDiv w:val="1"/>
      <w:marLeft w:val="0"/>
      <w:marRight w:val="0"/>
      <w:marTop w:val="0"/>
      <w:marBottom w:val="0"/>
      <w:divBdr>
        <w:top w:val="none" w:sz="0" w:space="0" w:color="auto"/>
        <w:left w:val="none" w:sz="0" w:space="0" w:color="auto"/>
        <w:bottom w:val="none" w:sz="0" w:space="0" w:color="auto"/>
        <w:right w:val="none" w:sz="0" w:space="0" w:color="auto"/>
      </w:divBdr>
    </w:div>
    <w:div w:id="997341318">
      <w:bodyDiv w:val="1"/>
      <w:marLeft w:val="0"/>
      <w:marRight w:val="0"/>
      <w:marTop w:val="0"/>
      <w:marBottom w:val="0"/>
      <w:divBdr>
        <w:top w:val="none" w:sz="0" w:space="0" w:color="auto"/>
        <w:left w:val="none" w:sz="0" w:space="0" w:color="auto"/>
        <w:bottom w:val="none" w:sz="0" w:space="0" w:color="auto"/>
        <w:right w:val="none" w:sz="0" w:space="0" w:color="auto"/>
      </w:divBdr>
    </w:div>
    <w:div w:id="1063916890">
      <w:bodyDiv w:val="1"/>
      <w:marLeft w:val="0"/>
      <w:marRight w:val="0"/>
      <w:marTop w:val="0"/>
      <w:marBottom w:val="0"/>
      <w:divBdr>
        <w:top w:val="none" w:sz="0" w:space="0" w:color="auto"/>
        <w:left w:val="none" w:sz="0" w:space="0" w:color="auto"/>
        <w:bottom w:val="none" w:sz="0" w:space="0" w:color="auto"/>
        <w:right w:val="none" w:sz="0" w:space="0" w:color="auto"/>
      </w:divBdr>
      <w:divsChild>
        <w:div w:id="1561667907">
          <w:marLeft w:val="0"/>
          <w:marRight w:val="0"/>
          <w:marTop w:val="0"/>
          <w:marBottom w:val="0"/>
          <w:divBdr>
            <w:top w:val="none" w:sz="0" w:space="0" w:color="auto"/>
            <w:left w:val="none" w:sz="0" w:space="0" w:color="auto"/>
            <w:bottom w:val="none" w:sz="0" w:space="0" w:color="auto"/>
            <w:right w:val="none" w:sz="0" w:space="0" w:color="auto"/>
          </w:divBdr>
          <w:divsChild>
            <w:div w:id="162472905">
              <w:marLeft w:val="0"/>
              <w:marRight w:val="0"/>
              <w:marTop w:val="0"/>
              <w:marBottom w:val="0"/>
              <w:divBdr>
                <w:top w:val="none" w:sz="0" w:space="0" w:color="auto"/>
                <w:left w:val="none" w:sz="0" w:space="0" w:color="auto"/>
                <w:bottom w:val="none" w:sz="0" w:space="0" w:color="auto"/>
                <w:right w:val="none" w:sz="0" w:space="0" w:color="auto"/>
              </w:divBdr>
            </w:div>
          </w:divsChild>
        </w:div>
        <w:div w:id="1434977937">
          <w:marLeft w:val="0"/>
          <w:marRight w:val="0"/>
          <w:marTop w:val="0"/>
          <w:marBottom w:val="0"/>
          <w:divBdr>
            <w:top w:val="none" w:sz="0" w:space="0" w:color="auto"/>
            <w:left w:val="none" w:sz="0" w:space="0" w:color="auto"/>
            <w:bottom w:val="none" w:sz="0" w:space="0" w:color="auto"/>
            <w:right w:val="none" w:sz="0" w:space="0" w:color="auto"/>
          </w:divBdr>
          <w:divsChild>
            <w:div w:id="84230463">
              <w:marLeft w:val="0"/>
              <w:marRight w:val="0"/>
              <w:marTop w:val="0"/>
              <w:marBottom w:val="0"/>
              <w:divBdr>
                <w:top w:val="none" w:sz="0" w:space="0" w:color="auto"/>
                <w:left w:val="none" w:sz="0" w:space="0" w:color="auto"/>
                <w:bottom w:val="none" w:sz="0" w:space="0" w:color="auto"/>
                <w:right w:val="none" w:sz="0" w:space="0" w:color="auto"/>
              </w:divBdr>
            </w:div>
            <w:div w:id="940720090">
              <w:marLeft w:val="0"/>
              <w:marRight w:val="0"/>
              <w:marTop w:val="0"/>
              <w:marBottom w:val="0"/>
              <w:divBdr>
                <w:top w:val="none" w:sz="0" w:space="0" w:color="auto"/>
                <w:left w:val="none" w:sz="0" w:space="0" w:color="auto"/>
                <w:bottom w:val="none" w:sz="0" w:space="0" w:color="auto"/>
                <w:right w:val="none" w:sz="0" w:space="0" w:color="auto"/>
              </w:divBdr>
            </w:div>
            <w:div w:id="804860183">
              <w:marLeft w:val="0"/>
              <w:marRight w:val="0"/>
              <w:marTop w:val="0"/>
              <w:marBottom w:val="0"/>
              <w:divBdr>
                <w:top w:val="none" w:sz="0" w:space="0" w:color="auto"/>
                <w:left w:val="none" w:sz="0" w:space="0" w:color="auto"/>
                <w:bottom w:val="none" w:sz="0" w:space="0" w:color="auto"/>
                <w:right w:val="none" w:sz="0" w:space="0" w:color="auto"/>
              </w:divBdr>
            </w:div>
            <w:div w:id="1628195777">
              <w:marLeft w:val="0"/>
              <w:marRight w:val="0"/>
              <w:marTop w:val="0"/>
              <w:marBottom w:val="0"/>
              <w:divBdr>
                <w:top w:val="none" w:sz="0" w:space="0" w:color="auto"/>
                <w:left w:val="none" w:sz="0" w:space="0" w:color="auto"/>
                <w:bottom w:val="none" w:sz="0" w:space="0" w:color="auto"/>
                <w:right w:val="none" w:sz="0" w:space="0" w:color="auto"/>
              </w:divBdr>
            </w:div>
          </w:divsChild>
        </w:div>
        <w:div w:id="36393449">
          <w:marLeft w:val="0"/>
          <w:marRight w:val="0"/>
          <w:marTop w:val="0"/>
          <w:marBottom w:val="0"/>
          <w:divBdr>
            <w:top w:val="none" w:sz="0" w:space="0" w:color="auto"/>
            <w:left w:val="none" w:sz="0" w:space="0" w:color="auto"/>
            <w:bottom w:val="none" w:sz="0" w:space="0" w:color="auto"/>
            <w:right w:val="none" w:sz="0" w:space="0" w:color="auto"/>
          </w:divBdr>
          <w:divsChild>
            <w:div w:id="1693654111">
              <w:marLeft w:val="0"/>
              <w:marRight w:val="0"/>
              <w:marTop w:val="0"/>
              <w:marBottom w:val="0"/>
              <w:divBdr>
                <w:top w:val="none" w:sz="0" w:space="0" w:color="auto"/>
                <w:left w:val="none" w:sz="0" w:space="0" w:color="auto"/>
                <w:bottom w:val="none" w:sz="0" w:space="0" w:color="auto"/>
                <w:right w:val="none" w:sz="0" w:space="0" w:color="auto"/>
              </w:divBdr>
            </w:div>
          </w:divsChild>
        </w:div>
        <w:div w:id="2128154744">
          <w:marLeft w:val="0"/>
          <w:marRight w:val="0"/>
          <w:marTop w:val="0"/>
          <w:marBottom w:val="0"/>
          <w:divBdr>
            <w:top w:val="none" w:sz="0" w:space="0" w:color="auto"/>
            <w:left w:val="none" w:sz="0" w:space="0" w:color="auto"/>
            <w:bottom w:val="none" w:sz="0" w:space="0" w:color="auto"/>
            <w:right w:val="none" w:sz="0" w:space="0" w:color="auto"/>
          </w:divBdr>
          <w:divsChild>
            <w:div w:id="21093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3774">
      <w:bodyDiv w:val="1"/>
      <w:marLeft w:val="0"/>
      <w:marRight w:val="0"/>
      <w:marTop w:val="0"/>
      <w:marBottom w:val="0"/>
      <w:divBdr>
        <w:top w:val="none" w:sz="0" w:space="0" w:color="auto"/>
        <w:left w:val="none" w:sz="0" w:space="0" w:color="auto"/>
        <w:bottom w:val="none" w:sz="0" w:space="0" w:color="auto"/>
        <w:right w:val="none" w:sz="0" w:space="0" w:color="auto"/>
      </w:divBdr>
      <w:divsChild>
        <w:div w:id="255217364">
          <w:marLeft w:val="0"/>
          <w:marRight w:val="0"/>
          <w:marTop w:val="0"/>
          <w:marBottom w:val="0"/>
          <w:divBdr>
            <w:top w:val="none" w:sz="0" w:space="0" w:color="auto"/>
            <w:left w:val="none" w:sz="0" w:space="0" w:color="auto"/>
            <w:bottom w:val="none" w:sz="0" w:space="0" w:color="auto"/>
            <w:right w:val="none" w:sz="0" w:space="0" w:color="auto"/>
          </w:divBdr>
          <w:divsChild>
            <w:div w:id="508906418">
              <w:marLeft w:val="0"/>
              <w:marRight w:val="0"/>
              <w:marTop w:val="0"/>
              <w:marBottom w:val="0"/>
              <w:divBdr>
                <w:top w:val="none" w:sz="0" w:space="0" w:color="auto"/>
                <w:left w:val="none" w:sz="0" w:space="0" w:color="auto"/>
                <w:bottom w:val="none" w:sz="0" w:space="0" w:color="auto"/>
                <w:right w:val="none" w:sz="0" w:space="0" w:color="auto"/>
              </w:divBdr>
            </w:div>
          </w:divsChild>
        </w:div>
        <w:div w:id="1587032393">
          <w:marLeft w:val="0"/>
          <w:marRight w:val="0"/>
          <w:marTop w:val="0"/>
          <w:marBottom w:val="0"/>
          <w:divBdr>
            <w:top w:val="none" w:sz="0" w:space="0" w:color="auto"/>
            <w:left w:val="none" w:sz="0" w:space="0" w:color="auto"/>
            <w:bottom w:val="none" w:sz="0" w:space="0" w:color="auto"/>
            <w:right w:val="none" w:sz="0" w:space="0" w:color="auto"/>
          </w:divBdr>
          <w:divsChild>
            <w:div w:id="1290741111">
              <w:marLeft w:val="0"/>
              <w:marRight w:val="0"/>
              <w:marTop w:val="0"/>
              <w:marBottom w:val="0"/>
              <w:divBdr>
                <w:top w:val="none" w:sz="0" w:space="0" w:color="auto"/>
                <w:left w:val="none" w:sz="0" w:space="0" w:color="auto"/>
                <w:bottom w:val="none" w:sz="0" w:space="0" w:color="auto"/>
                <w:right w:val="none" w:sz="0" w:space="0" w:color="auto"/>
              </w:divBdr>
            </w:div>
          </w:divsChild>
        </w:div>
        <w:div w:id="1493720884">
          <w:marLeft w:val="0"/>
          <w:marRight w:val="0"/>
          <w:marTop w:val="0"/>
          <w:marBottom w:val="0"/>
          <w:divBdr>
            <w:top w:val="none" w:sz="0" w:space="0" w:color="auto"/>
            <w:left w:val="none" w:sz="0" w:space="0" w:color="auto"/>
            <w:bottom w:val="none" w:sz="0" w:space="0" w:color="auto"/>
            <w:right w:val="none" w:sz="0" w:space="0" w:color="auto"/>
          </w:divBdr>
          <w:divsChild>
            <w:div w:id="1246107999">
              <w:marLeft w:val="0"/>
              <w:marRight w:val="0"/>
              <w:marTop w:val="0"/>
              <w:marBottom w:val="0"/>
              <w:divBdr>
                <w:top w:val="none" w:sz="0" w:space="0" w:color="auto"/>
                <w:left w:val="none" w:sz="0" w:space="0" w:color="auto"/>
                <w:bottom w:val="none" w:sz="0" w:space="0" w:color="auto"/>
                <w:right w:val="none" w:sz="0" w:space="0" w:color="auto"/>
              </w:divBdr>
            </w:div>
          </w:divsChild>
        </w:div>
        <w:div w:id="1515999135">
          <w:marLeft w:val="0"/>
          <w:marRight w:val="0"/>
          <w:marTop w:val="0"/>
          <w:marBottom w:val="0"/>
          <w:divBdr>
            <w:top w:val="none" w:sz="0" w:space="0" w:color="auto"/>
            <w:left w:val="none" w:sz="0" w:space="0" w:color="auto"/>
            <w:bottom w:val="none" w:sz="0" w:space="0" w:color="auto"/>
            <w:right w:val="none" w:sz="0" w:space="0" w:color="auto"/>
          </w:divBdr>
          <w:divsChild>
            <w:div w:id="16022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8413">
      <w:bodyDiv w:val="1"/>
      <w:marLeft w:val="0"/>
      <w:marRight w:val="0"/>
      <w:marTop w:val="0"/>
      <w:marBottom w:val="0"/>
      <w:divBdr>
        <w:top w:val="none" w:sz="0" w:space="0" w:color="auto"/>
        <w:left w:val="none" w:sz="0" w:space="0" w:color="auto"/>
        <w:bottom w:val="none" w:sz="0" w:space="0" w:color="auto"/>
        <w:right w:val="none" w:sz="0" w:space="0" w:color="auto"/>
      </w:divBdr>
      <w:divsChild>
        <w:div w:id="1222715413">
          <w:marLeft w:val="0"/>
          <w:marRight w:val="0"/>
          <w:marTop w:val="0"/>
          <w:marBottom w:val="0"/>
          <w:divBdr>
            <w:top w:val="none" w:sz="0" w:space="0" w:color="auto"/>
            <w:left w:val="none" w:sz="0" w:space="0" w:color="auto"/>
            <w:bottom w:val="none" w:sz="0" w:space="0" w:color="auto"/>
            <w:right w:val="none" w:sz="0" w:space="0" w:color="auto"/>
          </w:divBdr>
          <w:divsChild>
            <w:div w:id="1260065229">
              <w:marLeft w:val="0"/>
              <w:marRight w:val="0"/>
              <w:marTop w:val="0"/>
              <w:marBottom w:val="0"/>
              <w:divBdr>
                <w:top w:val="none" w:sz="0" w:space="0" w:color="auto"/>
                <w:left w:val="none" w:sz="0" w:space="0" w:color="auto"/>
                <w:bottom w:val="none" w:sz="0" w:space="0" w:color="auto"/>
                <w:right w:val="none" w:sz="0" w:space="0" w:color="auto"/>
              </w:divBdr>
            </w:div>
            <w:div w:id="1888181586">
              <w:marLeft w:val="0"/>
              <w:marRight w:val="0"/>
              <w:marTop w:val="0"/>
              <w:marBottom w:val="0"/>
              <w:divBdr>
                <w:top w:val="none" w:sz="0" w:space="0" w:color="auto"/>
                <w:left w:val="none" w:sz="0" w:space="0" w:color="auto"/>
                <w:bottom w:val="none" w:sz="0" w:space="0" w:color="auto"/>
                <w:right w:val="none" w:sz="0" w:space="0" w:color="auto"/>
              </w:divBdr>
            </w:div>
            <w:div w:id="1094320173">
              <w:marLeft w:val="0"/>
              <w:marRight w:val="0"/>
              <w:marTop w:val="0"/>
              <w:marBottom w:val="0"/>
              <w:divBdr>
                <w:top w:val="none" w:sz="0" w:space="0" w:color="auto"/>
                <w:left w:val="none" w:sz="0" w:space="0" w:color="auto"/>
                <w:bottom w:val="none" w:sz="0" w:space="0" w:color="auto"/>
                <w:right w:val="none" w:sz="0" w:space="0" w:color="auto"/>
              </w:divBdr>
            </w:div>
            <w:div w:id="1313754619">
              <w:marLeft w:val="0"/>
              <w:marRight w:val="0"/>
              <w:marTop w:val="0"/>
              <w:marBottom w:val="0"/>
              <w:divBdr>
                <w:top w:val="none" w:sz="0" w:space="0" w:color="auto"/>
                <w:left w:val="none" w:sz="0" w:space="0" w:color="auto"/>
                <w:bottom w:val="none" w:sz="0" w:space="0" w:color="auto"/>
                <w:right w:val="none" w:sz="0" w:space="0" w:color="auto"/>
              </w:divBdr>
            </w:div>
            <w:div w:id="1104837029">
              <w:marLeft w:val="0"/>
              <w:marRight w:val="0"/>
              <w:marTop w:val="0"/>
              <w:marBottom w:val="0"/>
              <w:divBdr>
                <w:top w:val="none" w:sz="0" w:space="0" w:color="auto"/>
                <w:left w:val="none" w:sz="0" w:space="0" w:color="auto"/>
                <w:bottom w:val="none" w:sz="0" w:space="0" w:color="auto"/>
                <w:right w:val="none" w:sz="0" w:space="0" w:color="auto"/>
              </w:divBdr>
            </w:div>
          </w:divsChild>
        </w:div>
        <w:div w:id="90245327">
          <w:marLeft w:val="0"/>
          <w:marRight w:val="0"/>
          <w:marTop w:val="0"/>
          <w:marBottom w:val="0"/>
          <w:divBdr>
            <w:top w:val="none" w:sz="0" w:space="0" w:color="auto"/>
            <w:left w:val="none" w:sz="0" w:space="0" w:color="auto"/>
            <w:bottom w:val="none" w:sz="0" w:space="0" w:color="auto"/>
            <w:right w:val="none" w:sz="0" w:space="0" w:color="auto"/>
          </w:divBdr>
          <w:divsChild>
            <w:div w:id="1209101063">
              <w:marLeft w:val="0"/>
              <w:marRight w:val="0"/>
              <w:marTop w:val="0"/>
              <w:marBottom w:val="0"/>
              <w:divBdr>
                <w:top w:val="none" w:sz="0" w:space="0" w:color="auto"/>
                <w:left w:val="none" w:sz="0" w:space="0" w:color="auto"/>
                <w:bottom w:val="none" w:sz="0" w:space="0" w:color="auto"/>
                <w:right w:val="none" w:sz="0" w:space="0" w:color="auto"/>
              </w:divBdr>
            </w:div>
          </w:divsChild>
        </w:div>
        <w:div w:id="32967502">
          <w:marLeft w:val="0"/>
          <w:marRight w:val="0"/>
          <w:marTop w:val="0"/>
          <w:marBottom w:val="0"/>
          <w:divBdr>
            <w:top w:val="none" w:sz="0" w:space="0" w:color="auto"/>
            <w:left w:val="none" w:sz="0" w:space="0" w:color="auto"/>
            <w:bottom w:val="none" w:sz="0" w:space="0" w:color="auto"/>
            <w:right w:val="none" w:sz="0" w:space="0" w:color="auto"/>
          </w:divBdr>
          <w:divsChild>
            <w:div w:id="70351337">
              <w:marLeft w:val="0"/>
              <w:marRight w:val="0"/>
              <w:marTop w:val="0"/>
              <w:marBottom w:val="0"/>
              <w:divBdr>
                <w:top w:val="none" w:sz="0" w:space="0" w:color="auto"/>
                <w:left w:val="none" w:sz="0" w:space="0" w:color="auto"/>
                <w:bottom w:val="none" w:sz="0" w:space="0" w:color="auto"/>
                <w:right w:val="none" w:sz="0" w:space="0" w:color="auto"/>
              </w:divBdr>
            </w:div>
          </w:divsChild>
        </w:div>
        <w:div w:id="1330672064">
          <w:marLeft w:val="0"/>
          <w:marRight w:val="0"/>
          <w:marTop w:val="0"/>
          <w:marBottom w:val="0"/>
          <w:divBdr>
            <w:top w:val="none" w:sz="0" w:space="0" w:color="auto"/>
            <w:left w:val="none" w:sz="0" w:space="0" w:color="auto"/>
            <w:bottom w:val="none" w:sz="0" w:space="0" w:color="auto"/>
            <w:right w:val="none" w:sz="0" w:space="0" w:color="auto"/>
          </w:divBdr>
          <w:divsChild>
            <w:div w:id="1062753419">
              <w:marLeft w:val="0"/>
              <w:marRight w:val="0"/>
              <w:marTop w:val="0"/>
              <w:marBottom w:val="0"/>
              <w:divBdr>
                <w:top w:val="none" w:sz="0" w:space="0" w:color="auto"/>
                <w:left w:val="none" w:sz="0" w:space="0" w:color="auto"/>
                <w:bottom w:val="none" w:sz="0" w:space="0" w:color="auto"/>
                <w:right w:val="none" w:sz="0" w:space="0" w:color="auto"/>
              </w:divBdr>
            </w:div>
            <w:div w:id="1927693611">
              <w:marLeft w:val="0"/>
              <w:marRight w:val="0"/>
              <w:marTop w:val="0"/>
              <w:marBottom w:val="0"/>
              <w:divBdr>
                <w:top w:val="none" w:sz="0" w:space="0" w:color="auto"/>
                <w:left w:val="none" w:sz="0" w:space="0" w:color="auto"/>
                <w:bottom w:val="none" w:sz="0" w:space="0" w:color="auto"/>
                <w:right w:val="none" w:sz="0" w:space="0" w:color="auto"/>
              </w:divBdr>
            </w:div>
            <w:div w:id="409928737">
              <w:marLeft w:val="0"/>
              <w:marRight w:val="0"/>
              <w:marTop w:val="0"/>
              <w:marBottom w:val="0"/>
              <w:divBdr>
                <w:top w:val="none" w:sz="0" w:space="0" w:color="auto"/>
                <w:left w:val="none" w:sz="0" w:space="0" w:color="auto"/>
                <w:bottom w:val="none" w:sz="0" w:space="0" w:color="auto"/>
                <w:right w:val="none" w:sz="0" w:space="0" w:color="auto"/>
              </w:divBdr>
            </w:div>
            <w:div w:id="16879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8817">
      <w:bodyDiv w:val="1"/>
      <w:marLeft w:val="0"/>
      <w:marRight w:val="0"/>
      <w:marTop w:val="0"/>
      <w:marBottom w:val="0"/>
      <w:divBdr>
        <w:top w:val="none" w:sz="0" w:space="0" w:color="auto"/>
        <w:left w:val="none" w:sz="0" w:space="0" w:color="auto"/>
        <w:bottom w:val="none" w:sz="0" w:space="0" w:color="auto"/>
        <w:right w:val="none" w:sz="0" w:space="0" w:color="auto"/>
      </w:divBdr>
    </w:div>
    <w:div w:id="1596554839">
      <w:bodyDiv w:val="1"/>
      <w:marLeft w:val="0"/>
      <w:marRight w:val="0"/>
      <w:marTop w:val="0"/>
      <w:marBottom w:val="0"/>
      <w:divBdr>
        <w:top w:val="none" w:sz="0" w:space="0" w:color="auto"/>
        <w:left w:val="none" w:sz="0" w:space="0" w:color="auto"/>
        <w:bottom w:val="none" w:sz="0" w:space="0" w:color="auto"/>
        <w:right w:val="none" w:sz="0" w:space="0" w:color="auto"/>
      </w:divBdr>
    </w:div>
    <w:div w:id="1788426013">
      <w:bodyDiv w:val="1"/>
      <w:marLeft w:val="0"/>
      <w:marRight w:val="0"/>
      <w:marTop w:val="0"/>
      <w:marBottom w:val="0"/>
      <w:divBdr>
        <w:top w:val="none" w:sz="0" w:space="0" w:color="auto"/>
        <w:left w:val="none" w:sz="0" w:space="0" w:color="auto"/>
        <w:bottom w:val="none" w:sz="0" w:space="0" w:color="auto"/>
        <w:right w:val="none" w:sz="0" w:space="0" w:color="auto"/>
      </w:divBdr>
    </w:div>
    <w:div w:id="1936985036">
      <w:bodyDiv w:val="1"/>
      <w:marLeft w:val="0"/>
      <w:marRight w:val="0"/>
      <w:marTop w:val="0"/>
      <w:marBottom w:val="0"/>
      <w:divBdr>
        <w:top w:val="none" w:sz="0" w:space="0" w:color="auto"/>
        <w:left w:val="none" w:sz="0" w:space="0" w:color="auto"/>
        <w:bottom w:val="none" w:sz="0" w:space="0" w:color="auto"/>
        <w:right w:val="none" w:sz="0" w:space="0" w:color="auto"/>
      </w:divBdr>
    </w:div>
    <w:div w:id="1987395886">
      <w:bodyDiv w:val="1"/>
      <w:marLeft w:val="0"/>
      <w:marRight w:val="0"/>
      <w:marTop w:val="0"/>
      <w:marBottom w:val="0"/>
      <w:divBdr>
        <w:top w:val="none" w:sz="0" w:space="0" w:color="auto"/>
        <w:left w:val="none" w:sz="0" w:space="0" w:color="auto"/>
        <w:bottom w:val="none" w:sz="0" w:space="0" w:color="auto"/>
        <w:right w:val="none" w:sz="0" w:space="0" w:color="auto"/>
      </w:divBdr>
    </w:div>
    <w:div w:id="2060324019">
      <w:bodyDiv w:val="1"/>
      <w:marLeft w:val="0"/>
      <w:marRight w:val="0"/>
      <w:marTop w:val="0"/>
      <w:marBottom w:val="0"/>
      <w:divBdr>
        <w:top w:val="none" w:sz="0" w:space="0" w:color="auto"/>
        <w:left w:val="none" w:sz="0" w:space="0" w:color="auto"/>
        <w:bottom w:val="none" w:sz="0" w:space="0" w:color="auto"/>
        <w:right w:val="none" w:sz="0" w:space="0" w:color="auto"/>
      </w:divBdr>
      <w:divsChild>
        <w:div w:id="1601911246">
          <w:marLeft w:val="0"/>
          <w:marRight w:val="0"/>
          <w:marTop w:val="0"/>
          <w:marBottom w:val="0"/>
          <w:divBdr>
            <w:top w:val="none" w:sz="0" w:space="0" w:color="auto"/>
            <w:left w:val="none" w:sz="0" w:space="0" w:color="auto"/>
            <w:bottom w:val="none" w:sz="0" w:space="0" w:color="auto"/>
            <w:right w:val="none" w:sz="0" w:space="0" w:color="auto"/>
          </w:divBdr>
          <w:divsChild>
            <w:div w:id="600794155">
              <w:marLeft w:val="0"/>
              <w:marRight w:val="0"/>
              <w:marTop w:val="0"/>
              <w:marBottom w:val="0"/>
              <w:divBdr>
                <w:top w:val="none" w:sz="0" w:space="0" w:color="auto"/>
                <w:left w:val="none" w:sz="0" w:space="0" w:color="auto"/>
                <w:bottom w:val="none" w:sz="0" w:space="0" w:color="auto"/>
                <w:right w:val="none" w:sz="0" w:space="0" w:color="auto"/>
              </w:divBdr>
            </w:div>
          </w:divsChild>
        </w:div>
        <w:div w:id="1199776124">
          <w:marLeft w:val="0"/>
          <w:marRight w:val="0"/>
          <w:marTop w:val="0"/>
          <w:marBottom w:val="0"/>
          <w:divBdr>
            <w:top w:val="none" w:sz="0" w:space="0" w:color="auto"/>
            <w:left w:val="none" w:sz="0" w:space="0" w:color="auto"/>
            <w:bottom w:val="none" w:sz="0" w:space="0" w:color="auto"/>
            <w:right w:val="none" w:sz="0" w:space="0" w:color="auto"/>
          </w:divBdr>
          <w:divsChild>
            <w:div w:id="473646720">
              <w:marLeft w:val="0"/>
              <w:marRight w:val="0"/>
              <w:marTop w:val="0"/>
              <w:marBottom w:val="0"/>
              <w:divBdr>
                <w:top w:val="none" w:sz="0" w:space="0" w:color="auto"/>
                <w:left w:val="none" w:sz="0" w:space="0" w:color="auto"/>
                <w:bottom w:val="none" w:sz="0" w:space="0" w:color="auto"/>
                <w:right w:val="none" w:sz="0" w:space="0" w:color="auto"/>
              </w:divBdr>
            </w:div>
          </w:divsChild>
        </w:div>
        <w:div w:id="1722292132">
          <w:marLeft w:val="0"/>
          <w:marRight w:val="0"/>
          <w:marTop w:val="0"/>
          <w:marBottom w:val="0"/>
          <w:divBdr>
            <w:top w:val="none" w:sz="0" w:space="0" w:color="auto"/>
            <w:left w:val="none" w:sz="0" w:space="0" w:color="auto"/>
            <w:bottom w:val="none" w:sz="0" w:space="0" w:color="auto"/>
            <w:right w:val="none" w:sz="0" w:space="0" w:color="auto"/>
          </w:divBdr>
          <w:divsChild>
            <w:div w:id="777991104">
              <w:marLeft w:val="0"/>
              <w:marRight w:val="0"/>
              <w:marTop w:val="0"/>
              <w:marBottom w:val="0"/>
              <w:divBdr>
                <w:top w:val="none" w:sz="0" w:space="0" w:color="auto"/>
                <w:left w:val="none" w:sz="0" w:space="0" w:color="auto"/>
                <w:bottom w:val="none" w:sz="0" w:space="0" w:color="auto"/>
                <w:right w:val="none" w:sz="0" w:space="0" w:color="auto"/>
              </w:divBdr>
            </w:div>
          </w:divsChild>
        </w:div>
        <w:div w:id="707725682">
          <w:marLeft w:val="0"/>
          <w:marRight w:val="0"/>
          <w:marTop w:val="0"/>
          <w:marBottom w:val="0"/>
          <w:divBdr>
            <w:top w:val="none" w:sz="0" w:space="0" w:color="auto"/>
            <w:left w:val="none" w:sz="0" w:space="0" w:color="auto"/>
            <w:bottom w:val="none" w:sz="0" w:space="0" w:color="auto"/>
            <w:right w:val="none" w:sz="0" w:space="0" w:color="auto"/>
          </w:divBdr>
          <w:divsChild>
            <w:div w:id="84305902">
              <w:marLeft w:val="0"/>
              <w:marRight w:val="0"/>
              <w:marTop w:val="0"/>
              <w:marBottom w:val="0"/>
              <w:divBdr>
                <w:top w:val="none" w:sz="0" w:space="0" w:color="auto"/>
                <w:left w:val="none" w:sz="0" w:space="0" w:color="auto"/>
                <w:bottom w:val="none" w:sz="0" w:space="0" w:color="auto"/>
                <w:right w:val="none" w:sz="0" w:space="0" w:color="auto"/>
              </w:divBdr>
            </w:div>
          </w:divsChild>
        </w:div>
        <w:div w:id="779297526">
          <w:marLeft w:val="0"/>
          <w:marRight w:val="0"/>
          <w:marTop w:val="0"/>
          <w:marBottom w:val="0"/>
          <w:divBdr>
            <w:top w:val="none" w:sz="0" w:space="0" w:color="auto"/>
            <w:left w:val="none" w:sz="0" w:space="0" w:color="auto"/>
            <w:bottom w:val="none" w:sz="0" w:space="0" w:color="auto"/>
            <w:right w:val="none" w:sz="0" w:space="0" w:color="auto"/>
          </w:divBdr>
          <w:divsChild>
            <w:div w:id="14727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8E761-380D-4AF9-9D93-ED157B54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17</Pages>
  <Words>5732</Words>
  <Characters>32674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Health and Safety Laboratory</Company>
  <LinksUpToDate>false</LinksUpToDate>
  <CharactersWithSpaces>38330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Fishwick</dc:creator>
  <cp:lastModifiedBy>David Fishwick</cp:lastModifiedBy>
  <cp:revision>16</cp:revision>
  <cp:lastPrinted>2017-05-18T14:22:00Z</cp:lastPrinted>
  <dcterms:created xsi:type="dcterms:W3CDTF">2017-09-07T08:03:00Z</dcterms:created>
  <dcterms:modified xsi:type="dcterms:W3CDTF">2017-09-07T17:06:00Z</dcterms:modified>
</cp:coreProperties>
</file>