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Preliminaries ATS/ERS Task Force </w:t>
      </w:r>
    </w:p>
    <w:tbl>
      <w:tblPr>
        <w:tblStyle w:val="TableGrid"/>
        <w:tblW w:w="9575" w:type="dxa"/>
        <w:jc w:val="left"/>
        <w:tblInd w:w="0" w:type="dxa"/>
        <w:tblCellMar>
          <w:top w:w="0" w:type="dxa"/>
          <w:left w:w="108" w:type="dxa"/>
          <w:bottom w:w="0" w:type="dxa"/>
          <w:right w:w="108" w:type="dxa"/>
        </w:tblCellMar>
        <w:tblLook w:val="04a0" w:noVBand="1" w:noHBand="0" w:lastColumn="0" w:firstColumn="1" w:lastRow="0" w:firstRow="1"/>
      </w:tblPr>
      <w:tblGrid>
        <w:gridCol w:w="3191"/>
        <w:gridCol w:w="3192"/>
        <w:gridCol w:w="3192"/>
      </w:tblGrid>
      <w:tr>
        <w:trPr/>
        <w:tc>
          <w:tcPr>
            <w:tcW w:w="9575" w:type="dxa"/>
            <w:gridSpan w:val="3"/>
            <w:tcBorders/>
            <w:shd w:fill="auto" w:val="clear"/>
            <w:tcMar>
              <w:left w:w="108" w:type="dxa"/>
            </w:tcMar>
          </w:tcPr>
          <w:p>
            <w:pPr>
              <w:pStyle w:val="Normal"/>
              <w:spacing w:lineRule="auto" w:line="240" w:before="0" w:after="0"/>
              <w:rPr/>
            </w:pPr>
            <w:r>
              <w:rPr/>
              <w:t xml:space="preserve">Preliminary List of Topic Areas and Potential Lead(s) </w:t>
            </w:r>
          </w:p>
        </w:tc>
      </w:tr>
      <w:tr>
        <w:trPr/>
        <w:tc>
          <w:tcPr>
            <w:tcW w:w="3191" w:type="dxa"/>
            <w:tcBorders/>
            <w:shd w:fill="auto" w:val="clear"/>
            <w:tcMar>
              <w:left w:w="108" w:type="dxa"/>
            </w:tcMar>
          </w:tcPr>
          <w:p>
            <w:pPr>
              <w:pStyle w:val="Normal"/>
              <w:spacing w:lineRule="auto" w:line="240" w:before="0" w:after="0"/>
              <w:rPr/>
            </w:pPr>
            <w:r>
              <w:rPr/>
              <w:t>Topic/Section</w:t>
            </w:r>
          </w:p>
        </w:tc>
        <w:tc>
          <w:tcPr>
            <w:tcW w:w="3192" w:type="dxa"/>
            <w:tcBorders/>
            <w:shd w:fill="auto" w:val="clear"/>
            <w:tcMar>
              <w:left w:w="108" w:type="dxa"/>
            </w:tcMar>
          </w:tcPr>
          <w:p>
            <w:pPr>
              <w:pStyle w:val="Normal"/>
              <w:spacing w:lineRule="auto" w:line="240" w:before="0" w:after="0"/>
              <w:rPr/>
            </w:pPr>
            <w:r>
              <w:rPr/>
              <w:t>Lead(s)</w:t>
            </w:r>
          </w:p>
        </w:tc>
        <w:tc>
          <w:tcPr>
            <w:tcW w:w="3192" w:type="dxa"/>
            <w:tcBorders/>
            <w:shd w:fill="auto" w:val="clear"/>
            <w:tcMar>
              <w:left w:w="108" w:type="dxa"/>
            </w:tcMar>
          </w:tcPr>
          <w:p>
            <w:pPr>
              <w:pStyle w:val="Normal"/>
              <w:spacing w:lineRule="auto" w:line="240" w:before="0" w:after="0"/>
              <w:rPr/>
            </w:pPr>
            <w:r>
              <w:rPr/>
              <w:t>Comments/Areas for Further Discussion</w:t>
            </w:r>
          </w:p>
        </w:tc>
      </w:tr>
      <w:tr>
        <w:trPr/>
        <w:tc>
          <w:tcPr>
            <w:tcW w:w="3191" w:type="dxa"/>
            <w:tcBorders/>
            <w:shd w:fill="auto" w:val="clear"/>
            <w:tcMar>
              <w:left w:w="108" w:type="dxa"/>
            </w:tcMar>
          </w:tcPr>
          <w:p>
            <w:pPr>
              <w:pStyle w:val="Normal"/>
              <w:spacing w:lineRule="auto" w:line="240" w:before="0" w:after="0"/>
              <w:rPr/>
            </w:pPr>
            <w:r>
              <w:rPr/>
              <w:t>Introduction/Inclusions Exclusions/Methods</w:t>
            </w:r>
          </w:p>
        </w:tc>
        <w:tc>
          <w:tcPr>
            <w:tcW w:w="3192" w:type="dxa"/>
            <w:tcBorders/>
            <w:shd w:fill="auto" w:val="clear"/>
            <w:tcMar>
              <w:left w:w="108" w:type="dxa"/>
            </w:tcMar>
          </w:tcPr>
          <w:p>
            <w:pPr>
              <w:pStyle w:val="Normal"/>
              <w:spacing w:lineRule="auto" w:line="240" w:before="0" w:after="0"/>
              <w:rPr/>
            </w:pPr>
            <w:r>
              <w:rPr/>
              <w:t>Blanc/Redlich</w:t>
            </w:r>
          </w:p>
        </w:tc>
        <w:tc>
          <w:tcPr>
            <w:tcW w:w="3192" w:type="dxa"/>
            <w:tcBorders/>
            <w:shd w:fill="auto" w:val="clear"/>
            <w:tcMar>
              <w:left w:w="108" w:type="dxa"/>
            </w:tcMar>
          </w:tcPr>
          <w:p>
            <w:pPr>
              <w:pStyle w:val="Normal"/>
              <w:spacing w:lineRule="auto" w:line="240" w:before="0" w:after="0"/>
              <w:rPr/>
            </w:pPr>
            <w:r>
              <w:rPr/>
              <w:t>This is where we say we are not covering malignancy but briefly summarize key reviews/meta-analyses.  Similarly upper respiratory tract (aka rhinitis)? If the consensus is to not revisit asthma exacerbation we make that clear here too.  We also should make clear the emphasis for asthma and COPD data certainly since ATS statement but also perhaps since other major systematic reviews</w:t>
            </w:r>
          </w:p>
        </w:tc>
      </w:tr>
      <w:tr>
        <w:trPr/>
        <w:tc>
          <w:tcPr>
            <w:tcW w:w="3191" w:type="dxa"/>
            <w:tcBorders/>
            <w:shd w:fill="auto" w:val="clear"/>
            <w:tcMar>
              <w:left w:w="108" w:type="dxa"/>
            </w:tcMar>
          </w:tcPr>
          <w:p>
            <w:pPr>
              <w:pStyle w:val="Normal"/>
              <w:spacing w:lineRule="auto" w:line="240" w:before="0" w:after="0"/>
              <w:rPr/>
            </w:pPr>
            <w:r>
              <w:rPr/>
              <w:t>Asthma</w:t>
            </w:r>
          </w:p>
        </w:tc>
        <w:tc>
          <w:tcPr>
            <w:tcW w:w="3192" w:type="dxa"/>
            <w:tcBorders/>
            <w:shd w:fill="auto" w:val="clear"/>
            <w:tcMar>
              <w:left w:w="108" w:type="dxa"/>
            </w:tcMar>
          </w:tcPr>
          <w:p>
            <w:pPr>
              <w:pStyle w:val="Normal"/>
              <w:spacing w:lineRule="auto" w:line="240" w:before="0" w:after="0"/>
              <w:rPr/>
            </w:pPr>
            <w:r>
              <w:rPr/>
              <w:t>Sigsgaard/Annesi-Maesano</w:t>
            </w:r>
          </w:p>
        </w:tc>
        <w:tc>
          <w:tcPr>
            <w:tcW w:w="3192" w:type="dxa"/>
            <w:tcBorders/>
            <w:shd w:fill="auto" w:val="clear"/>
            <w:tcMar>
              <w:left w:w="108" w:type="dxa"/>
            </w:tcMar>
          </w:tcPr>
          <w:p>
            <w:pPr>
              <w:pStyle w:val="Normal"/>
              <w:spacing w:lineRule="auto" w:line="240" w:before="0" w:after="0"/>
              <w:rPr/>
            </w:pPr>
            <w:r>
              <w:rPr/>
            </w:r>
          </w:p>
        </w:tc>
      </w:tr>
      <w:tr>
        <w:trPr/>
        <w:tc>
          <w:tcPr>
            <w:tcW w:w="3191" w:type="dxa"/>
            <w:tcBorders/>
            <w:shd w:fill="auto" w:val="clear"/>
            <w:tcMar>
              <w:left w:w="108" w:type="dxa"/>
            </w:tcMar>
          </w:tcPr>
          <w:p>
            <w:pPr>
              <w:pStyle w:val="Normal"/>
              <w:spacing w:lineRule="auto" w:line="240" w:before="0" w:after="0"/>
              <w:rPr/>
            </w:pPr>
            <w:r>
              <w:rPr/>
              <w:t>COPD</w:t>
            </w:r>
          </w:p>
        </w:tc>
        <w:tc>
          <w:tcPr>
            <w:tcW w:w="3192" w:type="dxa"/>
            <w:tcBorders/>
            <w:shd w:fill="auto" w:val="clear"/>
            <w:tcMar>
              <w:left w:w="108" w:type="dxa"/>
            </w:tcMar>
          </w:tcPr>
          <w:p>
            <w:pPr>
              <w:pStyle w:val="Normal"/>
              <w:spacing w:lineRule="auto" w:line="240" w:before="0" w:after="0"/>
              <w:rPr/>
            </w:pPr>
            <w:r>
              <w:rPr/>
              <w:t>Murgia/Miedinger/Fishwick</w:t>
            </w:r>
          </w:p>
        </w:tc>
        <w:tc>
          <w:tcPr>
            <w:tcW w:w="3192" w:type="dxa"/>
            <w:tcBorders/>
            <w:shd w:fill="auto" w:val="clear"/>
            <w:tcMar>
              <w:left w:w="108" w:type="dxa"/>
            </w:tcMar>
          </w:tcPr>
          <w:p>
            <w:pPr>
              <w:pStyle w:val="Normal"/>
              <w:spacing w:lineRule="auto" w:line="240" w:before="0" w:after="0"/>
              <w:rPr/>
            </w:pPr>
            <w:r>
              <w:rPr/>
              <w:t xml:space="preserve">One real contribution will be to parse out airflow obstruction, chronic bronchitis and emphysema. Newer CT-based data should feature prominently </w:t>
            </w:r>
          </w:p>
        </w:tc>
      </w:tr>
      <w:tr>
        <w:trPr/>
        <w:tc>
          <w:tcPr>
            <w:tcW w:w="3191" w:type="dxa"/>
            <w:tcBorders/>
            <w:shd w:fill="auto" w:val="clear"/>
            <w:tcMar>
              <w:left w:w="108" w:type="dxa"/>
            </w:tcMar>
          </w:tcPr>
          <w:p>
            <w:pPr>
              <w:pStyle w:val="Normal"/>
              <w:spacing w:lineRule="auto" w:line="240" w:before="0" w:after="0"/>
              <w:rPr/>
            </w:pPr>
            <w:r>
              <w:rPr/>
              <w:t>IPF and other interstitial pneumonias</w:t>
            </w:r>
          </w:p>
        </w:tc>
        <w:tc>
          <w:tcPr>
            <w:tcW w:w="3192" w:type="dxa"/>
            <w:tcBorders/>
            <w:shd w:fill="auto" w:val="clear"/>
            <w:tcMar>
              <w:left w:w="108" w:type="dxa"/>
            </w:tcMar>
          </w:tcPr>
          <w:p>
            <w:pPr>
              <w:pStyle w:val="Normal"/>
              <w:spacing w:lineRule="auto" w:line="240" w:before="0" w:after="0"/>
              <w:rPr/>
            </w:pPr>
            <w:r>
              <w:rPr/>
              <w:t>Cummings/Reynolds</w:t>
            </w:r>
          </w:p>
        </w:tc>
        <w:tc>
          <w:tcPr>
            <w:tcW w:w="3192" w:type="dxa"/>
            <w:tcBorders/>
            <w:shd w:fill="auto" w:val="clear"/>
            <w:tcMar>
              <w:left w:w="108" w:type="dxa"/>
            </w:tcMar>
          </w:tcPr>
          <w:p>
            <w:pPr>
              <w:pStyle w:val="Normal"/>
              <w:spacing w:lineRule="auto" w:line="240" w:before="0" w:after="0"/>
              <w:rPr/>
            </w:pPr>
            <w:r>
              <w:rPr/>
            </w:r>
          </w:p>
        </w:tc>
      </w:tr>
      <w:tr>
        <w:trPr/>
        <w:tc>
          <w:tcPr>
            <w:tcW w:w="3191" w:type="dxa"/>
            <w:tcBorders/>
            <w:shd w:fill="auto" w:val="clear"/>
            <w:tcMar>
              <w:left w:w="108" w:type="dxa"/>
            </w:tcMar>
          </w:tcPr>
          <w:p>
            <w:pPr>
              <w:pStyle w:val="Normal"/>
              <w:spacing w:lineRule="auto" w:line="240" w:before="0" w:after="0"/>
              <w:rPr/>
            </w:pPr>
            <w:r>
              <w:rPr/>
              <w:t xml:space="preserve">Granulomatous non-infectious disease </w:t>
            </w:r>
          </w:p>
        </w:tc>
        <w:tc>
          <w:tcPr>
            <w:tcW w:w="3192" w:type="dxa"/>
            <w:tcBorders/>
            <w:shd w:fill="auto" w:val="clear"/>
            <w:tcMar>
              <w:left w:w="108" w:type="dxa"/>
            </w:tcMar>
          </w:tcPr>
          <w:p>
            <w:pPr>
              <w:pStyle w:val="Normal"/>
              <w:spacing w:lineRule="auto" w:line="240" w:before="0" w:after="0"/>
              <w:rPr/>
            </w:pPr>
            <w:r>
              <w:rPr/>
              <w:t>Balmes/Vinnikov</w:t>
            </w:r>
          </w:p>
        </w:tc>
        <w:tc>
          <w:tcPr>
            <w:tcW w:w="3192" w:type="dxa"/>
            <w:tcBorders/>
            <w:shd w:fill="auto" w:val="clear"/>
            <w:tcMar>
              <w:left w:w="108" w:type="dxa"/>
            </w:tcMar>
          </w:tcPr>
          <w:p>
            <w:pPr>
              <w:pStyle w:val="Normal"/>
              <w:spacing w:lineRule="auto" w:line="240" w:before="0" w:after="0"/>
              <w:rPr/>
            </w:pPr>
            <w:r>
              <w:rPr/>
              <w:t>Includes sarcoid mimics and EAA/HP.  May be some overlap in exposures with fibrosis above (e.g., rare earths, aluminum)</w:t>
            </w:r>
          </w:p>
        </w:tc>
      </w:tr>
      <w:tr>
        <w:trPr/>
        <w:tc>
          <w:tcPr>
            <w:tcW w:w="3191" w:type="dxa"/>
            <w:tcBorders/>
            <w:shd w:fill="auto" w:val="clear"/>
            <w:tcMar>
              <w:left w:w="108" w:type="dxa"/>
            </w:tcMar>
          </w:tcPr>
          <w:p>
            <w:pPr>
              <w:pStyle w:val="Normal"/>
              <w:spacing w:lineRule="auto" w:line="240" w:before="0" w:after="0"/>
              <w:rPr/>
            </w:pPr>
            <w:r>
              <w:rPr/>
              <w:t>Respiratory Infections</w:t>
            </w:r>
          </w:p>
        </w:tc>
        <w:tc>
          <w:tcPr>
            <w:tcW w:w="3192" w:type="dxa"/>
            <w:tcBorders/>
            <w:shd w:fill="auto" w:val="clear"/>
            <w:tcMar>
              <w:left w:w="108" w:type="dxa"/>
            </w:tcMar>
          </w:tcPr>
          <w:p>
            <w:pPr>
              <w:pStyle w:val="Normal"/>
              <w:spacing w:lineRule="auto" w:line="240" w:before="0" w:after="0"/>
              <w:rPr/>
            </w:pPr>
            <w:r>
              <w:rPr/>
              <w:t>Toren/Naidoo</w:t>
            </w:r>
          </w:p>
        </w:tc>
        <w:tc>
          <w:tcPr>
            <w:tcW w:w="3192" w:type="dxa"/>
            <w:tcBorders/>
            <w:shd w:fill="auto" w:val="clear"/>
            <w:tcMar>
              <w:left w:w="108" w:type="dxa"/>
            </w:tcMar>
          </w:tcPr>
          <w:p>
            <w:pPr>
              <w:pStyle w:val="Normal"/>
              <w:spacing w:lineRule="auto" w:line="240" w:before="0" w:after="0"/>
              <w:rPr/>
            </w:pPr>
            <w:r>
              <w:rPr/>
              <w:t>Bacterial pneumonia, TB, other</w:t>
            </w:r>
          </w:p>
        </w:tc>
      </w:tr>
      <w:tr>
        <w:trPr/>
        <w:tc>
          <w:tcPr>
            <w:tcW w:w="9575" w:type="dxa"/>
            <w:gridSpan w:val="3"/>
            <w:tcBorders/>
            <w:shd w:fill="auto" w:val="clear"/>
            <w:tcMar>
              <w:left w:w="108" w:type="dxa"/>
            </w:tcMar>
          </w:tcPr>
          <w:p>
            <w:pPr>
              <w:pStyle w:val="Normal"/>
              <w:spacing w:lineRule="auto" w:line="240" w:before="0" w:after="0"/>
              <w:rPr/>
            </w:pPr>
            <w:r>
              <w:rPr/>
            </w:r>
          </w:p>
          <w:p>
            <w:pPr>
              <w:pStyle w:val="Normal"/>
              <w:spacing w:lineRule="auto" w:line="240" w:before="0" w:after="0"/>
              <w:rPr/>
            </w:pPr>
            <w:r>
              <w:rPr/>
              <w:t>Generic Issues/Questions Across Areas:</w:t>
            </w:r>
          </w:p>
          <w:p>
            <w:pPr>
              <w:pStyle w:val="Normal"/>
              <w:spacing w:lineRule="auto" w:line="240" w:before="0" w:after="0"/>
              <w:rPr/>
            </w:pPr>
            <w:r>
              <w:rPr/>
            </w:r>
          </w:p>
          <w:p>
            <w:pPr>
              <w:pStyle w:val="Normal"/>
              <w:spacing w:lineRule="auto" w:line="240" w:before="0" w:after="0"/>
              <w:rPr/>
            </w:pPr>
            <w:r>
              <w:rPr/>
              <w:t>Emphasis on population attributable fraction (PAF) for all topics?</w:t>
            </w:r>
          </w:p>
          <w:p>
            <w:pPr>
              <w:pStyle w:val="Normal"/>
              <w:spacing w:lineRule="auto" w:line="240" w:before="0" w:after="0"/>
              <w:rPr/>
            </w:pPr>
            <w:r>
              <w:rPr/>
              <w:t>Any role for formal meta-analysis for any of the topics?</w:t>
            </w:r>
          </w:p>
          <w:p>
            <w:pPr>
              <w:pStyle w:val="Normal"/>
              <w:spacing w:lineRule="auto" w:line="240" w:before="0" w:after="0"/>
              <w:rPr/>
            </w:pPr>
            <w:r>
              <w:rPr/>
              <w:t>In addition to risk of disease, risk of disease severity/poorer outcomes among those with disease?</w:t>
            </w:r>
          </w:p>
          <w:p>
            <w:pPr>
              <w:pStyle w:val="Normal"/>
              <w:spacing w:lineRule="auto" w:line="240" w:before="0" w:after="0"/>
              <w:rPr/>
            </w:pPr>
            <w:r>
              <w:rPr/>
              <w:t>Methods for publication/data eligibility for consideration: likely to differ across topics but we should we set the rules in advance?</w:t>
            </w:r>
          </w:p>
          <w:p>
            <w:pPr>
              <w:pStyle w:val="Normal"/>
              <w:spacing w:lineRule="auto" w:line="240" w:before="0" w:after="0"/>
              <w:rPr/>
            </w:pPr>
            <w:bookmarkStart w:id="0" w:name="_GoBack"/>
            <w:bookmarkEnd w:id="0"/>
            <w:r>
              <w:rPr/>
              <w:t>Other issues?  Other oconidtions?</w:t>
            </w:r>
          </w:p>
          <w:p>
            <w:pPr>
              <w:pStyle w:val="Normal"/>
              <w:spacing w:lineRule="auto" w:line="240" w:before="0" w:after="0"/>
              <w:rPr/>
            </w:pPr>
            <w:r>
              <w:rPr/>
              <w:t xml:space="preserve">What about orphan respiratory tract conditions that may not fit so well into the above categories – put  alveolar proteinosis with the interstitial pneumonias? How about obliterative bronchiolitis where does that go (as opposed to COP which does fit with the pneumonias)?   </w:t>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d39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LibreOffice/5.1.4.2$Linux_X86_64 LibreOffice_project/10m0$Build-2</Application>
  <Pages>1</Pages>
  <Words>271</Words>
  <CharactersWithSpaces>1545</CharactersWithSpaces>
  <Paragraphs>3</Paragraphs>
  <Company>UCSF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2015-12-18T18:28:00Z</dcterms:created>
  <dc:creator>Blanc, Paul</dc:creator>
  <dc:description/>
  <dc:language>en-GB</dc:language>
  <cp:lastModifiedBy>Blanc, Paul</cp:lastModifiedBy>
  <dcterms:modified xsi:type="dcterms:W3CDTF">2015-12-18T18:58:00Z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UCSF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