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ccupational-burden-of-lung-disease-taskforce-notes-14516"/>
      <w:bookmarkEnd w:id="21"/>
      <w:r>
        <w:t xml:space="preserve">Occupational Burden of Lung Disease Taskforce Notes 14/5/16</w:t>
      </w:r>
    </w:p>
    <w:p>
      <w:pPr>
        <w:pStyle w:val="FirstParagraph"/>
      </w:pPr>
      <w:r>
        <w:t xml:space="preserve">An executive summary of approx 3000 words (excluding table and references) will be published in the blue journal. A full version will be published online.</w:t>
      </w:r>
    </w:p>
    <w:p>
      <w:pPr>
        <w:pStyle w:val="BodyText"/>
      </w:pPr>
      <w:r>
        <w:t xml:space="preserve">Key things to cover:</w:t>
      </w:r>
    </w:p>
    <w:p>
      <w:pPr>
        <w:pStyle w:val="Compact"/>
        <w:numPr>
          <w:numId w:val="1001"/>
          <w:ilvl w:val="0"/>
        </w:numPr>
      </w:pPr>
      <w:r>
        <w:t xml:space="preserve">PAF/PAR</w:t>
      </w:r>
    </w:p>
    <w:p>
      <w:pPr>
        <w:pStyle w:val="Compact"/>
        <w:numPr>
          <w:numId w:val="1001"/>
          <w:ilvl w:val="0"/>
        </w:numPr>
      </w:pPr>
      <w:r>
        <w:t xml:space="preserve">summarise and update previous reviews of the lit</w:t>
      </w:r>
    </w:p>
    <w:p>
      <w:pPr>
        <w:pStyle w:val="Compact"/>
        <w:numPr>
          <w:numId w:val="1001"/>
          <w:ilvl w:val="0"/>
        </w:numPr>
      </w:pPr>
      <w:r>
        <w:t xml:space="preserve">ensure robust methodology e.g. reproducible search strategy</w:t>
      </w:r>
    </w:p>
    <w:p>
      <w:pPr>
        <w:pStyle w:val="FirstParagraph"/>
      </w:pPr>
      <w:r>
        <w:t xml:space="preserve">Things not to cover:</w:t>
      </w:r>
    </w:p>
    <w:p>
      <w:pPr>
        <w:pStyle w:val="Compact"/>
        <w:numPr>
          <w:numId w:val="1002"/>
          <w:ilvl w:val="0"/>
        </w:numPr>
      </w:pPr>
      <w:r>
        <w:t xml:space="preserve">?exposure assessment detail</w:t>
      </w:r>
    </w:p>
    <w:p>
      <w:pPr>
        <w:pStyle w:val="Compact"/>
        <w:numPr>
          <w:numId w:val="1002"/>
          <w:ilvl w:val="0"/>
        </w:numPr>
      </w:pPr>
      <w:r>
        <w:t xml:space="preserve">cancer</w:t>
      </w:r>
    </w:p>
    <w:p>
      <w:pPr>
        <w:pStyle w:val="Compact"/>
        <w:numPr>
          <w:numId w:val="1002"/>
          <w:ilvl w:val="0"/>
        </w:numPr>
      </w:pPr>
      <w:r>
        <w:t xml:space="preserve">detail of work done by other taskforces (e.g air pollution taskforce)</w:t>
      </w:r>
    </w:p>
    <w:p>
      <w:pPr>
        <w:pStyle w:val="FirstParagraph"/>
      </w:pPr>
      <w:r>
        <w:t xml:space="preserve">General points:</w:t>
      </w:r>
    </w:p>
    <w:p>
      <w:pPr>
        <w:pStyle w:val="Compact"/>
        <w:numPr>
          <w:numId w:val="1003"/>
          <w:ilvl w:val="0"/>
        </w:numPr>
      </w:pPr>
      <w:r>
        <w:t xml:space="preserve">Focus on clinically significant outcomes like symptomatic disease rather than subclinical change in biomarkers such as lung function</w:t>
      </w:r>
    </w:p>
    <w:p>
      <w:pPr>
        <w:pStyle w:val="Compact"/>
        <w:numPr>
          <w:numId w:val="1003"/>
          <w:ilvl w:val="0"/>
        </w:numPr>
      </w:pPr>
      <w:r>
        <w:t xml:space="preserve">Summarise and update published reviews and previous guidelines</w:t>
      </w:r>
    </w:p>
    <w:p>
      <w:pPr>
        <w:pStyle w:val="Compact"/>
        <w:numPr>
          <w:numId w:val="1003"/>
          <w:ilvl w:val="0"/>
        </w:numPr>
      </w:pPr>
      <w:r>
        <w:t xml:space="preserve">Disease burden is not the same as PAR</w:t>
      </w:r>
    </w:p>
    <w:p>
      <w:pPr>
        <w:pStyle w:val="Compact"/>
        <w:numPr>
          <w:numId w:val="1003"/>
          <w:ilvl w:val="0"/>
        </w:numPr>
      </w:pPr>
      <w:r>
        <w:t xml:space="preserve">Particular exposures may cause exposure specific disease e.g silica causing silacosis. Important to note may also contribute to other diseases e.g TB-Silica-HIV interaction.</w:t>
      </w:r>
    </w:p>
    <w:p>
      <w:pPr>
        <w:pStyle w:val="Compact"/>
        <w:numPr>
          <w:numId w:val="1003"/>
          <w:ilvl w:val="0"/>
        </w:numPr>
      </w:pPr>
      <w:r>
        <w:t xml:space="preserve">Social burden of disease is important and may be covered briefly; a full treatment is outside the scope of the taskforce.</w:t>
      </w:r>
    </w:p>
    <w:p>
      <w:pPr>
        <w:pStyle w:val="Compact"/>
        <w:numPr>
          <w:numId w:val="1003"/>
          <w:ilvl w:val="0"/>
        </w:numPr>
      </w:pPr>
      <w:r>
        <w:t xml:space="preserve">Potential audience includes government, insurers, and patient groups</w:t>
      </w:r>
    </w:p>
    <w:p>
      <w:pPr>
        <w:pStyle w:val="Compact"/>
        <w:numPr>
          <w:numId w:val="1003"/>
          <w:ilvl w:val="0"/>
        </w:numPr>
      </w:pPr>
      <w:r>
        <w:t xml:space="preserve">Suggest use PAF equation from</w:t>
      </w:r>
      <w:r>
        <w:t xml:space="preserve"> </w:t>
      </w:r>
      <w:hyperlink r:id="rId22">
        <w:r>
          <w:rPr>
            <w:rStyle w:val="Hyperlink"/>
          </w:rPr>
          <w:t xml:space="preserve">Appendix E2 of COPD global burden document</w:t>
        </w:r>
      </w:hyperlink>
    </w:p>
    <w:p>
      <w:pPr>
        <w:pStyle w:val="FirstParagraph"/>
      </w:pPr>
      <w:r>
        <w:t xml:space="preserve">Search strategy:</w:t>
      </w:r>
    </w:p>
    <w:p>
      <w:pPr>
        <w:pStyle w:val="Compact"/>
        <w:numPr>
          <w:numId w:val="1004"/>
          <w:ilvl w:val="0"/>
        </w:numPr>
      </w:pPr>
      <w:r>
        <w:t xml:space="preserve">Must be reproducible</w:t>
      </w:r>
    </w:p>
    <w:p>
      <w:pPr>
        <w:pStyle w:val="Compact"/>
        <w:numPr>
          <w:numId w:val="1004"/>
          <w:ilvl w:val="0"/>
        </w:numPr>
      </w:pPr>
      <w:r>
        <w:t xml:space="preserve">Consider using librarian to assist</w:t>
      </w:r>
    </w:p>
    <w:p>
      <w:pPr>
        <w:pStyle w:val="Compact"/>
        <w:numPr>
          <w:numId w:val="1004"/>
          <w:ilvl w:val="0"/>
        </w:numPr>
      </w:pPr>
      <w:r>
        <w:t xml:space="preserve">Agreed to use embase and not just pubmed</w:t>
      </w:r>
    </w:p>
    <w:p>
      <w:pPr>
        <w:pStyle w:val="Compact"/>
        <w:numPr>
          <w:numId w:val="1004"/>
          <w:ilvl w:val="0"/>
        </w:numPr>
      </w:pPr>
      <w:r>
        <w:t xml:space="preserve">Agreed not to limit search to English language</w:t>
      </w:r>
    </w:p>
    <w:p>
      <w:pPr>
        <w:pStyle w:val="Compact"/>
        <w:numPr>
          <w:numId w:val="1004"/>
          <w:ilvl w:val="0"/>
        </w:numPr>
      </w:pPr>
      <w:r>
        <w:t xml:space="preserve">Suggested that MESH terms be used</w:t>
      </w:r>
    </w:p>
    <w:p>
      <w:pPr>
        <w:pStyle w:val="Compact"/>
        <w:numPr>
          <w:numId w:val="1004"/>
          <w:ilvl w:val="0"/>
        </w:numPr>
      </w:pPr>
      <w:r>
        <w:t xml:space="preserve">Exposure search strategy to be agreed</w:t>
      </w:r>
    </w:p>
    <w:p>
      <w:pPr>
        <w:pStyle w:val="Compact"/>
        <w:numPr>
          <w:numId w:val="1004"/>
          <w:ilvl w:val="0"/>
        </w:numPr>
      </w:pPr>
      <w:r>
        <w:t xml:space="preserve">Disease search strategy to be set by each disease group</w:t>
      </w:r>
    </w:p>
    <w:p>
      <w:pPr>
        <w:pStyle w:val="Compact"/>
        <w:numPr>
          <w:numId w:val="1004"/>
          <w:ilvl w:val="0"/>
        </w:numPr>
      </w:pPr>
      <w:r>
        <w:t xml:space="preserve">Individual groups could do a meta-analysis if feeling energetic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25b6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e198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atsjournals.org/doi/suppl/10.1164/rccm.200811-1757ST/suppl_file/eisnercopd200811-1757stsuppljune03.d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atsjournals.org/doi/suppl/10.1164/rccm.200811-1757ST/suppl_file/eisnercopd200811-1757stsuppljune03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