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Table. Case-control studies addressing occupational exposures and idiopathic pulmonary fibrosis.</w:t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1"/>
        <w:gridCol w:w="1554"/>
        <w:gridCol w:w="1799"/>
        <w:gridCol w:w="1171"/>
        <w:gridCol w:w="2785"/>
      </w:tblGrid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DUST</w:t>
            </w:r>
          </w:p>
        </w:tc>
        <w:tc>
          <w:tcPr>
            <w:tcW w:w="1554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554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9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71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554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27/40 (68)</w:t>
            </w:r>
          </w:p>
        </w:tc>
        <w:tc>
          <w:tcPr>
            <w:tcW w:w="179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1.32 (0.84-2.04)</w:t>
            </w:r>
          </w:p>
        </w:tc>
        <w:tc>
          <w:tcPr>
            <w:tcW w:w="117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16%</w:t>
            </w:r>
          </w:p>
        </w:tc>
        <w:tc>
          <w:tcPr>
            <w:tcW w:w="278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n/615 (%)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2.0 (1.16-3.08)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autopsy; includes acute, chronic, and unknown time course cases; dust and organic solvent vapor related jobs; non-respiratory death controls matched for sex, age, residential area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Mullen, 1998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6/15 (40)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2.37 (0.67-8.44)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23%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Miyake, 2005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33/102 (32)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5.61 (2.12-17.89)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26%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sex, and region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Gustafson, 2007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86/140 (61)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1.1 (0.71-1.72)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“</w:t>
            </w:r>
            <w:r>
              <w:rPr/>
              <w:t>any occupational exposure”; stratified by sex, year of diagnosis, birth year, and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Garcia-Sancho Figueroa, 2010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55/97 (57)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1.2 (0.8-1.9)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matching criteria not mentioned; controls with resp disease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Garcia-Sancho, 2011</w:t>
            </w:r>
          </w:p>
        </w:tc>
        <w:tc>
          <w:tcPr>
            <w:tcW w:w="155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77/100 (77)</w:t>
            </w:r>
          </w:p>
        </w:tc>
        <w:tc>
          <w:tcPr>
            <w:tcW w:w="179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2.8 (1.5-5.5)</w:t>
            </w:r>
          </w:p>
        </w:tc>
        <w:tc>
          <w:tcPr>
            <w:tcW w:w="117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50%</w:t>
            </w:r>
          </w:p>
        </w:tc>
        <w:tc>
          <w:tcPr>
            <w:tcW w:w="27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“</w:t>
            </w:r>
            <w:r>
              <w:rPr/>
              <w:t>dusts/smokes/gases or chemicals”; healthy controls matched for residence, age, sex, ethnic origin; adjusted for other predictive variables (fam hx, former smoker, GERD, DM2)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1"/>
        <w:gridCol w:w="1633"/>
        <w:gridCol w:w="1789"/>
        <w:gridCol w:w="1132"/>
        <w:gridCol w:w="2765"/>
      </w:tblGrid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METAL DUST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6/40 (15)</w:t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10.97 (2.30-52.4)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14%</w:t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n/86 (%)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1.34 (1.14-1.59)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x%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Cd, Cr, Pb, Zn metal production and mine workers; healthy controls matched for sex, age, residential area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Hubbard, 1996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54/218 (25)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1.68 (1.07-2.65)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questionnaire; adjusted for smoking and exposure to wood dust; PAR reported by authors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13/22 (59)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1.08 (0.44-2.65)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sex; mortality study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25/248 (10)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2.0 (1.0-4.0)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 2005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12/102 (12)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9.55 (1.68-181.12)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11%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sex, and region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 2007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25/140 (18)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0.9 (0.51-1.59)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stratified by sex, year of diagnosis, birth year,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17/95 (18)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1.58 (0.69-3.61)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9/65 (14)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2.80 (1.08-7.23)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gender, smoking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1"/>
        <w:gridCol w:w="1633"/>
        <w:gridCol w:w="1789"/>
        <w:gridCol w:w="1132"/>
        <w:gridCol w:w="2765"/>
      </w:tblGrid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WOOD DUST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6/40 (15)</w:t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2.94 (0.87-9.90)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10%</w:t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Hubbard, 1996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30/218 (14)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1.71 (1.01-2.92)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5.3%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questionnaire; adjusted for smoking and exposure to metal dust; PAR reported by authors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Mullen, 1998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2/15 (13)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3.30 (0.42-25.8)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Baumgartner,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20/244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 (0.8-3.3)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Miyake, 2005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5/102 (5)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6.03 (0.32- 112.4) 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no cases in 59 </w:t>
            </w:r>
            <w:bookmarkStart w:id="0" w:name="_GoBack"/>
            <w:bookmarkEnd w:id="0"/>
            <w:r>
              <w:rPr/>
              <w:t>controls; substituted 0.5 to get OR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Gustafson, 2007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22/140 (16)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1.2 (0.65-2.23)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stratified by sex, year of diagnosis, birth year,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14/95 (15)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2.56 (1.02-7.01)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8/106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3.48 (0.67-18.16)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women;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5/65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1.11 (0.37-3.31)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softwood dust; adjusted for age, gender,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4/65 (6)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0.86 (0.26-2.78)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hardwood dust; adjusted for age, gender, smoking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1"/>
        <w:gridCol w:w="1643"/>
        <w:gridCol w:w="1800"/>
        <w:gridCol w:w="1080"/>
        <w:gridCol w:w="2786"/>
      </w:tblGrid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AGRICULTURAL</w:t>
            </w:r>
          </w:p>
        </w:tc>
        <w:tc>
          <w:tcPr>
            <w:tcW w:w="164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4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800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080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8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4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5/40 (13)</w:t>
            </w:r>
          </w:p>
        </w:tc>
        <w:tc>
          <w:tcPr>
            <w:tcW w:w="1800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10.89 (1.24-96.0)</w:t>
            </w:r>
          </w:p>
        </w:tc>
        <w:tc>
          <w:tcPr>
            <w:tcW w:w="10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12%</w:t>
            </w:r>
          </w:p>
        </w:tc>
        <w:tc>
          <w:tcPr>
            <w:tcW w:w="278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cattle exposure; 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n/86 (%)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3.01 (1.29-7.43)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x%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agricultural area residence; healthy controls matched for sex, age, residential area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Baumgartner, 2000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44/240 (18)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 (1.0-2.5)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7%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farming; adjusted for age and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Miyake, 2005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7/102 (7)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0.55 (0.16-1.89)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farming, fishing, or forestry; adjusted for age, sex, and region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20/95 (21)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1.00 (0.44-2.28)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4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22/106 (21)</w:t>
            </w:r>
          </w:p>
        </w:tc>
        <w:tc>
          <w:tcPr>
            <w:tcW w:w="180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3.34 (1.17-10.12)</w:t>
            </w:r>
          </w:p>
        </w:tc>
        <w:tc>
          <w:tcPr>
            <w:tcW w:w="108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15%</w:t>
            </w:r>
          </w:p>
        </w:tc>
        <w:tc>
          <w:tcPr>
            <w:tcW w:w="278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women; adjusted for age, residence, smoking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LibreOffice/5.1.4.2$Linux_X86_64 LibreOffice_project/10m0$Build-2</Application>
  <Pages>4</Pages>
  <Words>571</Words>
  <CharactersWithSpaces>3257</CharactersWithSpaces>
  <Paragraphs>7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2016-10-19T17:10:00Z</dcterms:created>
  <dc:creator>Cummings, Kristin (CDC/NIOSH/DRDS)</dc:creator>
  <dc:description/>
  <dc:language>en-GB</dc:language>
  <cp:lastModifiedBy>Cummings, Kristin (CDC/NIOSH/DRDS)</cp:lastModifiedBy>
  <dcterms:modified xsi:type="dcterms:W3CDTF">2016-10-19T17:26:00Z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