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45.png" ContentType="image/png"/>
  <Override PartName="/word/media/rId41.png" ContentType="image/png"/>
  <Override PartName="/word/media/rId50.png" ContentType="image/png"/>
  <Override PartName="/word/media/rId37.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Can</w:t>
      </w:r>
      <w:r>
        <w:t xml:space="preserve"> </w:t>
      </w:r>
      <w:r>
        <w:t xml:space="preserve">open</w:t>
      </w:r>
      <w:r>
        <w:t xml:space="preserve"> </w:t>
      </w:r>
      <w:r>
        <w:t xml:space="preserve">prescribing</w:t>
      </w:r>
      <w:r>
        <w:t xml:space="preserve"> </w:t>
      </w:r>
      <w:r>
        <w:t xml:space="preserve">data</w:t>
      </w:r>
      <w:r>
        <w:t xml:space="preserve"> </w:t>
      </w:r>
      <w:r>
        <w:t xml:space="preserve">detect</w:t>
      </w:r>
      <w:r>
        <w:t xml:space="preserve"> </w:t>
      </w:r>
      <w:r>
        <w:t xml:space="preserve">medicine</w:t>
      </w:r>
      <w:r>
        <w:t xml:space="preserve"> </w:t>
      </w:r>
      <w:r>
        <w:t xml:space="preserve">effects</w:t>
      </w:r>
      <w:r>
        <w:t xml:space="preserve"> </w:t>
      </w:r>
      <w:r>
        <w:t xml:space="preserve">on</w:t>
      </w:r>
      <w:r>
        <w:t xml:space="preserve"> </w:t>
      </w:r>
      <w:r>
        <w:t xml:space="preserve">tuberculosis?</w:t>
      </w:r>
      <w:r>
        <w:t xml:space="preserve"> </w:t>
      </w:r>
      <w:r>
        <w:t xml:space="preserve">An</w:t>
      </w:r>
      <w:r>
        <w:t xml:space="preserve"> </w:t>
      </w:r>
      <w:r>
        <w:t xml:space="preserve">ecological</w:t>
      </w:r>
      <w:r>
        <w:t xml:space="preserve"> </w:t>
      </w:r>
      <w:r>
        <w:t xml:space="preserve">study</w:t>
      </w:r>
      <w:r>
        <w:t xml:space="preserve"> </w:t>
      </w:r>
      <w:r>
        <w:t xml:space="preserve">of</w:t>
      </w:r>
      <w:r>
        <w:t xml:space="preserve"> </w:t>
      </w:r>
      <w:r>
        <w:t xml:space="preserve">primary</w:t>
      </w:r>
      <w:r>
        <w:t xml:space="preserve"> </w:t>
      </w:r>
      <w:r>
        <w:t xml:space="preserve">care</w:t>
      </w:r>
      <w:r>
        <w:t xml:space="preserve"> </w:t>
      </w:r>
      <w:r>
        <w:t xml:space="preserve">and</w:t>
      </w:r>
      <w:r>
        <w:t xml:space="preserve"> </w:t>
      </w:r>
      <w:r>
        <w:t xml:space="preserve">hospital</w:t>
      </w:r>
      <w:r>
        <w:t xml:space="preserve"> </w:t>
      </w:r>
      <w:r>
        <w:t xml:space="preserve">prescribing</w:t>
      </w:r>
      <w:r>
        <w:t xml:space="preserve"> </w:t>
      </w:r>
      <w:r>
        <w:t xml:space="preserve">and</w:t>
      </w:r>
      <w:r>
        <w:t xml:space="preserve"> </w:t>
      </w:r>
      <w:r>
        <w:t xml:space="preserve">TB</w:t>
      </w:r>
      <w:r>
        <w:t xml:space="preserve"> </w:t>
      </w:r>
      <w:r>
        <w:t xml:space="preserve">notifications</w:t>
      </w:r>
      <w:r>
        <w:t xml:space="preserve"> </w:t>
      </w:r>
      <w:r>
        <w:t xml:space="preserve">in</w:t>
      </w:r>
      <w:r>
        <w:t xml:space="preserve"> </w:t>
      </w:r>
      <w:r>
        <w:t xml:space="preserve">England</w:t>
      </w:r>
    </w:p>
    <w:p>
      <w:pPr>
        <w:pStyle w:val="Date"/>
      </w:pPr>
      <w:r>
        <w:t xml:space="preserve">Draft</w:t>
      </w:r>
      <w:r>
        <w:t xml:space="preserve"> </w:t>
      </w:r>
      <w:r>
        <w:t xml:space="preserve">4</w:t>
      </w:r>
      <w:r>
        <w:t xml:space="preserve"> </w:t>
      </w:r>
      <w:r>
        <w:t xml:space="preserve">(revised</w:t>
      </w:r>
      <w:r>
        <w:t xml:space="preserve"> </w:t>
      </w:r>
      <w:r>
        <w:t xml:space="preserve">after</w:t>
      </w:r>
      <w:r>
        <w:t xml:space="preserve"> </w:t>
      </w:r>
      <w:r>
        <w:t xml:space="preserve">peer</w:t>
      </w:r>
      <w:r>
        <w:t xml:space="preserve"> </w:t>
      </w:r>
      <w:r>
        <w:t xml:space="preserve">review,</w:t>
      </w:r>
      <w:r>
        <w:t xml:space="preserve"> </w:t>
      </w:r>
      <w:r>
        <w:t xml:space="preserve">round</w:t>
      </w:r>
      <w:r>
        <w:t xml:space="preserve"> </w:t>
      </w:r>
      <w:r>
        <w:t xml:space="preserve">2),</w:t>
      </w:r>
      <w:r>
        <w:t xml:space="preserve"> </w:t>
      </w:r>
      <w:r>
        <w:t xml:space="preserve">14</w:t>
      </w:r>
      <w:r>
        <w:t xml:space="preserve"> </w:t>
      </w:r>
      <w:r>
        <w:t xml:space="preserve">September</w:t>
      </w:r>
      <w:r>
        <w:t xml:space="preserve"> </w:t>
      </w:r>
      <w:r>
        <w:t xml:space="preserve">2026</w:t>
      </w:r>
    </w:p>
    <w:bookmarkStart w:id="20" w:name="abstract"/>
    <w:p>
      <w:pPr>
        <w:pStyle w:val="Heading2"/>
      </w:pPr>
      <w:r>
        <w:t xml:space="preserve">Abstract</w:t>
      </w:r>
    </w:p>
    <w:p>
      <w:pPr>
        <w:pStyle w:val="FirstParagraph"/>
      </w:pPr>
      <w:r>
        <w:rPr>
          <w:b/>
          <w:bCs/>
        </w:rPr>
        <w:t xml:space="preserve">Background.</w:t>
      </w:r>
      <w:r>
        <w:t xml:space="preserve"> </w:t>
      </w:r>
      <w:r>
        <w:t xml:space="preserve">- Corticosteroids, biologics and other immunosuppressants increase individual risk of tuberculosis (TB).</w:t>
      </w:r>
      <w:r>
        <w:t xml:space="preserve"> </w:t>
      </w:r>
      <w:r>
        <w:t xml:space="preserve">- Openly published English prescribing and TB surveillance data could, in principle, be linked to study these relationships at population level.</w:t>
      </w:r>
      <w:r>
        <w:t xml:space="preserve"> </w:t>
      </w:r>
      <w:r>
        <w:t xml:space="preserve">- We assessed whether such ecological analyses can detect associations between medicines and TB, and why they might not.</w:t>
      </w:r>
    </w:p>
    <w:p>
      <w:pPr>
        <w:pStyle w:val="BodyText"/>
      </w:pPr>
      <w:r>
        <w:rPr>
          <w:b/>
          <w:bCs/>
        </w:rPr>
        <w:t xml:space="preserve">Methods.</w:t>
      </w:r>
      <w:r>
        <w:t xml:space="preserve"> </w:t>
      </w:r>
      <w:r>
        <w:t xml:space="preserve">-</w:t>
      </w:r>
      <w:r>
        <w:t xml:space="preserve"> </w:t>
      </w:r>
      <w:r>
        <w:rPr>
          <w:b/>
          <w:bCs/>
        </w:rPr>
        <w:t xml:space="preserve">Exposures.</w:t>
      </w:r>
      <w:r>
        <w:t xml:space="preserve"> </w:t>
      </w:r>
      <w:r>
        <w:t xml:space="preserve">- Primary care prescribing, 2011–2024: practice-level data apportioned to local authorities by where registered patients live. Drug groups were defined at presentation level (systemic oral glucocorticoids, conventional DMARDs, transplant immunosuppressants and others), including a negative-control exposure.</w:t>
      </w:r>
      <w:r>
        <w:t xml:space="preserve"> </w:t>
      </w:r>
      <w:r>
        <w:t xml:space="preserve">- Hospital medicines, 2019–2024: NHS Secondary Care Medicines Data in WHO defined daily doses, apportioned by trust catchment. Controls were a disease-specific positive control (active-TB treatment) and negative-control exposures.</w:t>
      </w:r>
      <w:r>
        <w:t xml:space="preserve"> </w:t>
      </w:r>
      <w:r>
        <w:t xml:space="preserve">-</w:t>
      </w:r>
      <w:r>
        <w:t xml:space="preserve"> </w:t>
      </w:r>
      <w:r>
        <w:rPr>
          <w:b/>
          <w:bCs/>
        </w:rPr>
        <w:t xml:space="preserve">Outcomes.</w:t>
      </w:r>
      <w:r>
        <w:t xml:space="preserve"> </w:t>
      </w:r>
      <w:r>
        <w:t xml:space="preserve">Annual UKHSA TB notifications for 294 lower-tier and 151 upper-tier authorities, and by region, place of birth and age.</w:t>
      </w:r>
      <w:r>
        <w:t xml:space="preserve"> </w:t>
      </w:r>
      <w:r>
        <w:t xml:space="preserve">-</w:t>
      </w:r>
      <w:r>
        <w:t xml:space="preserve"> </w:t>
      </w:r>
      <w:r>
        <w:rPr>
          <w:b/>
          <w:bCs/>
        </w:rPr>
        <w:t xml:space="preserve">Analysis.</w:t>
      </w:r>
      <w:r>
        <w:t xml:space="preserve"> </w:t>
      </w:r>
      <w:r>
        <w:t xml:space="preserve">- Poisson panel models with area and year fixed effects, exposure in the previous year, and falsification (lead) tests.</w:t>
      </w:r>
      <w:r>
        <w:t xml:space="preserve"> </w:t>
      </w:r>
      <w:r>
        <w:t xml:space="preserve">- Regional models with randomisation inference.</w:t>
      </w:r>
      <w:r>
        <w:t xml:space="preserve"> </w:t>
      </w:r>
      <w:r>
        <w:t xml:space="preserve">- Minimum detectable effects (MDE), compared with expected population effects derived from published relative risks and UKHSA-recorded drug-associated TB.</w:t>
      </w:r>
      <w:r>
        <w:t xml:space="preserve"> </w:t>
      </w:r>
      <w:r>
        <w:t xml:space="preserve">- A permutation-based power simulation on the real notification counts.</w:t>
      </w:r>
    </w:p>
    <w:p>
      <w:pPr>
        <w:pStyle w:val="BodyText"/>
      </w:pPr>
      <w:r>
        <w:rPr>
          <w:b/>
          <w:bCs/>
        </w:rPr>
        <w:t xml:space="preserve">Results.</w:t>
      </w:r>
      <w:r>
        <w:t xml:space="preserve"> </w:t>
      </w:r>
      <w:r>
        <w:t xml:space="preserve">-</w:t>
      </w:r>
      <w:r>
        <w:t xml:space="preserve"> </w:t>
      </w:r>
      <w:r>
        <w:rPr>
          <w:b/>
          <w:bCs/>
        </w:rPr>
        <w:t xml:space="preserve">Linkage.</w:t>
      </w:r>
      <w:r>
        <w:t xml:space="preserve"> </w:t>
      </w:r>
      <w:r>
        <w:t xml:space="preserve">Hospital active-TB treatment tracked TB notifications between areas (Spearman ρ = 0.81) and within areas in the same year (incidence rate ratio [IRR] 1.035, 95% CI 1.009–1.061, per 10% increase). The within-area elasticity was only 0.36–0.40, indicating substantial attenuation even for a disease-specific drug.</w:t>
      </w:r>
      <w:r>
        <w:t xml:space="preserve"> </w:t>
      </w:r>
      <w:r>
        <w:t xml:space="preserve">-</w:t>
      </w:r>
      <w:r>
        <w:t xml:space="preserve"> </w:t>
      </w:r>
      <w:r>
        <w:rPr>
          <w:b/>
          <w:bCs/>
        </w:rPr>
        <w:t xml:space="preserve">Primary care.</w:t>
      </w:r>
      <w:r>
        <w:t xml:space="preserve"> </w:t>
      </w:r>
      <w:r>
        <w:t xml:space="preserve">No drug group was associated with notifications in the following year. For systemic oral glucocorticoids the IRR was 0.969 (0.929–1.012) per 10% within-area increase.</w:t>
      </w:r>
      <w:r>
        <w:t xml:space="preserve"> </w:t>
      </w:r>
      <w:r>
        <w:t xml:space="preserve">-</w:t>
      </w:r>
      <w:r>
        <w:t xml:space="preserve"> </w:t>
      </w:r>
      <w:r>
        <w:rPr>
          <w:b/>
          <w:bCs/>
        </w:rPr>
        <w:t xml:space="preserve">Hospital medicines.</w:t>
      </w:r>
      <w:r>
        <w:t xml:space="preserve"> </w:t>
      </w:r>
      <w:r>
        <w:t xml:space="preserve">TNF inhibitors (0.989, 0.972–1.007), JAK inhibitors and other immunosuppressants were null. Hospital systemic glucocorticoids had a small nominal association (1.024, 1.001–1.046) that was not robust to clustering by trust or to excluding COVID-19 years.</w:t>
      </w:r>
      <w:r>
        <w:t xml:space="preserve"> </w:t>
      </w:r>
      <w:r>
        <w:t xml:space="preserve">-</w:t>
      </w:r>
      <w:r>
        <w:t xml:space="preserve"> </w:t>
      </w:r>
      <w:r>
        <w:rPr>
          <w:b/>
          <w:bCs/>
        </w:rPr>
        <w:t xml:space="preserve">Falsification and negative control.</w:t>
      </w:r>
      <w:r>
        <w:t xml:space="preserve"> </w:t>
      </w:r>
      <w:r>
        <w:t xml:space="preserve">The negative-control exposure showed inverse estimates similar in size to metformin, and following-year prescribing was inversely associated with notifications for several groups. With collinear adjacent-year exposures these tests are weak, but the pattern is compatible with residual confounding by area-specific trends.</w:t>
      </w:r>
      <w:r>
        <w:t xml:space="preserve"> </w:t>
      </w:r>
      <w:r>
        <w:t xml:space="preserve">-</w:t>
      </w:r>
      <w:r>
        <w:t xml:space="preserve"> </w:t>
      </w:r>
      <w:r>
        <w:rPr>
          <w:b/>
          <w:bCs/>
        </w:rPr>
        <w:t xml:space="preserve">Power.</w:t>
      </w:r>
      <w:r>
        <w:t xml:space="preserve"> </w:t>
      </w:r>
      <w:r>
        <w:t xml:space="preserve">- For oral glucocorticoids, the MDE (6.3% per 10% increase) was about 18 times the effect expected from published relative risks (0.34%), and about 70–140 times that implied by UKHSA-recorded steroid-associated TB (0.04–0.09%).</w:t>
      </w:r>
      <w:r>
        <w:t xml:space="preserve"> </w:t>
      </w:r>
      <w:r>
        <w:t xml:space="preserve">- In simulations on the real counts, the null hypothesis was rejected for the published effect in 8.3% of replicates, no more often than with no effect (7.8%); simulated power exceeded analytic power at the real standard error.</w:t>
      </w:r>
      <w:r>
        <w:t xml:space="preserve"> </w:t>
      </w:r>
      <w:r>
        <w:t xml:space="preserve">-</w:t>
      </w:r>
      <w:r>
        <w:t xml:space="preserve"> </w:t>
      </w:r>
      <w:r>
        <w:rPr>
          <w:b/>
          <w:bCs/>
        </w:rPr>
        <w:t xml:space="preserve">UK-born TB.</w:t>
      </w:r>
      <w:r>
        <w:t xml:space="preserve"> </w:t>
      </w:r>
      <w:r>
        <w:t xml:space="preserve">A regional association between prednisolone dose and UK-born TB was implausibly large, not significant by randomisation inference, dependent on London, and accompanied by failed negative-control and falsification tests.</w:t>
      </w:r>
    </w:p>
    <w:p>
      <w:pPr>
        <w:pStyle w:val="BodyText"/>
      </w:pPr>
      <w:r>
        <w:rPr>
          <w:b/>
          <w:bCs/>
        </w:rPr>
        <w:t xml:space="preserve">Conclusions.</w:t>
      </w:r>
      <w:r>
        <w:t xml:space="preserve"> </w:t>
      </w:r>
      <w:r>
        <w:t xml:space="preserve">- Hospital medicines data could be linked to TB notifications only with heavy attenuation, and no working positive control was available for primary care. Ecological analyses of these data cannot detect plausible population-level effects of medicines on TB.</w:t>
      </w:r>
      <w:r>
        <w:t xml:space="preserve"> </w:t>
      </w:r>
      <w:r>
        <w:t xml:space="preserve">- Apparent associations are compatible with residual confounding, chance or measurement error, not with drug effects of plausible size.</w:t>
      </w:r>
      <w:r>
        <w:t xml:space="preserve"> </w:t>
      </w:r>
      <w:r>
        <w:t xml:space="preserve">- Causal questions require individual-level linked data analysed with target trial emulation. Surveillance of drug-associated TB is better served by more complete recording of immunosuppression in national TB surveillance.</w:t>
      </w:r>
    </w:p>
    <w:bookmarkEnd w:id="20"/>
    <w:bookmarkStart w:id="21" w:name="introduction"/>
    <w:p>
      <w:pPr>
        <w:pStyle w:val="Heading2"/>
      </w:pPr>
      <w:r>
        <w:t xml:space="preserve">Introduction</w:t>
      </w:r>
    </w:p>
    <w:p>
      <w:pPr>
        <w:pStyle w:val="FirstParagraph"/>
      </w:pPr>
      <w:r>
        <w:t xml:space="preserve">Tuberculosis (TB) remains a public health problem in England.</w:t>
      </w:r>
    </w:p>
    <w:p>
      <w:pPr>
        <w:pStyle w:val="BodyText"/>
      </w:pPr>
      <w:r>
        <w:rPr>
          <w:b/>
          <w:bCs/>
        </w:rPr>
        <w:t xml:space="preserve">Recent trends.</w:t>
      </w:r>
      <w:r>
        <w:t xml:space="preserve"> </w:t>
      </w:r>
      <w:r>
        <w:t xml:space="preserve">-</w:t>
      </w:r>
      <w:r>
        <w:t xml:space="preserve"> </w:t>
      </w:r>
      <w:r>
        <w:rPr>
          <w:b/>
          <w:bCs/>
        </w:rPr>
        <w:t xml:space="preserve">Decline:</w:t>
      </w:r>
      <w:r>
        <w:t xml:space="preserve"> </w:t>
      </w:r>
      <w:r>
        <w:t xml:space="preserve">notifications fell by 44% between 2011 and 2018 (8,282 to 4,609). For 2011–2015,</w:t>
      </w:r>
      <w:r>
        <w:t xml:space="preserve"> </w:t>
      </w:r>
      <w:r>
        <w:t xml:space="preserve">most of the fall reflected declining TB rates in almost all populations, with smaller</w:t>
      </w:r>
      <w:r>
        <w:t xml:space="preserve"> </w:t>
      </w:r>
      <w:r>
        <w:t xml:space="preserve">contributions from fewer recent non-EU migrants and from pre-entry screening of long-stay visa</w:t>
      </w:r>
      <w:r>
        <w:t xml:space="preserve"> </w:t>
      </w:r>
      <w:r>
        <w:t xml:space="preserve">applicants from high-incidence countries [Thomas 2018; Aldridge 2016].</w:t>
      </w:r>
      <w:r>
        <w:t xml:space="preserve"> </w:t>
      </w:r>
      <w:r>
        <w:t xml:space="preserve">-</w:t>
      </w:r>
      <w:r>
        <w:t xml:space="preserve"> </w:t>
      </w:r>
      <w:r>
        <w:rPr>
          <w:b/>
          <w:bCs/>
        </w:rPr>
        <w:t xml:space="preserve">2020:</w:t>
      </w:r>
      <w:r>
        <w:t xml:space="preserve"> </w:t>
      </w:r>
      <w:r>
        <w:t xml:space="preserve">notifications dropped to 4,125 during the COVID-19 pandemic, a fall thought to reflect</w:t>
      </w:r>
      <w:r>
        <w:t xml:space="preserve"> </w:t>
      </w:r>
      <w:r>
        <w:t xml:space="preserve">service disruption rather than less disease [UKHSA 2021; Morrison 2023].</w:t>
      </w:r>
      <w:r>
        <w:t xml:space="preserve"> </w:t>
      </w:r>
      <w:r>
        <w:t xml:space="preserve">-</w:t>
      </w:r>
      <w:r>
        <w:t xml:space="preserve"> </w:t>
      </w:r>
      <w:r>
        <w:rPr>
          <w:b/>
          <w:bCs/>
        </w:rPr>
        <w:t xml:space="preserve">2021–2024 rise:</w:t>
      </w:r>
      <w:r>
        <w:t xml:space="preserve"> </w:t>
      </w:r>
      <w:r>
        <w:t xml:space="preserve">notifications then increased, reaching 5,490 in 2024 (9.4 per 100,000).</w:t>
      </w:r>
      <w:r>
        <w:t xml:space="preserve"> </w:t>
      </w:r>
      <w:r>
        <w:t xml:space="preserve">- 81.9% were in people born outside the UK [UKHSA 2025, Supplementary Table 12].</w:t>
      </w:r>
      <w:r>
        <w:t xml:space="preserve"> </w:t>
      </w:r>
      <w:r>
        <w:t xml:space="preserve">- 41% of those were notified within five years of arrival.</w:t>
      </w:r>
      <w:r>
        <w:t xml:space="preserve"> </w:t>
      </w:r>
      <w:r>
        <w:t xml:space="preserve">- The rise has been attributed mainly to migration from higher-incidence countries [UKHSA 2025].</w:t>
      </w:r>
      <w:r>
        <w:t xml:space="preserve"> </w:t>
      </w:r>
      <w:r>
        <w:t xml:space="preserve">-</w:t>
      </w:r>
      <w:r>
        <w:t xml:space="preserve"> </w:t>
      </w:r>
      <w:r>
        <w:rPr>
          <w:b/>
          <w:bCs/>
        </w:rPr>
        <w:t xml:space="preserve">2025:</w:t>
      </w:r>
      <w:r>
        <w:t xml:space="preserve"> </w:t>
      </w:r>
      <w:r>
        <w:t xml:space="preserve">national data show 5,424 notifications, with 2024 revised to 5,487 [UKHSA 2026].</w:t>
      </w:r>
    </w:p>
    <w:p>
      <w:pPr>
        <w:pStyle w:val="BodyText"/>
      </w:pPr>
      <w:r>
        <w:rPr>
          <w:b/>
          <w:bCs/>
        </w:rPr>
        <w:t xml:space="preserve">TB in UK-born people.</w:t>
      </w:r>
      <w:r>
        <w:t xml:space="preserve"> </w:t>
      </w:r>
      <w:r>
        <w:t xml:space="preserve">UK-born notifications fell by 48% between 2014 and 2022 (1,756 to 916),</w:t>
      </w:r>
      <w:r>
        <w:t xml:space="preserve"> </w:t>
      </w:r>
      <w:r>
        <w:t xml:space="preserve">then rose to 995 in 2024, still 43% below 2014 [UKHSA 2025]. UK-born TB is heterogeneous: it</w:t>
      </w:r>
      <w:r>
        <w:t xml:space="preserve"> </w:t>
      </w:r>
      <w:r>
        <w:t xml:space="preserve">includes reactivation in older adults and transmission linked to social risk factors [Davidson 2018].</w:t>
      </w:r>
    </w:p>
    <w:p>
      <w:pPr>
        <w:pStyle w:val="BodyText"/>
      </w:pPr>
      <w:r>
        <w:rPr>
          <w:b/>
          <w:bCs/>
        </w:rPr>
        <w:t xml:space="preserve">Medicines that change TB risk.</w:t>
      </w:r>
      <w:r>
        <w:t xml:space="preserve"> </w:t>
      </w:r>
      <w:r>
        <w:t xml:space="preserve">Host factors also modify TB risk, and several are shaped by</w:t>
      </w:r>
      <w:r>
        <w:t xml:space="preserve"> </w:t>
      </w:r>
      <w:r>
        <w:t xml:space="preserve">commonly prescribed medicines.</w:t>
      </w:r>
      <w:r>
        <w:t xml:space="preserve"> </w:t>
      </w:r>
      <w:r>
        <w:t xml:space="preserve">-</w:t>
      </w:r>
      <w:r>
        <w:t xml:space="preserve"> </w:t>
      </w:r>
      <w:r>
        <w:rPr>
          <w:b/>
          <w:bCs/>
        </w:rPr>
        <w:t xml:space="preserve">Oral glucocorticoids:</w:t>
      </w:r>
      <w:r>
        <w:t xml:space="preserve"> </w:t>
      </w:r>
      <w:r>
        <w:t xml:space="preserve">current use is associated with an odds ratio of about 5 for active TB,</w:t>
      </w:r>
      <w:r>
        <w:t xml:space="preserve"> </w:t>
      </w:r>
      <w:r>
        <w:t xml:space="preserve">higher at doses ≥15 mg/day [Jick 2006].</w:t>
      </w:r>
      <w:r>
        <w:t xml:space="preserve"> </w:t>
      </w:r>
      <w:r>
        <w:t xml:space="preserve">-</w:t>
      </w:r>
      <w:r>
        <w:t xml:space="preserve"> </w:t>
      </w:r>
      <w:r>
        <w:rPr>
          <w:b/>
          <w:bCs/>
        </w:rPr>
        <w:t xml:space="preserve">Inhaled corticosteroids and conventional DMARDs:</w:t>
      </w:r>
      <w:r>
        <w:t xml:space="preserve"> </w:t>
      </w:r>
      <w:r>
        <w:t xml:space="preserve">smaller increases [Brassard 2011;</w:t>
      </w:r>
      <w:r>
        <w:t xml:space="preserve"> </w:t>
      </w:r>
      <w:r>
        <w:t xml:space="preserve">Castellana 2019; Brassard 2006].</w:t>
      </w:r>
      <w:r>
        <w:t xml:space="preserve"> </w:t>
      </w:r>
      <w:r>
        <w:t xml:space="preserve">-</w:t>
      </w:r>
      <w:r>
        <w:t xml:space="preserve"> </w:t>
      </w:r>
      <w:r>
        <w:rPr>
          <w:b/>
          <w:bCs/>
        </w:rPr>
        <w:t xml:space="preserve">Anti-TNF biologics:</w:t>
      </w:r>
      <w:r>
        <w:t xml:space="preserve"> </w:t>
      </w:r>
      <w:r>
        <w:t xml:space="preserve">TB typically presents within months of starting treatment [Keane 2001].</w:t>
      </w:r>
      <w:r>
        <w:t xml:space="preserve"> </w:t>
      </w:r>
      <w:r>
        <w:t xml:space="preserve">Latent infection screening before treatment greatly reduces this risk [BTS 2005; Carmona 2005].</w:t>
      </w:r>
      <w:r>
        <w:t xml:space="preserve"> </w:t>
      </w:r>
      <w:r>
        <w:t xml:space="preserve">-</w:t>
      </w:r>
      <w:r>
        <w:t xml:space="preserve"> </w:t>
      </w:r>
      <w:r>
        <w:rPr>
          <w:b/>
          <w:bCs/>
        </w:rPr>
        <w:t xml:space="preserve">Proton pump inhibitors:</w:t>
      </w:r>
      <w:r>
        <w:t xml:space="preserve"> </w:t>
      </w:r>
      <w:r>
        <w:t xml:space="preserve">associations with increased risk [Song 2019].</w:t>
      </w:r>
      <w:r>
        <w:t xml:space="preserve"> </w:t>
      </w:r>
      <w:r>
        <w:t xml:space="preserve">-</w:t>
      </w:r>
      <w:r>
        <w:t xml:space="preserve"> </w:t>
      </w:r>
      <w:r>
        <w:rPr>
          <w:b/>
          <w:bCs/>
        </w:rPr>
        <w:t xml:space="preserve">Statins and metformin:</w:t>
      </w:r>
      <w:r>
        <w:t xml:space="preserve"> </w:t>
      </w:r>
      <w:r>
        <w:t xml:space="preserve">associations with lower risk [Li 2020; Zhang 2020].</w:t>
      </w:r>
    </w:p>
    <w:p>
      <w:pPr>
        <w:pStyle w:val="BodyText"/>
      </w:pPr>
      <w:r>
        <w:t xml:space="preserve">Many of these estimates come from high-incidence settings or designs vulnerable to confounding</w:t>
      </w:r>
      <w:r>
        <w:t xml:space="preserve"> </w:t>
      </w:r>
      <w:r>
        <w:t xml:space="preserve">by indication and protopathic bias.</w:t>
      </w:r>
    </w:p>
    <w:p>
      <w:pPr>
        <w:pStyle w:val="BodyText"/>
      </w:pPr>
      <w:r>
        <w:rPr>
          <w:b/>
          <w:bCs/>
        </w:rPr>
        <w:t xml:space="preserve">Open data and their problems.</w:t>
      </w:r>
      <w:r>
        <w:t xml:space="preserve"> </w:t>
      </w:r>
      <w:r>
        <w:t xml:space="preserve">England publishes monthly prescribing for every general</w:t>
      </w:r>
      <w:r>
        <w:t xml:space="preserve"> </w:t>
      </w:r>
      <w:r>
        <w:t xml:space="preserve">practice, hospital medicines use by NHS trust, and TB notifications by local authority. Linking</w:t>
      </w:r>
      <w:r>
        <w:t xml:space="preserve"> </w:t>
      </w:r>
      <w:r>
        <w:t xml:space="preserve">these offers a low-cost way to generate or test hypotheses about medicines and TB. Such ecological</w:t>
      </w:r>
      <w:r>
        <w:t xml:space="preserve"> </w:t>
      </w:r>
      <w:r>
        <w:t xml:space="preserve">analyses face well-known problems:</w:t>
      </w:r>
      <w:r>
        <w:t xml:space="preserve"> </w:t>
      </w:r>
      <w:r>
        <w:t xml:space="preserve">- confounding by area characteristics;</w:t>
      </w:r>
      <w:r>
        <w:t xml:space="preserve"> </w:t>
      </w:r>
      <w:r>
        <w:t xml:space="preserve">- cross-level bias, which covariate adjustment cannot remove when effects differ between groups</w:t>
      </w:r>
      <w:r>
        <w:t xml:space="preserve"> </w:t>
      </w:r>
      <w:r>
        <w:t xml:space="preserve">[Greenland 1989; Morgenstern 1995];</w:t>
      </w:r>
      <w:r>
        <w:t xml:space="preserve"> </w:t>
      </w:r>
      <w:r>
        <w:t xml:space="preserve">- limited power, which depends on the number of areas [Sheppard 1996].</w:t>
      </w:r>
    </w:p>
    <w:p>
      <w:pPr>
        <w:pStyle w:val="BodyText"/>
      </w:pPr>
      <w:r>
        <w:t xml:space="preserve">The data carry specific problems too:</w:t>
      </w:r>
      <w:r>
        <w:t xml:space="preserve"> </w:t>
      </w:r>
      <w:r>
        <w:t xml:space="preserve">- practice lists are inflated in ways that track population mobility [Hudson 2025;</w:t>
      </w:r>
      <w:r>
        <w:t xml:space="preserve"> </w:t>
      </w:r>
      <w:r>
        <w:t xml:space="preserve">Venkatesan 2025];</w:t>
      </w:r>
      <w:r>
        <w:t xml:space="preserve"> </w:t>
      </w:r>
      <w:r>
        <w:t xml:space="preserve">- practice locations do not match where patients live;</w:t>
      </w:r>
      <w:r>
        <w:t xml:space="preserve"> </w:t>
      </w:r>
      <w:r>
        <w:t xml:space="preserve">- prescribing is patterned by deprivation and was disrupted by COVID-19 [Richards 2025];</w:t>
      </w:r>
      <w:r>
        <w:t xml:space="preserve"> </w:t>
      </w:r>
      <w:r>
        <w:t xml:space="preserve">- hospital-prescribed medicines are recorded separately from primary care [Bacon 2020].</w:t>
      </w:r>
    </w:p>
    <w:p>
      <w:pPr>
        <w:pStyle w:val="BodyText"/>
      </w:pPr>
      <w:r>
        <w:rPr>
          <w:b/>
          <w:bCs/>
        </w:rPr>
        <w:t xml:space="preserve">The gap.</w:t>
      </w:r>
      <w:r>
        <w:t xml:space="preserve"> </w:t>
      </w:r>
      <w:r>
        <w:t xml:space="preserve">We found no previous study linking area-level prescribing to TB. In analogous</w:t>
      </w:r>
      <w:r>
        <w:t xml:space="preserve"> </w:t>
      </w:r>
      <w:r>
        <w:t xml:space="preserve">settings, drugs with large individual effects produced weak population signals [Hermans 2015], and</w:t>
      </w:r>
      <w:r>
        <w:t xml:space="preserve"> </w:t>
      </w:r>
      <w:r>
        <w:t xml:space="preserve">between-area and within-area associations had opposite signs [Költringer 2023].</w:t>
      </w:r>
    </w:p>
    <w:p>
      <w:pPr>
        <w:pStyle w:val="BodyText"/>
      </w:pPr>
      <w:r>
        <w:rPr>
          <w:b/>
          <w:bCs/>
        </w:rPr>
        <w:t xml:space="preserve">This study.</w:t>
      </w:r>
      <w:r>
        <w:t xml:space="preserve"> </w:t>
      </w:r>
      <w:r>
        <w:t xml:space="preserve">We asked whether open English prescribing data can detect associations between</w:t>
      </w:r>
      <w:r>
        <w:t xml:space="preserve"> </w:t>
      </w:r>
      <w:r>
        <w:t xml:space="preserve">medicines and TB notifications at population level, and why they might not. We combined:</w:t>
      </w:r>
      <w:r>
        <w:t xml:space="preserve"> </w:t>
      </w:r>
      <w:r>
        <w:t xml:space="preserve">- cross-sectional and fixed-effects panel designs at two geographic scales;</w:t>
      </w:r>
      <w:r>
        <w:t xml:space="preserve"> </w:t>
      </w:r>
      <w:r>
        <w:t xml:space="preserve">- primary care prescribing apportioned to where registered patients live;</w:t>
      </w:r>
      <w:r>
        <w:t xml:space="preserve"> </w:t>
      </w:r>
      <w:r>
        <w:t xml:space="preserve">- hospital medicines apportioned by trust catchment, with a disease-specific positive control;</w:t>
      </w:r>
      <w:r>
        <w:t xml:space="preserve"> </w:t>
      </w:r>
      <w:r>
        <w:t xml:space="preserve">- negative-control exposures and falsification tests [Lipsitch 2010; Prasad 2013];</w:t>
      </w:r>
      <w:r>
        <w:t xml:space="preserve"> </w:t>
      </w:r>
      <w:r>
        <w:t xml:space="preserve">- regional analyses of TB in UK-born and older people.</w:t>
      </w:r>
    </w:p>
    <w:p>
      <w:pPr>
        <w:pStyle w:val="BodyText"/>
      </w:pPr>
      <w:r>
        <w:t xml:space="preserve">We compared the smallest effects these designs could detect, both analytically and by simulation,</w:t>
      </w:r>
      <w:r>
        <w:t xml:space="preserve"> </w:t>
      </w:r>
      <w:r>
        <w:t xml:space="preserve">with the population effects implied by published individual-level relative risks and by UKHSA</w:t>
      </w:r>
      <w:r>
        <w:t xml:space="preserve"> </w:t>
      </w:r>
      <w:r>
        <w:t xml:space="preserve">surveillance records of drug-associated TB.</w:t>
      </w:r>
    </w:p>
    <w:bookmarkEnd w:id="21"/>
    <w:bookmarkStart w:id="32" w:name="methods"/>
    <w:p>
      <w:pPr>
        <w:pStyle w:val="Heading2"/>
      </w:pPr>
      <w:r>
        <w:t xml:space="preserve">Methods</w:t>
      </w:r>
    </w:p>
    <w:bookmarkStart w:id="22" w:name="design-and-reporting"/>
    <w:p>
      <w:pPr>
        <w:pStyle w:val="Heading3"/>
      </w:pPr>
      <w:r>
        <w:t xml:space="preserve">Design and reporting</w:t>
      </w:r>
    </w:p>
    <w:p>
      <w:pPr>
        <w:pStyle w:val="FirstParagraph"/>
      </w:pPr>
      <w:r>
        <w:t xml:space="preserve">This study uses aggregate, openly published data in three linked ecological designs:</w:t>
      </w:r>
    </w:p>
    <w:p>
      <w:pPr>
        <w:pStyle w:val="Compact"/>
        <w:numPr>
          <w:ilvl w:val="0"/>
          <w:numId w:val="1001"/>
        </w:numPr>
      </w:pPr>
      <w:r>
        <w:t xml:space="preserve">a cross-sectional analysis;</w:t>
      </w:r>
    </w:p>
    <w:p>
      <w:pPr>
        <w:pStyle w:val="Compact"/>
        <w:numPr>
          <w:ilvl w:val="0"/>
          <w:numId w:val="1001"/>
        </w:numPr>
      </w:pPr>
      <w:r>
        <w:t xml:space="preserve">a longitudinal panel analysis of local authorities with area and year fixed effects;</w:t>
      </w:r>
    </w:p>
    <w:p>
      <w:pPr>
        <w:pStyle w:val="Compact"/>
        <w:numPr>
          <w:ilvl w:val="0"/>
          <w:numId w:val="1001"/>
        </w:numPr>
      </w:pPr>
      <w:r>
        <w:t xml:space="preserve">regional analyses by place of birth and age.</w:t>
      </w:r>
    </w:p>
    <w:p>
      <w:pPr>
        <w:pStyle w:val="FirstParagraph"/>
      </w:pPr>
      <w:r>
        <w:t xml:space="preserve">It was reported with reference to the RECORD and STROBE guidance. All data were public, aggregate</w:t>
      </w:r>
      <w:r>
        <w:t xml:space="preserve"> </w:t>
      </w:r>
      <w:r>
        <w:t xml:space="preserve">and anonymised, so ethical approval was not required. Code, processed data and outputs are</w:t>
      </w:r>
      <w:r>
        <w:t xml:space="preserve"> </w:t>
      </w:r>
      <w:r>
        <w:t xml:space="preserve">available at https://github.com/drcjar/tb-prescribing-england.</w:t>
      </w:r>
    </w:p>
    <w:p>
      <w:pPr>
        <w:pStyle w:val="BodyText"/>
      </w:pPr>
      <w:r>
        <w:rPr>
          <w:b/>
          <w:bCs/>
        </w:rPr>
        <w:t xml:space="preserve">Pre-specification.</w:t>
      </w:r>
      <w:r>
        <w:t xml:space="preserve"> </w:t>
      </w:r>
      <w:r>
        <w:t xml:space="preserve">The analysis developed in stages, and we report the chronology.</w:t>
      </w:r>
    </w:p>
    <w:p>
      <w:pPr>
        <w:pStyle w:val="Compact"/>
        <w:numPr>
          <w:ilvl w:val="0"/>
          <w:numId w:val="1002"/>
        </w:numPr>
      </w:pPr>
      <w:r>
        <w:rPr>
          <w:b/>
          <w:bCs/>
        </w:rPr>
        <w:t xml:space="preserve">First pass.</w:t>
      </w:r>
      <w:r>
        <w:t xml:space="preserve"> </w:t>
      </w:r>
      <w:r>
        <w:t xml:space="preserve">Before any results were seen, we specified the drug groups, including a</w:t>
      </w:r>
      <w:r>
        <w:t xml:space="preserve"> </w:t>
      </w:r>
      <w:r>
        <w:t xml:space="preserve">negative-control exposure (levothyroxine) and a positive control (primary care antituberculosis</w:t>
      </w:r>
      <w:r>
        <w:t xml:space="preserve"> </w:t>
      </w:r>
      <w:r>
        <w:t xml:space="preserve">prescribing), and the cross-sectional design. The first panel design was specified after the</w:t>
      </w:r>
      <w:r>
        <w:t xml:space="preserve"> </w:t>
      </w:r>
      <w:r>
        <w:t xml:space="preserve">cross-sectional results but before any panel results; it used three-year rolling notifications</w:t>
      </w:r>
      <w:r>
        <w:t xml:space="preserve"> </w:t>
      </w:r>
      <w:r>
        <w:t xml:space="preserve">and exposure in years</w:t>
      </w:r>
      <w:r>
        <w:t xml:space="preserve"> </w:t>
      </w:r>
      <w:r>
        <w:rPr>
          <w:i/>
          <w:iCs/>
        </w:rPr>
        <w:t xml:space="preserve">t</w:t>
      </w:r>
      <w:r>
        <w:t xml:space="preserve">−5 to</w:t>
      </w:r>
      <w:r>
        <w:t xml:space="preserve"> </w:t>
      </w:r>
      <w:r>
        <w:rPr>
          <w:i/>
          <w:iCs/>
        </w:rPr>
        <w:t xml:space="preserve">t</w:t>
      </w:r>
      <w:r>
        <w:t xml:space="preserve">−3. The pre-specified positive control failed: primary care</w:t>
      </w:r>
      <w:r>
        <w:t xml:space="preserve"> </w:t>
      </w:r>
      <w:r>
        <w:t xml:space="preserve">antituberculosis prescribing did not track notifications, because TB treatment is delivered by</w:t>
      </w:r>
      <w:r>
        <w:t xml:space="preserve"> </w:t>
      </w:r>
      <w:r>
        <w:t xml:space="preserve">specialist services. It was reclassified as descriptive.</w:t>
      </w:r>
    </w:p>
    <w:p>
      <w:pPr>
        <w:pStyle w:val="Compact"/>
        <w:numPr>
          <w:ilvl w:val="0"/>
          <w:numId w:val="1002"/>
        </w:numPr>
      </w:pPr>
      <w:r>
        <w:rPr>
          <w:b/>
          <w:bCs/>
        </w:rPr>
        <w:t xml:space="preserve">Later additions, made after those analyses gave null results:</w:t>
      </w:r>
    </w:p>
    <w:p>
      <w:pPr>
        <w:pStyle w:val="Compact"/>
        <w:numPr>
          <w:ilvl w:val="1"/>
          <w:numId w:val="1003"/>
        </w:numPr>
      </w:pPr>
      <w:r>
        <w:t xml:space="preserve">annual outcomes;</w:t>
      </w:r>
    </w:p>
    <w:p>
      <w:pPr>
        <w:pStyle w:val="Compact"/>
        <w:numPr>
          <w:ilvl w:val="1"/>
          <w:numId w:val="1003"/>
        </w:numPr>
      </w:pPr>
      <w:r>
        <w:t xml:space="preserve">lower-tier authorities;</w:t>
      </w:r>
    </w:p>
    <w:p>
      <w:pPr>
        <w:pStyle w:val="Compact"/>
        <w:numPr>
          <w:ilvl w:val="1"/>
          <w:numId w:val="1003"/>
        </w:numPr>
      </w:pPr>
      <w:r>
        <w:t xml:space="preserve">hospital medicines and their controls;</w:t>
      </w:r>
    </w:p>
    <w:p>
      <w:pPr>
        <w:pStyle w:val="Compact"/>
        <w:numPr>
          <w:ilvl w:val="1"/>
          <w:numId w:val="1003"/>
        </w:numPr>
      </w:pPr>
      <w:r>
        <w:t xml:space="preserve">regional analyses by birthplace and age;</w:t>
      </w:r>
    </w:p>
    <w:p>
      <w:pPr>
        <w:pStyle w:val="Compact"/>
        <w:numPr>
          <w:ilvl w:val="1"/>
          <w:numId w:val="1003"/>
        </w:numPr>
      </w:pPr>
      <w:r>
        <w:t xml:space="preserve">power simulation;</w:t>
      </w:r>
    </w:p>
    <w:p>
      <w:pPr>
        <w:pStyle w:val="Compact"/>
        <w:numPr>
          <w:ilvl w:val="1"/>
          <w:numId w:val="1003"/>
        </w:numPr>
      </w:pPr>
      <w:r>
        <w:t xml:space="preserve">spatial diagnostics.</w:t>
      </w:r>
    </w:p>
    <w:p>
      <w:pPr>
        <w:pStyle w:val="Compact"/>
        <w:numPr>
          <w:ilvl w:val="0"/>
          <w:numId w:val="1002"/>
        </w:numPr>
      </w:pPr>
      <w:r>
        <w:rPr>
          <w:b/>
          <w:bCs/>
        </w:rPr>
        <w:t xml:space="preserve">Revisions after peer review:</w:t>
      </w:r>
    </w:p>
    <w:p>
      <w:pPr>
        <w:pStyle w:val="Compact"/>
        <w:numPr>
          <w:ilvl w:val="1"/>
          <w:numId w:val="1004"/>
        </w:numPr>
      </w:pPr>
      <w:r>
        <w:t xml:space="preserve">drug groups redefined;</w:t>
      </w:r>
    </w:p>
    <w:p>
      <w:pPr>
        <w:pStyle w:val="Compact"/>
        <w:numPr>
          <w:ilvl w:val="1"/>
          <w:numId w:val="1004"/>
        </w:numPr>
      </w:pPr>
      <w:r>
        <w:t xml:space="preserve">prescribing apportioned by patient residence;</w:t>
      </w:r>
    </w:p>
    <w:p>
      <w:pPr>
        <w:pStyle w:val="Compact"/>
        <w:numPr>
          <w:ilvl w:val="1"/>
          <w:numId w:val="1004"/>
        </w:numPr>
      </w:pPr>
      <w:r>
        <w:t xml:space="preserve">exposure in year</w:t>
      </w:r>
      <w:r>
        <w:t xml:space="preserve"> </w:t>
      </w:r>
      <w:r>
        <w:rPr>
          <w:i/>
          <w:iCs/>
        </w:rPr>
        <w:t xml:space="preserve">t</w:t>
      </w:r>
      <w:r>
        <w:t xml:space="preserve">−1 as primary;</w:t>
      </w:r>
    </w:p>
    <w:p>
      <w:pPr>
        <w:pStyle w:val="Compact"/>
        <w:numPr>
          <w:ilvl w:val="1"/>
          <w:numId w:val="1004"/>
        </w:numPr>
      </w:pPr>
      <w:r>
        <w:t xml:space="preserve">lag and lead estimated jointly;</w:t>
      </w:r>
    </w:p>
    <w:p>
      <w:pPr>
        <w:pStyle w:val="Compact"/>
        <w:numPr>
          <w:ilvl w:val="1"/>
          <w:numId w:val="1004"/>
        </w:numPr>
      </w:pPr>
      <w:r>
        <w:t xml:space="preserve">randomisation inference;</w:t>
      </w:r>
    </w:p>
    <w:p>
      <w:pPr>
        <w:pStyle w:val="Compact"/>
        <w:numPr>
          <w:ilvl w:val="1"/>
          <w:numId w:val="1004"/>
        </w:numPr>
      </w:pPr>
      <w:r>
        <w:t xml:space="preserve">additional covariates;</w:t>
      </w:r>
    </w:p>
    <w:p>
      <w:pPr>
        <w:pStyle w:val="Compact"/>
        <w:numPr>
          <w:ilvl w:val="1"/>
          <w:numId w:val="1004"/>
        </w:numPr>
      </w:pPr>
      <w:r>
        <w:t xml:space="preserve">after the second round: correction of the GP practice restriction, redefinition of the</w:t>
      </w:r>
      <w:r>
        <w:t xml:space="preserve"> </w:t>
      </w:r>
      <w:r>
        <w:t xml:space="preserve">hospital positive control and glucocorticoid exposure, joint models of previous, same and</w:t>
      </w:r>
      <w:r>
        <w:t xml:space="preserve"> </w:t>
      </w:r>
      <w:r>
        <w:t xml:space="preserve">following years, and randomisation inference on the</w:t>
      </w:r>
      <w:r>
        <w:t xml:space="preserve"> </w:t>
      </w:r>
      <w:r>
        <w:rPr>
          <w:i/>
          <w:iCs/>
        </w:rPr>
        <w:t xml:space="preserve">t</w:t>
      </w:r>
      <w:r>
        <w:t xml:space="preserve"> </w:t>
      </w:r>
      <w:r>
        <w:t xml:space="preserve">statistic.</w:t>
      </w:r>
    </w:p>
    <w:p>
      <w:pPr>
        <w:pStyle w:val="FirstParagraph"/>
      </w:pPr>
      <w:r>
        <w:t xml:space="preserve">All analyses after the first pass are exploratory. Estimates from the original panel design are</w:t>
      </w:r>
      <w:r>
        <w:t xml:space="preserve"> </w:t>
      </w:r>
      <w:r>
        <w:t xml:space="preserve">given in Table S8.</w:t>
      </w:r>
    </w:p>
    <w:bookmarkEnd w:id="22"/>
    <w:bookmarkStart w:id="26" w:name="assumed-causal-structure"/>
    <w:p>
      <w:pPr>
        <w:pStyle w:val="Heading3"/>
      </w:pPr>
      <w:r>
        <w:t xml:space="preserve">Assumed causal structure</w:t>
      </w:r>
    </w:p>
    <w:p>
      <w:pPr>
        <w:pStyle w:val="FirstParagraph"/>
      </w:pPr>
      <w:r>
        <w:t xml:space="preserve">Figure 1 sets out the assumed causal structure. It shows which factors are absorbed by area and year</w:t>
      </w:r>
      <w:r>
        <w:t xml:space="preserve"> </w:t>
      </w:r>
      <w:r>
        <w:t xml:space="preserve">fixed effects, which are measured and adjusted for, and which remain unmeasured. The primary</w:t>
      </w:r>
      <w:r>
        <w:t xml:space="preserve"> </w:t>
      </w:r>
      <w:r>
        <w:t xml:space="preserve">exposure is prescribing in the year before the outcome year, because same-year prescribing may be</w:t>
      </w:r>
      <w:r>
        <w:t xml:space="preserve"> </w:t>
      </w:r>
      <w:r>
        <w:t xml:space="preserve">prescribing for undiagnosed TB (protopathic bias).</w:t>
      </w:r>
    </w:p>
    <w:p>
      <w:pPr>
        <w:pStyle w:val="CaptionedFigure"/>
      </w:pPr>
      <w:r>
        <w:drawing>
          <wp:inline>
            <wp:extent cx="5334000" cy="3751405"/>
            <wp:effectExtent b="0" l="0" r="0" t="0"/>
            <wp:docPr descr="Figure 1. Assumed causal structure for area-level prescribing and TB notifications. Area fixed effects absorb stable area characteristics; year fixed effects absorb national shocks; time-varying measured factors are adjusted for; dashed nodes are unmeasured. Same-year prescribing for undiagnosed TB (protopathic bias) motivates the use of prescribing in the previous year." title="" id="24" name="Picture"/>
            <a:graphic>
              <a:graphicData uri="http://schemas.openxmlformats.org/drawingml/2006/picture">
                <pic:pic>
                  <pic:nvPicPr>
                    <pic:cNvPr descr="figures/dag.png" id="25" name="Picture"/>
                    <pic:cNvPicPr>
                      <a:picLocks noChangeArrowheads="1" noChangeAspect="1"/>
                    </pic:cNvPicPr>
                  </pic:nvPicPr>
                  <pic:blipFill>
                    <a:blip r:embed="rId23"/>
                    <a:stretch>
                      <a:fillRect/>
                    </a:stretch>
                  </pic:blipFill>
                  <pic:spPr bwMode="auto">
                    <a:xfrm>
                      <a:off x="0" y="0"/>
                      <a:ext cx="5334000" cy="3751405"/>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Assumed causal structure for area-level prescribing and TB notifications. Area fixed effects absorb stable area characteristics; year fixed effects absorb national shocks; time-varying measured factors are adjusted for; dashed nodes are unmeasured. Same-year prescribing for undiagnosed TB (protopathic bias) motivates the use of prescribing in the previous year.</w:t>
      </w:r>
    </w:p>
    <w:bookmarkEnd w:id="26"/>
    <w:bookmarkStart w:id="27" w:name="tb-notifications"/>
    <w:p>
      <w:pPr>
        <w:pStyle w:val="Heading3"/>
      </w:pPr>
      <w:r>
        <w:t xml:space="preserve">TB notifications</w:t>
      </w:r>
    </w:p>
    <w:p>
      <w:pPr>
        <w:pStyle w:val="FirstParagraph"/>
      </w:pPr>
      <w:r>
        <w:t xml:space="preserve">TB notifications are cases reported to UKHSA surveillance: the Enhanced TB Surveillance system</w:t>
      </w:r>
      <w:r>
        <w:t xml:space="preserve"> </w:t>
      </w:r>
      <w:r>
        <w:t xml:space="preserve">(ETS) until 2021, and the National TB Surveillance System (NTBS) since, into which data from 2018</w:t>
      </w:r>
      <w:r>
        <w:t xml:space="preserve"> </w:t>
      </w:r>
      <w:r>
        <w:t xml:space="preserve">onwards were migrated. Cases are culture-confirmed or clinically diagnosed, and are assigned to</w:t>
      </w:r>
      <w:r>
        <w:t xml:space="preserve"> </w:t>
      </w:r>
      <w:r>
        <w:t xml:space="preserve">areas by residential postcode at notification.</w:t>
      </w:r>
    </w:p>
    <w:p>
      <w:pPr>
        <w:pStyle w:val="BodyText"/>
      </w:pPr>
      <w:r>
        <w:t xml:space="preserve">We used four sources:</w:t>
      </w:r>
    </w:p>
    <w:p>
      <w:pPr>
        <w:pStyle w:val="Compact"/>
        <w:numPr>
          <w:ilvl w:val="0"/>
          <w:numId w:val="1005"/>
        </w:numPr>
      </w:pPr>
      <w:r>
        <w:rPr>
          <w:b/>
          <w:bCs/>
        </w:rPr>
        <w:t xml:space="preserve">Annual counts by local authority, 2001–2024.</w:t>
      </w:r>
    </w:p>
    <w:p>
      <w:pPr>
        <w:pStyle w:val="Compact"/>
        <w:numPr>
          <w:ilvl w:val="1"/>
          <w:numId w:val="1006"/>
        </w:numPr>
      </w:pPr>
      <w:r>
        <w:rPr>
          <w:i/>
          <w:iCs/>
        </w:rPr>
        <w:t xml:space="preserve">Source:</w:t>
      </w:r>
      <w:r>
        <w:t xml:space="preserve"> </w:t>
      </w:r>
      <w:r>
        <w:t xml:space="preserve">UKHSA TB regional reports 2024, supplementary tables.</w:t>
      </w:r>
    </w:p>
    <w:p>
      <w:pPr>
        <w:pStyle w:val="Compact"/>
        <w:numPr>
          <w:ilvl w:val="1"/>
          <w:numId w:val="1006"/>
        </w:numPr>
      </w:pPr>
      <w:r>
        <w:rPr>
          <w:i/>
          <w:iCs/>
        </w:rPr>
        <w:t xml:space="preserve">Coverage:</w:t>
      </w:r>
      <w:r>
        <w:t xml:space="preserve"> </w:t>
      </w:r>
      <w:r>
        <w:t xml:space="preserve">upper-tier authorities (UTLAs) and lower-tier authorities (LTLAs) on April 2023</w:t>
      </w:r>
      <w:r>
        <w:t xml:space="preserve"> </w:t>
      </w:r>
      <w:r>
        <w:t xml:space="preserve">boundaries. UKHSA combines the City of London with Hackney and the Isles of Scilly with</w:t>
      </w:r>
      <w:r>
        <w:t xml:space="preserve"> </w:t>
      </w:r>
      <w:r>
        <w:t xml:space="preserve">Cornwall. We combined population, covariates and prescribing in the same way at both levels,</w:t>
      </w:r>
      <w:r>
        <w:t xml:space="preserve"> </w:t>
      </w:r>
      <w:r>
        <w:t xml:space="preserve">giving 151 UTLAs and 294 LTLAs.</w:t>
      </w:r>
    </w:p>
    <w:p>
      <w:pPr>
        <w:pStyle w:val="Compact"/>
        <w:numPr>
          <w:ilvl w:val="1"/>
          <w:numId w:val="1006"/>
        </w:numPr>
      </w:pPr>
      <w:r>
        <w:rPr>
          <w:i/>
          <w:iCs/>
        </w:rPr>
        <w:t xml:space="preserve">Consistency:</w:t>
      </w:r>
      <w:r>
        <w:t xml:space="preserve"> </w:t>
      </w:r>
      <w:r>
        <w:t xml:space="preserve">summed over three years, these counts matched the Fingertips three-year counts</w:t>
      </w:r>
      <w:r>
        <w:t xml:space="preserve"> </w:t>
      </w:r>
      <w:r>
        <w:t xml:space="preserve">(r = 0.996). Local authority sums slightly exceed national totals (5,539 vs 5,490 in 2024),</w:t>
      </w:r>
      <w:r>
        <w:t xml:space="preserve"> </w:t>
      </w:r>
      <w:r>
        <w:t xml:space="preserve">possibly reflecting different extract dates or residence-assignment rules.</w:t>
      </w:r>
    </w:p>
    <w:p>
      <w:pPr>
        <w:pStyle w:val="Compact"/>
        <w:numPr>
          <w:ilvl w:val="1"/>
          <w:numId w:val="1006"/>
        </w:numPr>
      </w:pPr>
      <w:r>
        <w:rPr>
          <w:i/>
          <w:iCs/>
        </w:rPr>
        <w:t xml:space="preserve">Details not given in the tables:</w:t>
      </w:r>
      <w:r>
        <w:t xml:space="preserve"> </w:t>
      </w:r>
      <w:r>
        <w:t xml:space="preserve">counts are by year of notification. How people without a</w:t>
      </w:r>
      <w:r>
        <w:t xml:space="preserve"> </w:t>
      </w:r>
      <w:r>
        <w:t xml:space="preserve">residential postcode (for example, no fixed abode) are assigned is not described. Area-years</w:t>
      </w:r>
      <w:r>
        <w:t xml:space="preserve"> </w:t>
      </w:r>
      <w:r>
        <w:t xml:space="preserve">with no notifications were retained.</w:t>
      </w:r>
    </w:p>
    <w:p>
      <w:pPr>
        <w:pStyle w:val="Compact"/>
        <w:numPr>
          <w:ilvl w:val="0"/>
          <w:numId w:val="1005"/>
        </w:numPr>
      </w:pPr>
      <w:r>
        <w:rPr>
          <w:b/>
          <w:bCs/>
        </w:rPr>
        <w:t xml:space="preserve">Region × place of birth × year, 2000–2024</w:t>
      </w:r>
      <w:r>
        <w:t xml:space="preserve">, with Labour Force Survey denominators:</w:t>
      </w:r>
      <w:r>
        <w:t xml:space="preserve"> </w:t>
      </w:r>
      <w:r>
        <w:rPr>
          <w:i/>
          <w:iCs/>
        </w:rPr>
        <w:t xml:space="preserve">TB in</w:t>
      </w:r>
      <w:r>
        <w:rPr>
          <w:i/>
          <w:iCs/>
        </w:rPr>
        <w:t xml:space="preserve"> </w:t>
      </w:r>
      <w:r>
        <w:rPr>
          <w:i/>
          <w:iCs/>
        </w:rPr>
        <w:t xml:space="preserve">England 2025</w:t>
      </w:r>
      <w:r>
        <w:t xml:space="preserve">, Supplementary Table 12.</w:t>
      </w:r>
    </w:p>
    <w:p>
      <w:pPr>
        <w:pStyle w:val="Compact"/>
        <w:numPr>
          <w:ilvl w:val="0"/>
          <w:numId w:val="1005"/>
        </w:numPr>
      </w:pPr>
      <w:r>
        <w:rPr>
          <w:b/>
          <w:bCs/>
        </w:rPr>
        <w:t xml:space="preserve">Region × place of birth × age group × year</w:t>
      </w:r>
      <w:r>
        <w:t xml:space="preserve">: regional reports, Table 9.</w:t>
      </w:r>
    </w:p>
    <w:p>
      <w:pPr>
        <w:pStyle w:val="Compact"/>
        <w:numPr>
          <w:ilvl w:val="0"/>
          <w:numId w:val="1005"/>
        </w:numPr>
      </w:pPr>
      <w:r>
        <w:rPr>
          <w:b/>
          <w:bCs/>
        </w:rPr>
        <w:t xml:space="preserve">National notifications with recorded immunosuppression by cause, 2024</w:t>
      </w:r>
      <w:r>
        <w:t xml:space="preserve">:</w:t>
      </w:r>
      <w:r>
        <w:t xml:space="preserve"> </w:t>
      </w:r>
      <w:r>
        <w:rPr>
          <w:i/>
          <w:iCs/>
        </w:rPr>
        <w:t xml:space="preserve">TB in England 2025</w:t>
      </w:r>
      <w:r>
        <w:t xml:space="preserve">,</w:t>
      </w:r>
      <w:r>
        <w:t xml:space="preserve"> </w:t>
      </w:r>
      <w:r>
        <w:t xml:space="preserve">chapter 1.</w:t>
      </w:r>
    </w:p>
    <w:p>
      <w:pPr>
        <w:pStyle w:val="FirstParagraph"/>
      </w:pPr>
      <w:r>
        <w:t xml:space="preserve">The 2020 fall in notifications is thought to reflect service disruption rather than a true</w:t>
      </w:r>
      <w:r>
        <w:t xml:space="preserve"> </w:t>
      </w:r>
      <w:r>
        <w:t xml:space="preserve">reduction in incidence.</w:t>
      </w:r>
    </w:p>
    <w:bookmarkEnd w:id="27"/>
    <w:bookmarkStart w:id="28" w:name="primary-care-prescribing"/>
    <w:p>
      <w:pPr>
        <w:pStyle w:val="Heading3"/>
      </w:pPr>
      <w:r>
        <w:t xml:space="preserve">Primary care prescribing</w:t>
      </w:r>
    </w:p>
    <w:p>
      <w:pPr>
        <w:pStyle w:val="FirstParagraph"/>
      </w:pPr>
      <w:r>
        <w:rPr>
          <w:b/>
          <w:bCs/>
        </w:rPr>
        <w:t xml:space="preserve">Sources.</w:t>
      </w:r>
      <w:r>
        <w:t xml:space="preserve"> </w:t>
      </w:r>
      <w:r>
        <w:t xml:space="preserve">-</w:t>
      </w:r>
      <w:r>
        <w:t xml:space="preserve"> </w:t>
      </w:r>
      <w:r>
        <w:rPr>
          <w:b/>
          <w:bCs/>
        </w:rPr>
        <w:t xml:space="preserve">2010–2013:</w:t>
      </w:r>
      <w:r>
        <w:t xml:space="preserve"> </w:t>
      </w:r>
      <w:r>
        <w:t xml:space="preserve">HSCIC practice-level prescribing (PDPI), August 2010–December 2013.</w:t>
      </w:r>
      <w:r>
        <w:t xml:space="preserve"> </w:t>
      </w:r>
      <w:r>
        <w:t xml:space="preserve">-</w:t>
      </w:r>
      <w:r>
        <w:t xml:space="preserve"> </w:t>
      </w:r>
      <w:r>
        <w:rPr>
          <w:b/>
          <w:bCs/>
        </w:rPr>
        <w:t xml:space="preserve">2014–2024:</w:t>
      </w:r>
      <w:r>
        <w:t xml:space="preserve"> </w:t>
      </w:r>
      <w:r>
        <w:t xml:space="preserve">NHSBSA English Prescribing Dataset (EPD).</w:t>
      </w:r>
    </w:p>
    <w:p>
      <w:pPr>
        <w:pStyle w:val="BodyText"/>
      </w:pPr>
      <w:r>
        <w:t xml:space="preserve">Both record items dispensed in the community from primary care prescriptions. We aggregated each</w:t>
      </w:r>
      <w:r>
        <w:t xml:space="preserve"> </w:t>
      </w:r>
      <w:r>
        <w:t xml:space="preserve">month to practice level using identical drug-group rules. For the EPD this was done with</w:t>
      </w:r>
      <w:r>
        <w:t xml:space="preserve"> </w:t>
      </w:r>
      <w:r>
        <w:t xml:space="preserve">server-side SQL.</w:t>
      </w:r>
    </w:p>
    <w:p>
      <w:pPr>
        <w:pStyle w:val="BodyText"/>
      </w:pPr>
      <w:r>
        <w:rPr>
          <w:b/>
          <w:bCs/>
        </w:rPr>
        <w:t xml:space="preserve">Practices included.</w:t>
      </w:r>
      <w:r>
        <w:t xml:space="preserve"> </w:t>
      </w:r>
      <w:r>
        <w:t xml:space="preserve">We restricted to standard GP practices: practices with NHS ODS</w:t>
      </w:r>
      <w:r>
        <w:t xml:space="preserve"> </w:t>
      </w:r>
      <w:r>
        <w:t xml:space="preserve">prescribing setting RO76, plus practice codes absent from the current ODS file (which omits</w:t>
      </w:r>
      <w:r>
        <w:t xml:space="preserve"> </w:t>
      </w:r>
      <w:r>
        <w:t xml:space="preserve">practices closed before 2017) that have the standard GP practice code format (a letter and five</w:t>
      </w:r>
      <w:r>
        <w:t xml:space="preserve"> </w:t>
      </w:r>
      <w:r>
        <w:t xml:space="preserve">digits; this format matches 94% of RO76 codes and few codes in other settings). Without this</w:t>
      </w:r>
      <w:r>
        <w:t xml:space="preserve"> </w:t>
      </w:r>
      <w:r>
        <w:t xml:space="preserve">addition, prescribing by practices that later closed would have been dropped unevenly over time:</w:t>
      </w:r>
      <w:r>
        <w:t xml:space="preserve"> </w:t>
      </w:r>
      <w:r>
        <w:t xml:space="preserve">3.8% of items in 2011, 1.9% in 2014 and none from 2016.</w:t>
      </w:r>
    </w:p>
    <w:p>
      <w:pPr>
        <w:pStyle w:val="BodyText"/>
      </w:pPr>
      <w:r>
        <w:rPr>
          <w:b/>
          <w:bCs/>
        </w:rPr>
        <w:t xml:space="preserve">Drug groups.</w:t>
      </w:r>
      <w:r>
        <w:t xml:space="preserve"> </w:t>
      </w:r>
      <w:r>
        <w:t xml:space="preserve">Groups were defined at BNF presentation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Group</w:t>
            </w:r>
          </w:p>
        </w:tc>
        <w:tc>
          <w:tcPr/>
          <w:p>
            <w:pPr>
              <w:pStyle w:val="Compact"/>
              <w:jc w:val="left"/>
            </w:pPr>
            <w:r>
              <w:t xml:space="preserve">Definition</w:t>
            </w:r>
          </w:p>
        </w:tc>
      </w:tr>
      <w:tr>
        <w:tc>
          <w:tcPr/>
          <w:p>
            <w:pPr>
              <w:pStyle w:val="Compact"/>
              <w:jc w:val="left"/>
            </w:pPr>
            <w:r>
              <w:t xml:space="preserve">Systemic oral glucocorticoids</w:t>
            </w:r>
          </w:p>
        </w:tc>
        <w:tc>
          <w:tcPr/>
          <w:p>
            <w:pPr>
              <w:pStyle w:val="Compact"/>
              <w:jc w:val="left"/>
            </w:pPr>
            <w:r>
              <w:t xml:space="preserve">Prednisolone, prednisone, methylprednisolone, deflazacort and dexamethasone. Injectables, hydrocortisone (mainly replacement therapy) and betamethasone soluble tablets excluded. Oral hydrocortisone and oral dexamethasone are also reported separately.</w:t>
            </w:r>
          </w:p>
        </w:tc>
      </w:tr>
      <w:tr>
        <w:tc>
          <w:tcPr/>
          <w:p>
            <w:pPr>
              <w:pStyle w:val="Compact"/>
              <w:jc w:val="left"/>
            </w:pPr>
            <w:r>
              <w:t xml:space="preserve">Inhaled corticosteroids</w:t>
            </w:r>
          </w:p>
        </w:tc>
        <w:tc>
          <w:tcPr/>
          <w:p>
            <w:pPr>
              <w:pStyle w:val="Compact"/>
              <w:jc w:val="left"/>
            </w:pPr>
            <w:r>
              <w:t xml:space="preserve">—</w:t>
            </w:r>
          </w:p>
        </w:tc>
      </w:tr>
      <w:tr>
        <w:tc>
          <w:tcPr/>
          <w:p>
            <w:pPr>
              <w:pStyle w:val="Compact"/>
              <w:jc w:val="left"/>
            </w:pPr>
            <w:r>
              <w:t xml:space="preserve">Conventional DMARDs</w:t>
            </w:r>
          </w:p>
        </w:tc>
        <w:tc>
          <w:tcPr/>
          <w:p>
            <w:pPr>
              <w:pStyle w:val="Compact"/>
              <w:jc w:val="left"/>
            </w:pPr>
            <w:r>
              <w:t xml:space="preserve">Rheumatology methotrexate (including subcutaneous), leflunomide, azathioprine, mercaptopurine.</w:t>
            </w:r>
          </w:p>
        </w:tc>
      </w:tr>
      <w:tr>
        <w:tc>
          <w:tcPr/>
          <w:p>
            <w:pPr>
              <w:pStyle w:val="Compact"/>
              <w:jc w:val="left"/>
            </w:pPr>
            <w:r>
              <w:t xml:space="preserve">Transplant immunosuppressants</w:t>
            </w:r>
          </w:p>
        </w:tc>
        <w:tc>
          <w:tcPr/>
          <w:p>
            <w:pPr>
              <w:pStyle w:val="Compact"/>
              <w:jc w:val="left"/>
            </w:pPr>
            <w:r>
              <w:t xml:space="preserve">Tacrolimus, ciclosporin, mycophenolate, sirolimus, everolimus.</w:t>
            </w:r>
          </w:p>
        </w:tc>
      </w:tr>
      <w:tr>
        <w:tc>
          <w:tcPr/>
          <w:p>
            <w:pPr>
              <w:pStyle w:val="Compact"/>
              <w:jc w:val="left"/>
            </w:pPr>
            <w:r>
              <w:t xml:space="preserve">Other groups</w:t>
            </w:r>
          </w:p>
        </w:tc>
        <w:tc>
          <w:tcPr/>
          <w:p>
            <w:pPr>
              <w:pStyle w:val="Compact"/>
              <w:jc w:val="left"/>
            </w:pPr>
            <w:r>
              <w:t xml:space="preserve">Proton pump inhibitors; statins; metformin; insulins; fluoroquinolones; all antibacterials; vitamin D.</w:t>
            </w:r>
          </w:p>
        </w:tc>
      </w:tr>
      <w:tr>
        <w:tc>
          <w:tcPr/>
          <w:p>
            <w:pPr>
              <w:pStyle w:val="Compact"/>
              <w:jc w:val="left"/>
            </w:pPr>
            <w:r>
              <w:t xml:space="preserve">Descriptive only</w:t>
            </w:r>
          </w:p>
        </w:tc>
        <w:tc>
          <w:tcPr/>
          <w:p>
            <w:pPr>
              <w:pStyle w:val="Compact"/>
              <w:jc w:val="left"/>
            </w:pPr>
            <w:r>
              <w:t xml:space="preserve">Antituberculosis drugs: TB treatment in England is delivered by specialist services, so primary care prescribing of these drugs is not a valid positive control.</w:t>
            </w:r>
          </w:p>
        </w:tc>
      </w:tr>
      <w:tr>
        <w:tc>
          <w:tcPr/>
          <w:p>
            <w:pPr>
              <w:pStyle w:val="Compact"/>
              <w:jc w:val="left"/>
            </w:pPr>
            <w:r>
              <w:t xml:space="preserve">Negative control exposure</w:t>
            </w:r>
          </w:p>
        </w:tc>
        <w:tc>
          <w:tcPr/>
          <w:p>
            <w:pPr>
              <w:pStyle w:val="Compact"/>
              <w:jc w:val="left"/>
            </w:pPr>
            <w:r>
              <w:t xml:space="preserve">Levothyroxine.</w:t>
            </w:r>
          </w:p>
        </w:tc>
      </w:tr>
    </w:tbl>
    <w:p>
      <w:pPr>
        <w:pStyle w:val="BodyText"/>
      </w:pPr>
      <w:r>
        <w:t xml:space="preserve">Eye, ear, nose and skin preparations were excluded.</w:t>
      </w:r>
    </w:p>
    <w:p>
      <w:pPr>
        <w:pStyle w:val="BodyText"/>
      </w:pPr>
      <w:r>
        <w:rPr>
          <w:b/>
          <w:bCs/>
        </w:rPr>
        <w:t xml:space="preserve">Exposure measures.</w:t>
      </w:r>
      <w:r>
        <w:t xml:space="preserve"> </w:t>
      </w:r>
      <w:r>
        <w:t xml:space="preserve">- Items per 1,000 residents per year (primary).</w:t>
      </w:r>
      <w:r>
        <w:t xml:space="preserve"> </w:t>
      </w:r>
      <w:r>
        <w:t xml:space="preserve">- Prednisolone-equivalent milligrams for systemic oral glucocorticoids: strength × quantity ×</w:t>
      </w:r>
      <w:r>
        <w:t xml:space="preserve"> </w:t>
      </w:r>
      <w:r>
        <w:t xml:space="preserve">potency, with dexamethasone 6.67, methylprednisolone 1.25 and deflazacort 0.83.</w:t>
      </w:r>
      <w:r>
        <w:t xml:space="preserve"> </w:t>
      </w:r>
      <w:r>
        <w:t xml:space="preserve">- Average daily quantities (ADQ) for the groups where the EPD populates them.</w:t>
      </w:r>
    </w:p>
    <w:p>
      <w:pPr>
        <w:pStyle w:val="BodyText"/>
      </w:pPr>
      <w:r>
        <w:rPr>
          <w:b/>
          <w:bCs/>
        </w:rPr>
        <w:t xml:space="preserve">Apportionment to areas.</w:t>
      </w:r>
      <w:r>
        <w:t xml:space="preserve"> </w:t>
      </w:r>
      <w:r>
        <w:t xml:space="preserve">Each practice’s annual prescribing was shared across local authority</w:t>
      </w:r>
      <w:r>
        <w:t xml:space="preserve"> </w:t>
      </w:r>
      <w:r>
        <w:t xml:space="preserve">districts in proportion to where its registered patients lived, using NHS Digital counts of</w:t>
      </w:r>
      <w:r>
        <w:t xml:space="preserve"> </w:t>
      </w:r>
      <w:r>
        <w:t xml:space="preserve">patients registered at each practice by LSOA:</w:t>
      </w:r>
      <w:r>
        <w:t xml:space="preserve"> </w:t>
      </w:r>
      <w:r>
        <w:t xml:space="preserve">- April releases from 2014 to 2024 were used, each practice-year taking that practice’s nearest</w:t>
      </w:r>
      <w:r>
        <w:t xml:space="preserve"> </w:t>
      </w:r>
      <w:r>
        <w:t xml:space="preserve">release in time (so 2014 shares were applied to 2011–2013);</w:t>
      </w:r>
      <w:r>
        <w:t xml:space="preserve"> </w:t>
      </w:r>
      <w:r>
        <w:t xml:space="preserve">- practices in no release (closed before April 2014) were assigned to the district of their</w:t>
      </w:r>
      <w:r>
        <w:t xml:space="preserve"> </w:t>
      </w:r>
      <w:r>
        <w:t xml:space="preserve">postcode;</w:t>
      </w:r>
      <w:r>
        <w:t xml:space="preserve"> </w:t>
      </w:r>
      <w:r>
        <w:t xml:space="preserve">- LSOAs were mapped to April 2023 districts.</w:t>
      </w:r>
    </w:p>
    <w:p>
      <w:pPr>
        <w:pStyle w:val="BodyText"/>
      </w:pPr>
      <w:r>
        <w:t xml:space="preserve">Assigning each practice to the district containing its postcode was a sensitivity analysis. In</w:t>
      </w:r>
      <w:r>
        <w:t xml:space="preserve"> </w:t>
      </w:r>
      <w:r>
        <w:t xml:space="preserve">2024, 7.3% of registered patients lived outside the district of their practice.</w:t>
      </w:r>
    </w:p>
    <w:p>
      <w:pPr>
        <w:pStyle w:val="BodyText"/>
      </w:pPr>
      <w:r>
        <w:rPr>
          <w:b/>
          <w:bCs/>
        </w:rPr>
        <w:t xml:space="preserve">Denominators.</w:t>
      </w:r>
      <w:r>
        <w:t xml:space="preserve"> </w:t>
      </w:r>
      <w:r>
        <w:t xml:space="preserve">ONS mid-year resident population estimates.</w:t>
      </w:r>
    </w:p>
    <w:bookmarkEnd w:id="28"/>
    <w:bookmarkStart w:id="29" w:name="hospital-medicines"/>
    <w:p>
      <w:pPr>
        <w:pStyle w:val="Heading3"/>
      </w:pPr>
      <w:r>
        <w:t xml:space="preserve">Hospital medicines</w:t>
      </w:r>
    </w:p>
    <w:p>
      <w:pPr>
        <w:pStyle w:val="FirstParagraph"/>
      </w:pPr>
      <w:r>
        <w:rPr>
          <w:b/>
          <w:bCs/>
        </w:rPr>
        <w:t xml:space="preserve">Source and period.</w:t>
      </w:r>
      <w:r>
        <w:t xml:space="preserve"> </w:t>
      </w:r>
      <w:r>
        <w:t xml:space="preserve">NHS Secondary Care Medicines Data (SCMD; NHSBSA), which gives trust × month ×</w:t>
      </w:r>
      <w:r>
        <w:t xml:space="preserve"> </w:t>
      </w:r>
      <w:r>
        <w:t xml:space="preserve">product quantities. We used January 2019 to December 2024.</w:t>
      </w:r>
    </w:p>
    <w:p>
      <w:pPr>
        <w:pStyle w:val="BodyText"/>
      </w:pPr>
      <w:r>
        <w:rPr>
          <w:b/>
          <w:bCs/>
        </w:rPr>
        <w:t xml:space="preserve">Classification.</w:t>
      </w:r>
      <w:r>
        <w:t xml:space="preserve"> </w:t>
      </w:r>
      <w:r>
        <w:t xml:space="preserve">Products were grouped by mechanism, with quantities converted to DDD-years using</w:t>
      </w:r>
      <w:r>
        <w:t xml:space="preserve"> </w:t>
      </w:r>
      <w:r>
        <w:t xml:space="preserve">WHO defined daily doses (DDD), or documented maintenance doses where WHO gives none. The groups</w:t>
      </w:r>
      <w:r>
        <w:t xml:space="preserve"> </w:t>
      </w:r>
      <w:r>
        <w:t xml:space="preserve">were:</w:t>
      </w:r>
    </w:p>
    <w:p>
      <w:pPr>
        <w:pStyle w:val="Compact"/>
        <w:numPr>
          <w:ilvl w:val="0"/>
          <w:numId w:val="1007"/>
        </w:numPr>
      </w:pPr>
      <w:r>
        <w:t xml:space="preserve">TNF inhibitors;</w:t>
      </w:r>
    </w:p>
    <w:p>
      <w:pPr>
        <w:pStyle w:val="Compact"/>
        <w:numPr>
          <w:ilvl w:val="0"/>
          <w:numId w:val="1007"/>
        </w:numPr>
      </w:pPr>
      <w:r>
        <w:t xml:space="preserve">IL-6 inhibitors and abatacept;</w:t>
      </w:r>
    </w:p>
    <w:p>
      <w:pPr>
        <w:pStyle w:val="Compact"/>
        <w:numPr>
          <w:ilvl w:val="0"/>
          <w:numId w:val="1007"/>
        </w:numPr>
      </w:pPr>
      <w:r>
        <w:t xml:space="preserve">JAK inhibitors used in rheumatology (ruxolitinib reported separately);</w:t>
      </w:r>
    </w:p>
    <w:p>
      <w:pPr>
        <w:pStyle w:val="Compact"/>
        <w:numPr>
          <w:ilvl w:val="0"/>
          <w:numId w:val="1007"/>
        </w:numPr>
      </w:pPr>
      <w:r>
        <w:t xml:space="preserve">rituximab;</w:t>
      </w:r>
    </w:p>
    <w:p>
      <w:pPr>
        <w:pStyle w:val="Compact"/>
        <w:numPr>
          <w:ilvl w:val="0"/>
          <w:numId w:val="1007"/>
        </w:numPr>
      </w:pPr>
      <w:r>
        <w:t xml:space="preserve">calcineurin and mTOR inhibitors;</w:t>
      </w:r>
    </w:p>
    <w:p>
      <w:pPr>
        <w:pStyle w:val="Compact"/>
        <w:numPr>
          <w:ilvl w:val="0"/>
          <w:numId w:val="1007"/>
        </w:numPr>
      </w:pPr>
      <w:r>
        <w:t xml:space="preserve">antiproliferatives;</w:t>
      </w:r>
    </w:p>
    <w:p>
      <w:pPr>
        <w:pStyle w:val="Compact"/>
        <w:numPr>
          <w:ilvl w:val="0"/>
          <w:numId w:val="1007"/>
        </w:numPr>
      </w:pPr>
      <w:r>
        <w:t xml:space="preserve">systemic glucocorticoids (prednisolone and methylprednisolone), measured in prednisolone-equivalent</w:t>
      </w:r>
      <w:r>
        <w:t xml:space="preserve"> </w:t>
      </w:r>
      <w:r>
        <w:t xml:space="preserve">mg and excluding intra-articular, depot and topical forms. Dexamethasone and hydrocortisone, used</w:t>
      </w:r>
      <w:r>
        <w:t xml:space="preserve"> </w:t>
      </w:r>
      <w:r>
        <w:t xml:space="preserve">mainly in oncology, as antiemetics, for COVID-19 [RECOVERY 2021] and as replacement therapy, were</w:t>
      </w:r>
      <w:r>
        <w:t xml:space="preserve"> </w:t>
      </w:r>
      <w:r>
        <w:t xml:space="preserve">reported separately as a descriptive group.</w:t>
      </w:r>
    </w:p>
    <w:p>
      <w:pPr>
        <w:pStyle w:val="FirstParagraph"/>
      </w:pPr>
      <w:r>
        <w:rPr>
          <w:b/>
          <w:bCs/>
        </w:rPr>
        <w:t xml:space="preserve">Controls.</w:t>
      </w:r>
      <w:r>
        <w:t xml:space="preserve"> </w:t>
      </w:r>
      <w:r>
        <w:t xml:space="preserve">-</w:t>
      </w:r>
      <w:r>
        <w:t xml:space="preserve"> </w:t>
      </w:r>
      <w:r>
        <w:rPr>
          <w:b/>
          <w:bCs/>
        </w:rPr>
        <w:t xml:space="preserve">Positive control:</w:t>
      </w:r>
      <w:r>
        <w:t xml:space="preserve"> </w:t>
      </w:r>
      <w:r>
        <w:t xml:space="preserve">active-TB treatment, measured as pyrazinamide defined daily doses (1.5 g)</w:t>
      </w:r>
      <w:r>
        <w:t xml:space="preserve"> </w:t>
      </w:r>
      <w:r>
        <w:t xml:space="preserve">from all pyrazinamide-containing products, including the fixed-dose combinations Rifater and</w:t>
      </w:r>
      <w:r>
        <w:t xml:space="preserve"> </w:t>
      </w:r>
      <w:r>
        <w:t xml:space="preserve">Voractiv, so that a day of intensive-phase treatment counts once whatever the formulation.</w:t>
      </w:r>
      <w:r>
        <w:t xml:space="preserve"> </w:t>
      </w:r>
      <w:r>
        <w:t xml:space="preserve">-</w:t>
      </w:r>
      <w:r>
        <w:t xml:space="preserve"> </w:t>
      </w:r>
      <w:r>
        <w:rPr>
          <w:b/>
          <w:bCs/>
        </w:rPr>
        <w:t xml:space="preserve">Reported separately:</w:t>
      </w:r>
      <w:r>
        <w:t xml:space="preserve"> </w:t>
      </w:r>
      <w:r>
        <w:t xml:space="preserve">rifamycin and isoniazid products, which are also used for latent TB and,</w:t>
      </w:r>
      <w:r>
        <w:t xml:space="preserve"> </w:t>
      </w:r>
      <w:r>
        <w:t xml:space="preserve">in the case of rifampicin, other infections.</w:t>
      </w:r>
      <w:r>
        <w:t xml:space="preserve"> </w:t>
      </w:r>
      <w:r>
        <w:t xml:space="preserve">-</w:t>
      </w:r>
      <w:r>
        <w:t xml:space="preserve"> </w:t>
      </w:r>
      <w:r>
        <w:rPr>
          <w:b/>
          <w:bCs/>
        </w:rPr>
        <w:t xml:space="preserve">Negative-control exposures:</w:t>
      </w:r>
      <w:r>
        <w:t xml:space="preserve"> </w:t>
      </w:r>
      <w:r>
        <w:t xml:space="preserve">IL-17, IL-12/23 and α4β7 inhibitors and anakinra (low TB risk),</w:t>
      </w:r>
      <w:r>
        <w:t xml:space="preserve"> </w:t>
      </w:r>
      <w:r>
        <w:t xml:space="preserve">and levetiracetam.</w:t>
      </w:r>
    </w:p>
    <w:p>
      <w:pPr>
        <w:pStyle w:val="BodyText"/>
      </w:pPr>
      <w:r>
        <w:rPr>
          <w:b/>
          <w:bCs/>
        </w:rPr>
        <w:t xml:space="preserve">Trust mergers.</w:t>
      </w:r>
      <w:r>
        <w:t xml:space="preserve"> </w:t>
      </w:r>
      <w:r>
        <w:t xml:space="preserve">Trusts that merged during 2019–2024 were reassigned to their successors using</w:t>
      </w:r>
      <w:r>
        <w:t xml:space="preserve"> </w:t>
      </w:r>
      <w:r>
        <w:t xml:space="preserve">NHS ODS records. With this, 98–100% of DDD in every group and year came from trusts with catchment</w:t>
      </w:r>
      <w:r>
        <w:t xml:space="preserve"> </w:t>
      </w:r>
      <w:r>
        <w:t xml:space="preserve">data.</w:t>
      </w:r>
    </w:p>
    <w:p>
      <w:pPr>
        <w:pStyle w:val="BodyText"/>
      </w:pPr>
      <w:r>
        <w:rPr>
          <w:b/>
          <w:bCs/>
        </w:rPr>
        <w:t xml:space="preserve">Apportionment to areas.</w:t>
      </w:r>
      <w:r>
        <w:t xml:space="preserve"> </w:t>
      </w:r>
      <w:r>
        <w:t xml:space="preserve">Trust quantities were shared across local authorities using OHID acute</w:t>
      </w:r>
      <w:r>
        <w:t xml:space="preserve"> </w:t>
      </w:r>
      <w:r>
        <w:t xml:space="preserve">trust catchment populations (2024, all admissions). Elective-admission catchments were a</w:t>
      </w:r>
      <w:r>
        <w:t xml:space="preserve"> </w:t>
      </w:r>
      <w:r>
        <w:t xml:space="preserve">sensitivity analysis.</w:t>
      </w:r>
    </w:p>
    <w:bookmarkEnd w:id="29"/>
    <w:bookmarkStart w:id="30" w:name="covariates"/>
    <w:p>
      <w:pPr>
        <w:pStyle w:val="Heading3"/>
      </w:pPr>
      <w:r>
        <w:t xml:space="preserve">Covariates</w:t>
      </w:r>
    </w:p>
    <w:p>
      <w:pPr>
        <w:pStyle w:val="FirstParagraph"/>
      </w:pPr>
      <w:r>
        <w:rPr>
          <w:b/>
          <w:bCs/>
        </w:rPr>
        <w:t xml:space="preserve">Time-varying (panel analyses):</w:t>
      </w:r>
      <w:r>
        <w:t xml:space="preserve"> </w:t>
      </w:r>
      <w:r>
        <w:t xml:space="preserve">- ONS mid-year population estimates by age (% aged ≥65; % aged 15–44);</w:t>
      </w:r>
      <w:r>
        <w:t xml:space="preserve"> </w:t>
      </w:r>
      <w:r>
        <w:t xml:space="preserve">- international in-migration per 1,000 (ONS components of population change);</w:t>
      </w:r>
      <w:r>
        <w:t xml:space="preserve"> </w:t>
      </w:r>
      <w:r>
        <w:t xml:space="preserve">- diagnosed HIV prevalence;</w:t>
      </w:r>
      <w:r>
        <w:t xml:space="preserve"> </w:t>
      </w:r>
      <w:r>
        <w:t xml:space="preserve">- QOF diabetes prevalence;</w:t>
      </w:r>
      <w:r>
        <w:t xml:space="preserve"> </w:t>
      </w:r>
      <w:r>
        <w:t xml:space="preserve">- the latent TB infection (LTBI) testing and treatment programme for new migrants, introduced from</w:t>
      </w:r>
      <w:r>
        <w:t xml:space="preserve"> </w:t>
      </w:r>
      <w:r>
        <w:t xml:space="preserve">2015/16 through primary care in high-incidence areas for recent entrants aged 16–35 from</w:t>
      </w:r>
      <w:r>
        <w:t xml:space="preserve"> </w:t>
      </w:r>
      <w:r>
        <w:t xml:space="preserve">high-incidence countries [Loutet 2018; Berrocal-Almanza 2022]. We used an indicator of programme</w:t>
      </w:r>
      <w:r>
        <w:t xml:space="preserve"> </w:t>
      </w:r>
      <w:r>
        <w:t xml:space="preserve">activity, mapped from CCGs to local authorities (active in 83 LTLAs). Area-level reporting ended</w:t>
      </w:r>
      <w:r>
        <w:t xml:space="preserve"> </w:t>
      </w:r>
      <w:r>
        <w:t xml:space="preserve">in 2019/20, so the indicator was carried forward unchanged and disruption in 2020 was not</w:t>
      </w:r>
      <w:r>
        <w:t xml:space="preserve"> </w:t>
      </w:r>
      <w:r>
        <w:t xml:space="preserve">modelled. Because the programme targets young recent entrants, an all-age area indicator is a</w:t>
      </w:r>
      <w:r>
        <w:t xml:space="preserve"> </w:t>
      </w:r>
      <w:r>
        <w:t xml:space="preserve">weak control for it;</w:t>
      </w:r>
      <w:r>
        <w:t xml:space="preserve"> </w:t>
      </w:r>
      <w:r>
        <w:t xml:space="preserve">- people receiving asylum support per 1,000 (Home Office; available from 2014, so used for outcome</w:t>
      </w:r>
      <w:r>
        <w:t xml:space="preserve"> </w:t>
      </w:r>
      <w:r>
        <w:t xml:space="preserve">years from 2015).</w:t>
      </w:r>
    </w:p>
    <w:p>
      <w:pPr>
        <w:pStyle w:val="BodyText"/>
      </w:pPr>
      <w:r>
        <w:rPr>
          <w:b/>
          <w:bCs/>
        </w:rPr>
        <w:t xml:space="preserve">Cross-sectional analyses:</w:t>
      </w:r>
      <w:r>
        <w:t xml:space="preserve"> </w:t>
      </w:r>
      <w:r>
        <w:t xml:space="preserve">- Census 2021 percentage born outside the UK.</w:t>
      </w:r>
    </w:p>
    <w:bookmarkEnd w:id="30"/>
    <w:bookmarkStart w:id="31" w:name="statistical-analysis"/>
    <w:p>
      <w:pPr>
        <w:pStyle w:val="Heading3"/>
      </w:pPr>
      <w:r>
        <w:t xml:space="preserve">Statistical analysis</w:t>
      </w:r>
    </w:p>
    <w:p>
      <w:pPr>
        <w:pStyle w:val="FirstParagraph"/>
      </w:pPr>
      <w:r>
        <w:rPr>
          <w:b/>
          <w:bCs/>
        </w:rPr>
        <w:t xml:space="preserve">Panel analyses.</w:t>
      </w:r>
      <w:r>
        <w:t xml:space="preserve"> </w:t>
      </w:r>
      <w:r>
        <w:t xml:space="preserve">-</w:t>
      </w:r>
      <w:r>
        <w:t xml:space="preserve"> </w:t>
      </w:r>
      <w:r>
        <w:rPr>
          <w:b/>
          <w:bCs/>
        </w:rPr>
        <w:t xml:space="preserve">Model:</w:t>
      </w:r>
      <w:r>
        <w:t xml:space="preserve"> </w:t>
      </w:r>
      <w:r>
        <w:t xml:space="preserve">Poisson pseudo-maximum-likelihood regression [Santos Silva 2006] of annual notifications, with area and</w:t>
      </w:r>
      <w:r>
        <w:t xml:space="preserve"> </w:t>
      </w:r>
      <w:r>
        <w:t xml:space="preserve">year fixed effects, a log population offset and SEs clustered by area.</w:t>
      </w:r>
      <w:r>
        <w:t xml:space="preserve"> </w:t>
      </w:r>
      <w:r>
        <w:t xml:space="preserve">-</w:t>
      </w:r>
      <w:r>
        <w:t xml:space="preserve"> </w:t>
      </w:r>
      <w:r>
        <w:rPr>
          <w:b/>
          <w:bCs/>
        </w:rPr>
        <w:t xml:space="preserve">Primary exposure:</w:t>
      </w:r>
      <w:r>
        <w:t xml:space="preserve"> </w:t>
      </w:r>
      <w:r>
        <w:t xml:space="preserve">log prescribing rate in year</w:t>
      </w:r>
      <w:r>
        <w:t xml:space="preserve"> </w:t>
      </w:r>
      <w:r>
        <w:rPr>
          <w:i/>
          <w:iCs/>
        </w:rPr>
        <w:t xml:space="preserve">t</w:t>
      </w:r>
      <w:r>
        <w:t xml:space="preserve">−1. Drug-associated TB typically presents</w:t>
      </w:r>
      <w:r>
        <w:t xml:space="preserve"> </w:t>
      </w:r>
      <w:r>
        <w:t xml:space="preserve">within months of exposure [Keane 2001], and same-year prescribing is affected by prescribing for</w:t>
      </w:r>
      <w:r>
        <w:t xml:space="preserve"> </w:t>
      </w:r>
      <w:r>
        <w:t xml:space="preserve">undiagnosed TB (protopathic bias).</w:t>
      </w:r>
      <w:r>
        <w:t xml:space="preserve"> </w:t>
      </w:r>
      <w:r>
        <w:t xml:space="preserve">-</w:t>
      </w:r>
      <w:r>
        <w:t xml:space="preserve"> </w:t>
      </w:r>
      <w:r>
        <w:rPr>
          <w:b/>
          <w:bCs/>
        </w:rPr>
        <w:t xml:space="preserve">Outcome years:</w:t>
      </w:r>
      <w:r>
        <w:t xml:space="preserve"> </w:t>
      </w:r>
      <w:r>
        <w:t xml:space="preserve">2014–2024.</w:t>
      </w:r>
      <w:r>
        <w:t xml:space="preserve"> </w:t>
      </w:r>
      <w:r>
        <w:t xml:space="preserve">-</w:t>
      </w:r>
      <w:r>
        <w:t xml:space="preserve"> </w:t>
      </w:r>
      <w:r>
        <w:rPr>
          <w:b/>
          <w:bCs/>
        </w:rPr>
        <w:t xml:space="preserve">Covariates:</w:t>
      </w:r>
      <w:r>
        <w:t xml:space="preserve"> </w:t>
      </w:r>
      <w:r>
        <w:t xml:space="preserve">the time-varying set above. Diabetes prevalence was not adjusted for in the</w:t>
      </w:r>
      <w:r>
        <w:t xml:space="preserve"> </w:t>
      </w:r>
      <w:r>
        <w:t xml:space="preserve">metformin and insulin models.</w:t>
      </w:r>
      <w:r>
        <w:t xml:space="preserve"> </w:t>
      </w:r>
      <w:r>
        <w:t xml:space="preserve">-</w:t>
      </w:r>
      <w:r>
        <w:t xml:space="preserve"> </w:t>
      </w:r>
      <w:r>
        <w:rPr>
          <w:b/>
          <w:bCs/>
        </w:rPr>
        <w:t xml:space="preserve">Effect measure:</w:t>
      </w:r>
      <w:r>
        <w:t xml:space="preserve"> </w:t>
      </w:r>
      <w:r>
        <w:t xml:space="preserve">incidence rate ratio (IRR) per 10% within-area increase in prescribing, with</w:t>
      </w:r>
      <w:r>
        <w:t xml:space="preserve"> </w:t>
      </w:r>
      <w:r>
        <w:t xml:space="preserve">Benjamini–Hochberg false discovery rate (FDR) correction across the 13 non-control drug groups in</w:t>
      </w:r>
      <w:r>
        <w:t xml:space="preserve"> </w:t>
      </w:r>
      <w:r>
        <w:t xml:space="preserve">the primary model, including the descriptive groups (oral hydrocortisone, oral dexamethasone, all</w:t>
      </w:r>
      <w:r>
        <w:t xml:space="preserve"> </w:t>
      </w:r>
      <w:r>
        <w:t xml:space="preserve">antibacterials, vitamin D). Levothyroxine and antituberculosis drugs were excluded.</w:t>
      </w:r>
      <w:r>
        <w:t xml:space="preserve"> </w:t>
      </w:r>
      <w:r>
        <w:t xml:space="preserve">-</w:t>
      </w:r>
      <w:r>
        <w:t xml:space="preserve"> </w:t>
      </w:r>
      <w:r>
        <w:rPr>
          <w:b/>
          <w:bCs/>
        </w:rPr>
        <w:t xml:space="preserve">Falsification:</w:t>
      </w:r>
      <w:r>
        <w:t xml:space="preserve"> </w:t>
      </w:r>
      <w:r>
        <w:t xml:space="preserve">prescribing in years</w:t>
      </w:r>
      <w:r>
        <w:t xml:space="preserve"> </w:t>
      </w:r>
      <w:r>
        <w:rPr>
          <w:i/>
          <w:iCs/>
        </w:rPr>
        <w:t xml:space="preserve">t</w:t>
      </w:r>
      <w:r>
        <w:t xml:space="preserve">−1 and</w:t>
      </w:r>
      <w:r>
        <w:t xml:space="preserve"> </w:t>
      </w:r>
      <w:r>
        <w:rPr>
          <w:i/>
          <w:iCs/>
        </w:rPr>
        <w:t xml:space="preserve">t</w:t>
      </w:r>
      <w:r>
        <w:t xml:space="preserve">+1 estimated jointly on a common sample,</w:t>
      </w:r>
      <w:r>
        <w:t xml:space="preserve"> </w:t>
      </w:r>
      <w:r>
        <w:t xml:space="preserve">and again with year</w:t>
      </w:r>
      <w:r>
        <w:t xml:space="preserve"> </w:t>
      </w:r>
      <w:r>
        <w:rPr>
          <w:i/>
          <w:iCs/>
        </w:rPr>
        <w:t xml:space="preserve">t</w:t>
      </w:r>
      <w:r>
        <w:t xml:space="preserve"> </w:t>
      </w:r>
      <w:r>
        <w:t xml:space="preserve">added, with a Wald test of the difference between the</w:t>
      </w:r>
      <w:r>
        <w:t xml:space="preserve"> </w:t>
      </w:r>
      <w:r>
        <w:rPr>
          <w:i/>
          <w:iCs/>
        </w:rPr>
        <w:t xml:space="preserve">t</w:t>
      </w:r>
      <w:r>
        <w:t xml:space="preserve">−1 and</w:t>
      </w:r>
      <w:r>
        <w:t xml:space="preserve"> </w:t>
      </w:r>
      <w:r>
        <w:rPr>
          <w:i/>
          <w:iCs/>
        </w:rPr>
        <w:t xml:space="preserve">t</w:t>
      </w:r>
      <w:r>
        <w:t xml:space="preserve">+1</w:t>
      </w:r>
      <w:r>
        <w:t xml:space="preserve"> </w:t>
      </w:r>
      <w:r>
        <w:t xml:space="preserve">coefficients. A true effect should load on</w:t>
      </w:r>
      <w:r>
        <w:t xml:space="preserve"> </w:t>
      </w:r>
      <w:r>
        <w:rPr>
          <w:i/>
          <w:iCs/>
        </w:rPr>
        <w:t xml:space="preserve">t</w:t>
      </w:r>
      <w:r>
        <w:t xml:space="preserve">−1. Prescribing in adjacent years is highly</w:t>
      </w:r>
      <w:r>
        <w:t xml:space="preserve"> </w:t>
      </w:r>
      <w:r>
        <w:t xml:space="preserve">correlated within areas, so the two estimates are strongly negatively correlated and opposite</w:t>
      </w:r>
      <w:r>
        <w:t xml:space="preserve"> </w:t>
      </w:r>
      <w:r>
        <w:t xml:space="preserve">signs can arise by chance; we treat these tests as weak diagnostics.</w:t>
      </w:r>
      <w:r>
        <w:t xml:space="preserve"> </w:t>
      </w:r>
      <w:r>
        <w:t xml:space="preserve">-</w:t>
      </w:r>
      <w:r>
        <w:t xml:space="preserve"> </w:t>
      </w:r>
      <w:r>
        <w:rPr>
          <w:b/>
          <w:bCs/>
        </w:rPr>
        <w:t xml:space="preserve">Sensitivity analyses:</w:t>
      </w:r>
      <w:r>
        <w:t xml:space="preserve"> </w:t>
      </w:r>
      <w:r>
        <w:t xml:space="preserve">- no covariates;</w:t>
      </w:r>
      <w:r>
        <w:t xml:space="preserve"> </w:t>
      </w:r>
      <w:r>
        <w:t xml:space="preserve">- a distributed lag (</w:t>
      </w:r>
      <w:r>
        <w:rPr>
          <w:i/>
          <w:iCs/>
        </w:rPr>
        <w:t xml:space="preserve">t</w:t>
      </w:r>
      <w:r>
        <w:t xml:space="preserve">,</w:t>
      </w:r>
      <w:r>
        <w:t xml:space="preserve"> </w:t>
      </w:r>
      <w:r>
        <w:rPr>
          <w:i/>
          <w:iCs/>
        </w:rPr>
        <w:t xml:space="preserve">t</w:t>
      </w:r>
      <w:r>
        <w:t xml:space="preserve">−1,</w:t>
      </w:r>
      <w:r>
        <w:t xml:space="preserve"> </w:t>
      </w:r>
      <w:r>
        <w:rPr>
          <w:i/>
          <w:iCs/>
        </w:rPr>
        <w:t xml:space="preserve">t</w:t>
      </w:r>
      <w:r>
        <w:t xml:space="preserve">−2);</w:t>
      </w:r>
      <w:r>
        <w:t xml:space="preserve"> </w:t>
      </w:r>
      <w:r>
        <w:t xml:space="preserve">- the original three-year window (</w:t>
      </w:r>
      <w:r>
        <w:rPr>
          <w:i/>
          <w:iCs/>
        </w:rPr>
        <w:t xml:space="preserve">t</w:t>
      </w:r>
      <w:r>
        <w:t xml:space="preserve">−3 to</w:t>
      </w:r>
      <w:r>
        <w:t xml:space="preserve"> </w:t>
      </w:r>
      <w:r>
        <w:rPr>
          <w:i/>
          <w:iCs/>
        </w:rPr>
        <w:t xml:space="preserve">t</w:t>
      </w:r>
      <w:r>
        <w:t xml:space="preserve">−1);</w:t>
      </w:r>
      <w:r>
        <w:t xml:space="preserve"> </w:t>
      </w:r>
      <w:r>
        <w:t xml:space="preserve">- area-specific linear trends;</w:t>
      </w:r>
      <w:r>
        <w:t xml:space="preserve"> </w:t>
      </w:r>
      <w:r>
        <w:t xml:space="preserve">- log population as a covariate instead of an offset (shared-denominator bias);</w:t>
      </w:r>
      <w:r>
        <w:t xml:space="preserve"> </w:t>
      </w:r>
      <w:r>
        <w:t xml:space="preserve">- adjustment for the LTBI programme;</w:t>
      </w:r>
      <w:r>
        <w:t xml:space="preserve"> </w:t>
      </w:r>
      <w:r>
        <w:t xml:space="preserve">- adjustment for asylum support;</w:t>
      </w:r>
      <w:r>
        <w:t xml:space="preserve"> </w:t>
      </w:r>
      <w:r>
        <w:t xml:space="preserve">- excluding outcome years 2020–21 and exposure years 2020–21;</w:t>
      </w:r>
      <w:r>
        <w:t xml:space="preserve"> </w:t>
      </w:r>
      <w:r>
        <w:t xml:space="preserve">- outcome years 2018–2024 only (NTBS-era data);</w:t>
      </w:r>
      <w:r>
        <w:t xml:space="preserve"> </w:t>
      </w:r>
      <w:r>
        <w:t xml:space="preserve">- outcome years 2015–2024 only, so that all exposure comes from the EPD (splice sensitivity);</w:t>
      </w:r>
      <w:r>
        <w:t xml:space="preserve"> </w:t>
      </w:r>
      <w:r>
        <w:t xml:space="preserve">- ADQ instead of items, for groups where the EPD populates ADQ;</w:t>
      </w:r>
      <w:r>
        <w:t xml:space="preserve"> </w:t>
      </w:r>
      <w:r>
        <w:t xml:space="preserve">- practice-postcode apportionment;</w:t>
      </w:r>
      <w:r>
        <w:t xml:space="preserve"> </w:t>
      </w:r>
      <w:r>
        <w:t xml:space="preserve">- UTLA geography.</w:t>
      </w:r>
      <w:r>
        <w:t xml:space="preserve"> </w:t>
      </w:r>
      <w:r>
        <w:t xml:space="preserve">-</w:t>
      </w:r>
      <w:r>
        <w:t xml:space="preserve"> </w:t>
      </w:r>
      <w:r>
        <w:rPr>
          <w:b/>
          <w:bCs/>
        </w:rPr>
        <w:t xml:space="preserve">Spatial dependence:</w:t>
      </w:r>
      <w:r>
        <w:t xml:space="preserve"> </w:t>
      </w:r>
      <w:r>
        <w:t xml:space="preserve">Moran’s I of year-specific Pearson residuals (5-nearest-neighbour weights,</w:t>
      </w:r>
      <w:r>
        <w:t xml:space="preserve"> </w:t>
      </w:r>
      <w:r>
        <w:t xml:space="preserve">999 permutations).</w:t>
      </w:r>
      <w:r>
        <w:t xml:space="preserve"> </w:t>
      </w:r>
      <w:r>
        <w:t xml:space="preserve">-</w:t>
      </w:r>
      <w:r>
        <w:t xml:space="preserve"> </w:t>
      </w:r>
      <w:r>
        <w:rPr>
          <w:b/>
          <w:bCs/>
        </w:rPr>
        <w:t xml:space="preserve">Missing data:</w:t>
      </w:r>
      <w:r>
        <w:t xml:space="preserve"> </w:t>
      </w:r>
      <w:r>
        <w:t xml:space="preserve">complete-case analysis. Area-years with missing covariates, or with zero</w:t>
      </w:r>
      <w:r>
        <w:t xml:space="preserve"> </w:t>
      </w:r>
      <w:r>
        <w:t xml:space="preserve">exposure (log undefined), were excluded model by model; the numbers excluded are recorded in the</w:t>
      </w:r>
      <w:r>
        <w:t xml:space="preserve"> </w:t>
      </w:r>
      <w:r>
        <w:t xml:space="preserve">result files.</w:t>
      </w:r>
      <w:r>
        <w:t xml:space="preserve"> </w:t>
      </w:r>
      <w:r>
        <w:t xml:space="preserve">-</w:t>
      </w:r>
      <w:r>
        <w:t xml:space="preserve"> </w:t>
      </w:r>
      <w:r>
        <w:rPr>
          <w:b/>
          <w:bCs/>
        </w:rPr>
        <w:t xml:space="preserve">Bounds:</w:t>
      </w:r>
      <w:r>
        <w:t xml:space="preserve"> </w:t>
      </w:r>
      <w:r>
        <w:t xml:space="preserve">for each estimate, the largest population attributable fraction compatible with the</w:t>
      </w:r>
      <w:r>
        <w:t xml:space="preserve"> </w:t>
      </w:r>
      <w:r>
        <w:t xml:space="preserve">upper 90% confidence limit and, for drugs expected to protect, the largest prevented fraction</w:t>
      </w:r>
      <w:r>
        <w:t xml:space="preserve"> </w:t>
      </w:r>
      <w:r>
        <w:t xml:space="preserve">compatible with the lower limit, both under the model used for expected effects. As a</w:t>
      </w:r>
      <w:r>
        <w:t xml:space="preserve"> </w:t>
      </w:r>
      <w:r>
        <w:t xml:space="preserve">sensitivity analysis, the upper limit was divided by the negative control’s estimate from the</w:t>
      </w:r>
      <w:r>
        <w:t xml:space="preserve"> </w:t>
      </w:r>
      <w:r>
        <w:t xml:space="preserve">same model, as if its bias applied equally to every drug.</w:t>
      </w:r>
    </w:p>
    <w:p>
      <w:pPr>
        <w:pStyle w:val="BodyText"/>
      </w:pPr>
      <w:r>
        <w:rPr>
          <w:b/>
          <w:bCs/>
        </w:rPr>
        <w:t xml:space="preserve">Hospital analyses.</w:t>
      </w:r>
      <w:r>
        <w:t xml:space="preserve"> </w:t>
      </w:r>
      <w:r>
        <w:t xml:space="preserve">The same model was fitted for 2019–2024, with exposure in:</w:t>
      </w:r>
      <w:r>
        <w:t xml:space="preserve"> </w:t>
      </w:r>
      <w:r>
        <w:t xml:space="preserve">- the same year (for the positive control, where treatment follows diagnosis);</w:t>
      </w:r>
      <w:r>
        <w:t xml:space="preserve"> </w:t>
      </w:r>
      <w:r>
        <w:t xml:space="preserve">- the previous year (for candidate drugs);</w:t>
      </w:r>
      <w:r>
        <w:t xml:space="preserve"> </w:t>
      </w:r>
      <w:r>
        <w:t xml:space="preserve">- the following year.</w:t>
      </w:r>
    </w:p>
    <w:p>
      <w:pPr>
        <w:pStyle w:val="BodyText"/>
      </w:pPr>
      <w:r>
        <w:t xml:space="preserve">SEs were also clustered by each area’s principal trust, because apportioned exposures share trust-level</w:t>
      </w:r>
      <w:r>
        <w:t xml:space="preserve"> </w:t>
      </w:r>
      <w:r>
        <w:t xml:space="preserve">variation. The within-area elasticity of the positive control (log IRR per log unit of exposure)</w:t>
      </w:r>
      <w:r>
        <w:t xml:space="preserve"> </w:t>
      </w:r>
      <w:r>
        <w:t xml:space="preserve">was used as an attenuation factor.</w:t>
      </w:r>
    </w:p>
    <w:p>
      <w:pPr>
        <w:pStyle w:val="BodyText"/>
      </w:pPr>
      <w:r>
        <w:rPr>
          <w:b/>
          <w:bCs/>
        </w:rPr>
        <w:t xml:space="preserve">Regional analyses.</w:t>
      </w:r>
      <w:r>
        <w:t xml:space="preserve"> </w:t>
      </w:r>
      <w:r>
        <w:t xml:space="preserve">-</w:t>
      </w:r>
      <w:r>
        <w:t xml:space="preserve"> </w:t>
      </w:r>
      <w:r>
        <w:rPr>
          <w:b/>
          <w:bCs/>
        </w:rPr>
        <w:t xml:space="preserve">Units:</w:t>
      </w:r>
      <w:r>
        <w:t xml:space="preserve"> </w:t>
      </w:r>
      <w:r>
        <w:t xml:space="preserve">9 regions × year.</w:t>
      </w:r>
      <w:r>
        <w:t xml:space="preserve"> </w:t>
      </w:r>
      <w:r>
        <w:t xml:space="preserve">-</w:t>
      </w:r>
      <w:r>
        <w:t xml:space="preserve"> </w:t>
      </w:r>
      <w:r>
        <w:rPr>
          <w:b/>
          <w:bCs/>
        </w:rPr>
        <w:t xml:space="preserve">Outcomes:</w:t>
      </w:r>
      <w:r>
        <w:t xml:space="preserve"> </w:t>
      </w:r>
      <w:r>
        <w:t xml:space="preserve">all TB notifications; UK-born and non-UK-born notifications; UK-born notifications at</w:t>
      </w:r>
      <w:r>
        <w:t xml:space="preserve"> </w:t>
      </w:r>
      <w:r>
        <w:t xml:space="preserve">age ≥65 (denominator: all residents aged ≥65).</w:t>
      </w:r>
      <w:r>
        <w:t xml:space="preserve"> </w:t>
      </w:r>
      <w:r>
        <w:t xml:space="preserve">-</w:t>
      </w:r>
      <w:r>
        <w:t xml:space="preserve"> </w:t>
      </w:r>
      <w:r>
        <w:rPr>
          <w:b/>
          <w:bCs/>
        </w:rPr>
        <w:t xml:space="preserve">Model:</w:t>
      </w:r>
      <w:r>
        <w:t xml:space="preserve"> </w:t>
      </w:r>
      <w:r>
        <w:t xml:space="preserve">Poisson regression with region and year fixed effects, exposure lagged or led 1–3</w:t>
      </w:r>
      <w:r>
        <w:t xml:space="preserve"> </w:t>
      </w:r>
      <w:r>
        <w:t xml:space="preserve">years, adjusted for in-migration and age structure.</w:t>
      </w:r>
      <w:r>
        <w:t xml:space="preserve"> </w:t>
      </w:r>
      <w:r>
        <w:t xml:space="preserve">-</w:t>
      </w:r>
      <w:r>
        <w:t xml:space="preserve"> </w:t>
      </w:r>
      <w:r>
        <w:rPr>
          <w:b/>
          <w:bCs/>
        </w:rPr>
        <w:t xml:space="preserve">Inference:</w:t>
      </w:r>
      <w:r>
        <w:t xml:space="preserve"> </w:t>
      </w:r>
      <w:r>
        <w:t xml:space="preserve">with only nine clusters, cluster-robust</w:t>
      </w:r>
      <w:r>
        <w:t xml:space="preserve"> </w:t>
      </w:r>
      <w:r>
        <w:rPr>
          <w:i/>
          <w:iCs/>
        </w:rPr>
        <w:t xml:space="preserve">t</w:t>
      </w:r>
      <w:r>
        <w:t xml:space="preserve">(8) intervals and randomisation</w:t>
      </w:r>
      <w:r>
        <w:t xml:space="preserve"> </w:t>
      </w:r>
      <w:r>
        <w:t xml:space="preserve">p-values. The randomisation test compared the cluster-robust</w:t>
      </w:r>
      <w:r>
        <w:t xml:space="preserve"> </w:t>
      </w:r>
      <w:r>
        <w:rPr>
          <w:i/>
          <w:iCs/>
        </w:rPr>
        <w:t xml:space="preserve">t</w:t>
      </w:r>
      <w:r>
        <w:t xml:space="preserve"> </w:t>
      </w:r>
      <w:r>
        <w:t xml:space="preserve">statistic with 499 permutations</w:t>
      </w:r>
      <w:r>
        <w:t xml:space="preserve"> </w:t>
      </w:r>
      <w:r>
        <w:t xml:space="preserve">of whole regional exposure histories across regions; it is valid under exchangeability of those</w:t>
      </w:r>
      <w:r>
        <w:t xml:space="preserve"> </w:t>
      </w:r>
      <w:r>
        <w:t xml:space="preserve">histories, and p = (1 + count)/(1 + 499).</w:t>
      </w:r>
      <w:r>
        <w:t xml:space="preserve"> </w:t>
      </w:r>
      <w:r>
        <w:t xml:space="preserve">-</w:t>
      </w:r>
      <w:r>
        <w:t xml:space="preserve"> </w:t>
      </w:r>
      <w:r>
        <w:rPr>
          <w:b/>
          <w:bCs/>
        </w:rPr>
        <w:t xml:space="preserve">Falsification:</w:t>
      </w:r>
      <w:r>
        <w:t xml:space="preserve"> </w:t>
      </w:r>
      <w:r>
        <w:t xml:space="preserve">lag 2 and lead 2 estimated jointly, with London excluded as a sensitivity</w:t>
      </w:r>
      <w:r>
        <w:t xml:space="preserve"> </w:t>
      </w:r>
      <w:r>
        <w:t xml:space="preserve">analysis for UK-born notifications.</w:t>
      </w:r>
      <w:r>
        <w:t xml:space="preserve"> </w:t>
      </w:r>
      <w:r>
        <w:t xml:space="preserve">-</w:t>
      </w:r>
      <w:r>
        <w:t xml:space="preserve"> </w:t>
      </w:r>
      <w:r>
        <w:rPr>
          <w:b/>
          <w:bCs/>
        </w:rPr>
        <w:t xml:space="preserve">Long differences:</w:t>
      </w:r>
      <w:r>
        <w:t xml:space="preserve"> </w:t>
      </w:r>
      <w:r>
        <w:t xml:space="preserve">across UTLAs with at least 10 notifications in each period, change in log</w:t>
      </w:r>
      <w:r>
        <w:t xml:space="preserve"> </w:t>
      </w:r>
      <w:r>
        <w:t xml:space="preserve">prescribing (2014–16 to 2019–21) against change in log notification rate (2014–16 to 2022–24),</w:t>
      </w:r>
      <w:r>
        <w:t xml:space="preserve"> </w:t>
      </w:r>
      <w:r>
        <w:t xml:space="preserve">weighted by notifications and adjusted for change in in-migration.</w:t>
      </w:r>
    </w:p>
    <w:p>
      <w:pPr>
        <w:pStyle w:val="BodyText"/>
      </w:pPr>
      <w:r>
        <w:rPr>
          <w:b/>
          <w:bCs/>
        </w:rPr>
        <w:t xml:space="preserve">Cross-sectional analyses.</w:t>
      </w:r>
      <w:r>
        <w:t xml:space="preserve"> </w:t>
      </w:r>
      <w:r>
        <w:t xml:space="preserve">Negative binomial regression of TB notifications on standardised log</w:t>
      </w:r>
      <w:r>
        <w:t xml:space="preserve"> </w:t>
      </w:r>
      <w:r>
        <w:t xml:space="preserve">prescribing rates for the same period, adjusted for percentage born outside the UK, age structure,</w:t>
      </w:r>
      <w:r>
        <w:t xml:space="preserve"> </w:t>
      </w:r>
      <w:r>
        <w:t xml:space="preserve">in-migration, HIV and diabetes prevalence.</w:t>
      </w:r>
    </w:p>
    <w:p>
      <w:pPr>
        <w:pStyle w:val="BodyText"/>
      </w:pPr>
      <w:r>
        <w:rPr>
          <w:b/>
          <w:bCs/>
        </w:rPr>
        <w:t xml:space="preserve">Expected effects and minimum detectable effects (MDEs).</w:t>
      </w:r>
    </w:p>
    <w:p>
      <w:pPr>
        <w:pStyle w:val="BodyText"/>
      </w:pPr>
      <w:r>
        <w:rPr>
          <w:i/>
          <w:iCs/>
        </w:rPr>
        <w:t xml:space="preserve">Expected effects.</w:t>
      </w:r>
      <w:r>
        <w:t xml:space="preserve"> </w:t>
      </w:r>
      <w:r>
        <w:t xml:space="preserve">The population effect of a 10% increase in use was calculated as</w:t>
      </w:r>
      <w:r>
        <w:t xml:space="preserve"> </w:t>
      </w:r>
      <w:r>
        <w:t xml:space="preserve">[1 + 1.1</w:t>
      </w:r>
      <w:r>
        <w:rPr>
          <w:i/>
          <w:iCs/>
        </w:rPr>
        <w:t xml:space="preserve">p</w:t>
      </w:r>
      <w:r>
        <w:t xml:space="preserve">(RR − 1)] / [1 +</w:t>
      </w:r>
      <w:r>
        <w:t xml:space="preserve"> </w:t>
      </w:r>
      <w:r>
        <w:rPr>
          <w:i/>
          <w:iCs/>
        </w:rPr>
        <w:t xml:space="preserve">p</w:t>
      </w:r>
      <w:r>
        <w:t xml:space="preserve">(RR − 1)], where</w:t>
      </w:r>
      <w:r>
        <w:t xml:space="preserve"> </w:t>
      </w:r>
      <w:r>
        <w:rPr>
          <w:i/>
          <w:iCs/>
        </w:rPr>
        <w:t xml:space="preserve">p</w:t>
      </w:r>
      <w:r>
        <w:t xml:space="preserve"> </w:t>
      </w:r>
      <w:r>
        <w:t xml:space="preserve">is prevalence of use and RR the individual-level</w:t>
      </w:r>
      <w:r>
        <w:t xml:space="preserve"> </w:t>
      </w:r>
      <w:r>
        <w:t xml:space="preserve">relative risk (odds ratios where only these were available). The calculation assumes that:</w:t>
      </w:r>
    </w:p>
    <w:p>
      <w:pPr>
        <w:pStyle w:val="Compact"/>
        <w:numPr>
          <w:ilvl w:val="0"/>
          <w:numId w:val="1008"/>
        </w:numPr>
      </w:pPr>
      <w:r>
        <w:t xml:space="preserve">prevalence of use scales with the prescribing measure;</w:t>
      </w:r>
    </w:p>
    <w:p>
      <w:pPr>
        <w:pStyle w:val="Compact"/>
        <w:numPr>
          <w:ilvl w:val="0"/>
          <w:numId w:val="1008"/>
        </w:numPr>
      </w:pPr>
      <w:r>
        <w:t xml:space="preserve">extra prescribing reaches new users rather than lengthening existing courses;</w:t>
      </w:r>
    </w:p>
    <w:p>
      <w:pPr>
        <w:pStyle w:val="Compact"/>
        <w:numPr>
          <w:ilvl w:val="0"/>
          <w:numId w:val="1008"/>
        </w:numPr>
      </w:pPr>
      <w:r>
        <w:t xml:space="preserve">baseline risk is homogeneous;</w:t>
      </w:r>
    </w:p>
    <w:p>
      <w:pPr>
        <w:pStyle w:val="Compact"/>
        <w:numPr>
          <w:ilvl w:val="0"/>
          <w:numId w:val="1008"/>
        </w:numPr>
      </w:pPr>
      <w:r>
        <w:t xml:space="preserve">timing is aligned.</w:t>
      </w:r>
    </w:p>
    <w:p>
      <w:pPr>
        <w:pStyle w:val="FirstParagraph"/>
      </w:pPr>
      <w:r>
        <w:t xml:space="preserve">Assumptions 3 and 4 favour detection. The direction of any bias from assumptions 1 and 2 is</w:t>
      </w:r>
      <w:r>
        <w:t xml:space="preserve"> </w:t>
      </w:r>
      <w:r>
        <w:t xml:space="preserve">unknown: prednisolone-equivalent mg per item fell over time, so prescribing volume and the number</w:t>
      </w:r>
      <w:r>
        <w:t xml:space="preserve"> </w:t>
      </w:r>
      <w:r>
        <w:t xml:space="preserve">of people treated need not move together. Alternative expected effects came from three sources:</w:t>
      </w:r>
    </w:p>
    <w:p>
      <w:pPr>
        <w:pStyle w:val="Compact"/>
        <w:numPr>
          <w:ilvl w:val="0"/>
          <w:numId w:val="1009"/>
        </w:numPr>
      </w:pPr>
      <w:r>
        <w:t xml:space="preserve">recorded drug-associated notifications, converted to attributable fractions (exposed share ×</w:t>
      </w:r>
      <w:r>
        <w:t xml:space="preserve"> </w:t>
      </w:r>
      <w:r>
        <w:t xml:space="preserve">(RR − 1)/RR), assuming complete recording or 50% recording;</w:t>
      </w:r>
    </w:p>
    <w:p>
      <w:pPr>
        <w:pStyle w:val="Compact"/>
        <w:numPr>
          <w:ilvl w:val="0"/>
          <w:numId w:val="1009"/>
        </w:numPr>
      </w:pPr>
      <w:r>
        <w:t xml:space="preserve">stratification by age (the same age-specific prevalence of use for UK-born and non-UK-born people);</w:t>
      </w:r>
    </w:p>
    <w:p>
      <w:pPr>
        <w:pStyle w:val="Compact"/>
        <w:numPr>
          <w:ilvl w:val="0"/>
          <w:numId w:val="1009"/>
        </w:numPr>
      </w:pPr>
      <w:r>
        <w:t xml:space="preserve">SCMD-derived prevalence of hospital drug use, including screening-attenuated relative risks for</w:t>
      </w:r>
      <w:r>
        <w:t xml:space="preserve"> </w:t>
      </w:r>
      <w:r>
        <w:t xml:space="preserve">TNF inhibitors and attenuation by the positive-control elasticity.</w:t>
      </w:r>
    </w:p>
    <w:p>
      <w:pPr>
        <w:pStyle w:val="FirstParagraph"/>
      </w:pPr>
      <w:r>
        <w:rPr>
          <w:i/>
          <w:iCs/>
        </w:rPr>
        <w:t xml:space="preserve">MDEs.</w:t>
      </w:r>
      <w:r>
        <w:t xml:space="preserve"> </w:t>
      </w:r>
      <w:r>
        <w:t xml:space="preserve">The MDE was calculated as exp(2.80 × SE). For each MDE we report:</w:t>
      </w:r>
    </w:p>
    <w:p>
      <w:pPr>
        <w:pStyle w:val="Compact"/>
        <w:numPr>
          <w:ilvl w:val="0"/>
          <w:numId w:val="1010"/>
        </w:numPr>
      </w:pPr>
      <w:r>
        <w:t xml:space="preserve">the minimum detectable population attributable fraction (PAF);</w:t>
      </w:r>
    </w:p>
    <w:p>
      <w:pPr>
        <w:pStyle w:val="Compact"/>
        <w:numPr>
          <w:ilvl w:val="0"/>
          <w:numId w:val="1010"/>
        </w:numPr>
      </w:pPr>
      <w:r>
        <w:t xml:space="preserve">the largest PAF compatible with the upper 90% confidence limit.</w:t>
      </w:r>
    </w:p>
    <w:p>
      <w:pPr>
        <w:pStyle w:val="FirstParagraph"/>
      </w:pPr>
      <w:r>
        <w:rPr>
          <w:i/>
          <w:iCs/>
        </w:rPr>
        <w:t xml:space="preserve">Power simulation.</w:t>
      </w:r>
      <w:r>
        <w:t xml:space="preserve"> </w:t>
      </w:r>
      <w:r>
        <w:t xml:space="preserve">A permutation-based simulation kept the real TB counts, so real overdispersion,</w:t>
      </w:r>
      <w:r>
        <w:t xml:space="preserve"> </w:t>
      </w:r>
      <w:r>
        <w:t xml:space="preserve">serial correlation and trends were preserved. Whole exposure trajectories were permuted across</w:t>
      </w:r>
      <w:r>
        <w:t xml:space="preserve"> </w:t>
      </w:r>
      <w:r>
        <w:t xml:space="preserve">areas, and known effects were injected by adding cases. This gave 500 null and 300 effect replicates</w:t>
      </w:r>
      <w:r>
        <w:t xml:space="preserve"> </w:t>
      </w:r>
      <w:r>
        <w:t xml:space="preserve">per scenario, including scenarios where the effect acts through same-year exposure. We also report</w:t>
      </w:r>
      <w:r>
        <w:t xml:space="preserve"> </w:t>
      </w:r>
      <w:r>
        <w:t xml:space="preserve">analytic power for each scenario at the real-data standard error.</w:t>
      </w:r>
    </w:p>
    <w:p>
      <w:pPr>
        <w:pStyle w:val="BodyText"/>
      </w:pPr>
      <w:r>
        <w:t xml:space="preserve">Analyses used Python 3.14 (pandas 3.0, statsmodels).</w:t>
      </w:r>
    </w:p>
    <w:bookmarkEnd w:id="31"/>
    <w:bookmarkEnd w:id="32"/>
    <w:bookmarkStart w:id="54" w:name="results"/>
    <w:p>
      <w:pPr>
        <w:pStyle w:val="Heading2"/>
      </w:pPr>
      <w:r>
        <w:t xml:space="preserve">Results</w:t>
      </w:r>
    </w:p>
    <w:bookmarkStart w:id="36" w:name="Xd641646f16d942c4aa0df91e01a21d51d601f58"/>
    <w:p>
      <w:pPr>
        <w:pStyle w:val="Heading3"/>
      </w:pPr>
      <w:r>
        <w:t xml:space="preserve">Prescribing, TB notifications and within-area variation</w:t>
      </w:r>
    </w:p>
    <w:p>
      <w:pPr>
        <w:pStyle w:val="FirstParagraph"/>
      </w:pPr>
      <w:r>
        <w:rPr>
          <w:b/>
          <w:bCs/>
        </w:rPr>
        <w:t xml:space="preserve">TB notifications in England</w:t>
      </w:r>
      <w:r>
        <w:t xml:space="preserve"> </w:t>
      </w:r>
      <w:r>
        <w:t xml:space="preserve">- Fell from 6,474 in 2014 to a low of 4,123 in 2020 (Fingertips national series).</w:t>
      </w:r>
      <w:r>
        <w:t xml:space="preserve"> </w:t>
      </w:r>
      <w:r>
        <w:t xml:space="preserve">- Rose to 5,490 in 2024, when 81.9% of people notified were born outside the UK.</w:t>
      </w:r>
    </w:p>
    <w:p>
      <w:pPr>
        <w:pStyle w:val="BodyText"/>
      </w:pPr>
      <w:r>
        <w:rPr>
          <w:b/>
          <w:bCs/>
        </w:rPr>
        <w:t xml:space="preserve">Within-area variation in prescribing</w:t>
      </w:r>
      <w:r>
        <w:t xml:space="preserve"> </w:t>
      </w:r>
      <w:r>
        <w:t xml:space="preserve">- Once prescribing was apportioned by where patients live, it varied little within areas over time.</w:t>
      </w:r>
      <w:r>
        <w:t xml:space="preserve"> </w:t>
      </w:r>
      <w:r>
        <w:t xml:space="preserve">- For systemic oral glucocorticoids, the SD of the log rate after removing area and year means was 0.042, against 0.29 between areas; after removing area and year means, 95% of area-years were within ±9%.</w:t>
      </w:r>
      <w:r>
        <w:t xml:space="preserve"> </w:t>
      </w:r>
      <w:r>
        <w:t xml:space="preserve">- PPIs (0.036), metformin (0.041) and levothyroxine (0.042) were similar; conventional DMARDs varied more (0.088). Prednisolone-equivalent mg (0.041) and ADQ measures (0.026–0.097) varied as little as items.</w:t>
      </w:r>
      <w:r>
        <w:t xml:space="preserve"> </w:t>
      </w:r>
      <w:r>
        <w:t xml:space="preserve">- A 10% within-area change in prescribing is therefore at the edge of the observed data (Figure 2).</w:t>
      </w:r>
    </w:p>
    <w:p>
      <w:pPr>
        <w:pStyle w:val="CaptionedFigure"/>
      </w:pPr>
      <w:r>
        <w:drawing>
          <wp:inline>
            <wp:extent cx="5334000" cy="3852333"/>
            <wp:effectExtent b="0" l="0" r="0" t="0"/>
            <wp:docPr descr="Figure 2. Within-area versus between-area variation in log prescribing rates, 294 lower-tier authorities, 2014–2024. Orange line: a 10% increase." title="" id="34" name="Picture"/>
            <a:graphic>
              <a:graphicData uri="http://schemas.openxmlformats.org/drawingml/2006/picture">
                <pic:pic>
                  <pic:nvPicPr>
                    <pic:cNvPr descr="figures/within_between_variation.png" id="35" name="Picture"/>
                    <pic:cNvPicPr>
                      <a:picLocks noChangeArrowheads="1" noChangeAspect="1"/>
                    </pic:cNvPicPr>
                  </pic:nvPicPr>
                  <pic:blipFill>
                    <a:blip r:embed="rId33"/>
                    <a:stretch>
                      <a:fillRect/>
                    </a:stretch>
                  </pic:blipFill>
                  <pic:spPr bwMode="auto">
                    <a:xfrm>
                      <a:off x="0" y="0"/>
                      <a:ext cx="5334000" cy="3852333"/>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Within-area versus between-area variation in log prescribing rates, 294 lower-tier authorities, 2014–2024. Orange line: a 10% increase.</w:t>
      </w:r>
    </w:p>
    <w:bookmarkEnd w:id="36"/>
    <w:bookmarkStart w:id="40" w:name="X9ed7942b807bfb0031efe08014da0275dd242a3"/>
    <w:p>
      <w:pPr>
        <w:pStyle w:val="Heading3"/>
      </w:pPr>
      <w:r>
        <w:t xml:space="preserve">Primary care prescribing and TB notifications (panel analyses)</w:t>
      </w:r>
    </w:p>
    <w:p>
      <w:pPr>
        <w:pStyle w:val="FirstParagraph"/>
      </w:pPr>
      <w:r>
        <w:rPr>
          <w:b/>
          <w:bCs/>
        </w:rPr>
        <w:t xml:space="preserve">Primary analysis</w:t>
      </w:r>
      <w:r>
        <w:t xml:space="preserve"> </w:t>
      </w:r>
      <w:r>
        <w:t xml:space="preserve">(294 lower-tier authorities, 3,233 area-years, outcome years 2014–2024)</w:t>
      </w:r>
      <w:r>
        <w:t xml:space="preserve"> </w:t>
      </w:r>
      <w:r>
        <w:t xml:space="preserve">- No drug group was associated with notifications in the following year after correction for multiple testing (Table 1; all FDR q ≥ 0.51).</w:t>
      </w:r>
      <w:r>
        <w:t xml:space="preserve"> </w:t>
      </w:r>
      <w:r>
        <w:t xml:space="preserve">- Systemic oral glucocorticoids: IRR 0.969 (95% CI 0.929–1.012) per 10% within-area increase.</w:t>
      </w:r>
    </w:p>
    <w:p>
      <w:pPr>
        <w:pStyle w:val="BodyText"/>
      </w:pPr>
      <w:r>
        <w:t xml:space="preserve">Other groups (same scale, 95% CI):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Drug group</w:t>
            </w:r>
          </w:p>
        </w:tc>
        <w:tc>
          <w:tcPr/>
          <w:p>
            <w:pPr>
              <w:pStyle w:val="Compact"/>
              <w:jc w:val="left"/>
            </w:pPr>
            <w:r>
              <w:t xml:space="preserve">IRR</w:t>
            </w:r>
          </w:p>
        </w:tc>
      </w:tr>
      <w:tr>
        <w:tc>
          <w:tcPr/>
          <w:p>
            <w:pPr>
              <w:pStyle w:val="Compact"/>
              <w:jc w:val="left"/>
            </w:pPr>
            <w:r>
              <w:t xml:space="preserve">Oral hydrocortisone</w:t>
            </w:r>
          </w:p>
        </w:tc>
        <w:tc>
          <w:tcPr/>
          <w:p>
            <w:pPr>
              <w:pStyle w:val="Compact"/>
              <w:jc w:val="left"/>
            </w:pPr>
            <w:r>
              <w:t xml:space="preserve">0.998 (0.985–1.011)</w:t>
            </w:r>
          </w:p>
        </w:tc>
      </w:tr>
      <w:tr>
        <w:tc>
          <w:tcPr/>
          <w:p>
            <w:pPr>
              <w:pStyle w:val="Compact"/>
              <w:jc w:val="left"/>
            </w:pPr>
            <w:r>
              <w:t xml:space="preserve">Inhaled corticosteroids</w:t>
            </w:r>
          </w:p>
        </w:tc>
        <w:tc>
          <w:tcPr/>
          <w:p>
            <w:pPr>
              <w:pStyle w:val="Compact"/>
              <w:jc w:val="left"/>
            </w:pPr>
            <w:r>
              <w:t xml:space="preserve">0.966 (0.920–1.014)</w:t>
            </w:r>
          </w:p>
        </w:tc>
      </w:tr>
      <w:tr>
        <w:tc>
          <w:tcPr/>
          <w:p>
            <w:pPr>
              <w:pStyle w:val="Compact"/>
              <w:jc w:val="left"/>
            </w:pPr>
            <w:r>
              <w:t xml:space="preserve">Conventional DMARDs</w:t>
            </w:r>
          </w:p>
        </w:tc>
        <w:tc>
          <w:tcPr/>
          <w:p>
            <w:pPr>
              <w:pStyle w:val="Compact"/>
              <w:jc w:val="left"/>
            </w:pPr>
            <w:r>
              <w:t xml:space="preserve">1.002 (0.983–1.021)</w:t>
            </w:r>
          </w:p>
        </w:tc>
      </w:tr>
      <w:tr>
        <w:tc>
          <w:tcPr/>
          <w:p>
            <w:pPr>
              <w:pStyle w:val="Compact"/>
              <w:jc w:val="left"/>
            </w:pPr>
            <w:r>
              <w:t xml:space="preserve">Transplant immunosuppressants</w:t>
            </w:r>
          </w:p>
        </w:tc>
        <w:tc>
          <w:tcPr/>
          <w:p>
            <w:pPr>
              <w:pStyle w:val="Compact"/>
              <w:jc w:val="left"/>
            </w:pPr>
            <w:r>
              <w:t xml:space="preserve">0.999 (0.993–1.005)</w:t>
            </w:r>
          </w:p>
        </w:tc>
      </w:tr>
      <w:tr>
        <w:tc>
          <w:tcPr/>
          <w:p>
            <w:pPr>
              <w:pStyle w:val="Compact"/>
              <w:jc w:val="left"/>
            </w:pPr>
            <w:r>
              <w:t xml:space="preserve">Proton pump inhibitors</w:t>
            </w:r>
          </w:p>
        </w:tc>
        <w:tc>
          <w:tcPr/>
          <w:p>
            <w:pPr>
              <w:pStyle w:val="Compact"/>
              <w:jc w:val="left"/>
            </w:pPr>
            <w:r>
              <w:t xml:space="preserve">0.996 (0.955–1.039)</w:t>
            </w:r>
          </w:p>
        </w:tc>
      </w:tr>
      <w:tr>
        <w:tc>
          <w:tcPr/>
          <w:p>
            <w:pPr>
              <w:pStyle w:val="Compact"/>
              <w:jc w:val="left"/>
            </w:pPr>
            <w:r>
              <w:t xml:space="preserve">Statins</w:t>
            </w:r>
          </w:p>
        </w:tc>
        <w:tc>
          <w:tcPr/>
          <w:p>
            <w:pPr>
              <w:pStyle w:val="Compact"/>
              <w:jc w:val="left"/>
            </w:pPr>
            <w:r>
              <w:t xml:space="preserve">0.992 (0.952–1.034)</w:t>
            </w:r>
          </w:p>
        </w:tc>
      </w:tr>
      <w:tr>
        <w:tc>
          <w:tcPr/>
          <w:p>
            <w:pPr>
              <w:pStyle w:val="Compact"/>
              <w:jc w:val="left"/>
            </w:pPr>
            <w:r>
              <w:t xml:space="preserve">Metformin</w:t>
            </w:r>
          </w:p>
        </w:tc>
        <w:tc>
          <w:tcPr/>
          <w:p>
            <w:pPr>
              <w:pStyle w:val="Compact"/>
              <w:jc w:val="left"/>
            </w:pPr>
            <w:r>
              <w:t xml:space="preserve">0.966 (0.934–0.998)</w:t>
            </w:r>
          </w:p>
        </w:tc>
      </w:tr>
      <w:tr>
        <w:tc>
          <w:tcPr/>
          <w:p>
            <w:pPr>
              <w:pStyle w:val="Compact"/>
              <w:jc w:val="left"/>
            </w:pPr>
            <w:r>
              <w:t xml:space="preserve">Levothyroxine (negative control)</w:t>
            </w:r>
          </w:p>
        </w:tc>
        <w:tc>
          <w:tcPr/>
          <w:p>
            <w:pPr>
              <w:pStyle w:val="Compact"/>
              <w:jc w:val="left"/>
            </w:pPr>
            <w:r>
              <w:t xml:space="preserve">0.962 (0.933–0.992)</w:t>
            </w:r>
          </w:p>
        </w:tc>
      </w:tr>
    </w:tbl>
    <w:p>
      <w:pPr>
        <w:pStyle w:val="Compact"/>
        <w:numPr>
          <w:ilvl w:val="0"/>
          <w:numId w:val="1011"/>
        </w:numPr>
      </w:pPr>
      <w:r>
        <w:t xml:space="preserve">Metformin (nominal p = 0.04) was inversely associated to the same extent as the negative control, levothyroxine (p = 0.01), which has no plausible effect on TB.</w:t>
      </w:r>
    </w:p>
    <w:p>
      <w:pPr>
        <w:pStyle w:val="CaptionedFigure"/>
      </w:pPr>
      <w:r>
        <w:drawing>
          <wp:inline>
            <wp:extent cx="5334000" cy="4933950"/>
            <wp:effectExtent b="0" l="0" r="0" t="0"/>
            <wp:docPr descr="Figure 4. Primary care prescribing and TB notifications, lower-tier authorities, prescribing apportioned by patient residence. Blue: prescribing in the previous year (primary). Orange: prescribing in the following year, estimated jointly (falsification)." title="" id="38" name="Picture"/>
            <a:graphic>
              <a:graphicData uri="http://schemas.openxmlformats.org/drawingml/2006/picture">
                <pic:pic>
                  <pic:nvPicPr>
                    <pic:cNvPr descr="figures/panel_forest_ltla_residence.png" id="39" name="Picture"/>
                    <pic:cNvPicPr>
                      <a:picLocks noChangeArrowheads="1" noChangeAspect="1"/>
                    </pic:cNvPicPr>
                  </pic:nvPicPr>
                  <pic:blipFill>
                    <a:blip r:embed="rId37"/>
                    <a:stretch>
                      <a:fillRect/>
                    </a:stretch>
                  </pic:blipFill>
                  <pic:spPr bwMode="auto">
                    <a:xfrm>
                      <a:off x="0" y="0"/>
                      <a:ext cx="5334000" cy="4933950"/>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Primary care prescribing and TB notifications, lower-tier authorities, prescribing apportioned by patient residence. Blue: prescribing in the previous year (primary). Orange: prescribing in the following year, estimated jointly (falsification).</w:t>
      </w:r>
    </w:p>
    <w:p>
      <w:pPr>
        <w:pStyle w:val="BodyText"/>
      </w:pPr>
      <w:r>
        <w:rPr>
          <w:b/>
          <w:bCs/>
        </w:rPr>
        <w:t xml:space="preserve">Table 1. Primary care prescribing and TB notifications: incidence rate ratio per 10% within-area increase (95% CI)</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Drug group</w:t>
            </w:r>
          </w:p>
        </w:tc>
        <w:tc>
          <w:tcPr/>
          <w:p>
            <w:pPr>
              <w:pStyle w:val="Compact"/>
              <w:jc w:val="right"/>
            </w:pPr>
            <w:r>
              <w:t xml:space="preserve">Previous year: LTLA, residence (294 areas, 2014-2024)</w:t>
            </w:r>
          </w:p>
        </w:tc>
        <w:tc>
          <w:tcPr/>
          <w:p>
            <w:pPr>
              <w:pStyle w:val="Compact"/>
              <w:jc w:val="right"/>
            </w:pPr>
            <w:r>
              <w:t xml:space="preserve">Previous year: UTLA, residence</w:t>
            </w:r>
          </w:p>
        </w:tc>
        <w:tc>
          <w:tcPr/>
          <w:p>
            <w:pPr>
              <w:pStyle w:val="Compact"/>
              <w:jc w:val="right"/>
            </w:pPr>
            <w:r>
              <w:t xml:space="preserve">Previous year: LTLA, practice postcode</w:t>
            </w:r>
          </w:p>
        </w:tc>
        <w:tc>
          <w:tcPr/>
          <w:p>
            <w:pPr>
              <w:pStyle w:val="Compact"/>
              <w:jc w:val="right"/>
            </w:pPr>
            <w:r>
              <w:t xml:space="preserve">Joint model: previous year (t−1)</w:t>
            </w:r>
          </w:p>
        </w:tc>
        <w:tc>
          <w:tcPr/>
          <w:p>
            <w:pPr>
              <w:pStyle w:val="Compact"/>
              <w:jc w:val="right"/>
            </w:pPr>
            <w:r>
              <w:t xml:space="preserve">Joint model: following year (t+1)</w:t>
            </w:r>
          </w:p>
        </w:tc>
        <w:tc>
          <w:tcPr/>
          <w:p>
            <w:pPr>
              <w:pStyle w:val="Compact"/>
              <w:jc w:val="right"/>
            </w:pPr>
            <w:r>
              <w:t xml:space="preserve">p, t−1 vs t+1</w:t>
            </w:r>
          </w:p>
        </w:tc>
        <w:tc>
          <w:tcPr/>
          <w:p>
            <w:pPr>
              <w:pStyle w:val="Compact"/>
              <w:jc w:val="right"/>
            </w:pPr>
            <w:r>
              <w:t xml:space="preserve">Largest compatible PAF / prevented fraction (PAF after negative-control shift)</w:t>
            </w:r>
          </w:p>
        </w:tc>
      </w:tr>
      <w:tr>
        <w:tc>
          <w:tcPr/>
          <w:p>
            <w:pPr>
              <w:pStyle w:val="Compact"/>
              <w:jc w:val="left"/>
            </w:pPr>
            <w:r>
              <w:t xml:space="preserve">Antituberculosis (descriptive)</w:t>
            </w:r>
          </w:p>
        </w:tc>
        <w:tc>
          <w:tcPr/>
          <w:p>
            <w:pPr>
              <w:pStyle w:val="Compact"/>
              <w:jc w:val="right"/>
            </w:pPr>
            <w:r>
              <w:t xml:space="preserve">1.000 (0.997–1.003)</w:t>
            </w:r>
          </w:p>
        </w:tc>
        <w:tc>
          <w:tcPr/>
          <w:p>
            <w:pPr>
              <w:pStyle w:val="Compact"/>
              <w:jc w:val="right"/>
            </w:pPr>
            <w:r>
              <w:t xml:space="preserve">1.000 (0.996–1.004)</w:t>
            </w:r>
          </w:p>
        </w:tc>
        <w:tc>
          <w:tcPr/>
          <w:p>
            <w:pPr>
              <w:pStyle w:val="Compact"/>
              <w:jc w:val="right"/>
            </w:pPr>
            <w:r>
              <w:t xml:space="preserve">1.001 (0.998–1.003)</w:t>
            </w:r>
          </w:p>
        </w:tc>
        <w:tc>
          <w:tcPr/>
          <w:p>
            <w:pPr>
              <w:pStyle w:val="Compact"/>
              <w:jc w:val="right"/>
            </w:pPr>
            <w:r>
              <w:t xml:space="preserve">1.000 (0.996–1.003)</w:t>
            </w:r>
          </w:p>
        </w:tc>
        <w:tc>
          <w:tcPr/>
          <w:p>
            <w:pPr>
              <w:pStyle w:val="Compact"/>
              <w:jc w:val="right"/>
            </w:pPr>
            <w:r>
              <w:t xml:space="preserve">1.002 (0.998–1.005)</w:t>
            </w:r>
          </w:p>
        </w:tc>
        <w:tc>
          <w:tcPr/>
          <w:p>
            <w:pPr>
              <w:pStyle w:val="Compact"/>
              <w:jc w:val="right"/>
            </w:pPr>
            <w:r>
              <w:t xml:space="preserve">0.423</w:t>
            </w:r>
          </w:p>
        </w:tc>
        <w:tc>
          <w:tcPr/>
          <w:p>
            <w:pPr>
              <w:pStyle w:val="Compact"/>
              <w:jc w:val="right"/>
            </w:pPr>
            <w:r>
              <w:t xml:space="preserve">3% / 2% (42%)</w:t>
            </w:r>
          </w:p>
        </w:tc>
      </w:tr>
      <w:tr>
        <w:tc>
          <w:tcPr/>
          <w:p>
            <w:pPr>
              <w:pStyle w:val="Compact"/>
              <w:jc w:val="left"/>
            </w:pPr>
            <w:r>
              <w:t xml:space="preserve">Systemic oral glucocorticoids</w:t>
            </w:r>
          </w:p>
        </w:tc>
        <w:tc>
          <w:tcPr/>
          <w:p>
            <w:pPr>
              <w:pStyle w:val="Compact"/>
              <w:jc w:val="right"/>
            </w:pPr>
            <w:r>
              <w:t xml:space="preserve">0.969 (0.929–1.012)</w:t>
            </w:r>
          </w:p>
        </w:tc>
        <w:tc>
          <w:tcPr/>
          <w:p>
            <w:pPr>
              <w:pStyle w:val="Compact"/>
              <w:jc w:val="right"/>
            </w:pPr>
            <w:r>
              <w:t xml:space="preserve">0.974 (0.928–1.023)</w:t>
            </w:r>
          </w:p>
        </w:tc>
        <w:tc>
          <w:tcPr/>
          <w:p>
            <w:pPr>
              <w:pStyle w:val="Compact"/>
              <w:jc w:val="right"/>
            </w:pPr>
            <w:r>
              <w:t xml:space="preserve">0.974 (0.939–1.010)</w:t>
            </w:r>
          </w:p>
        </w:tc>
        <w:tc>
          <w:tcPr/>
          <w:p>
            <w:pPr>
              <w:pStyle w:val="Compact"/>
              <w:jc w:val="right"/>
            </w:pPr>
            <w:r>
              <w:t xml:space="preserve">0.990 (0.941–1.041)</w:t>
            </w:r>
          </w:p>
        </w:tc>
        <w:tc>
          <w:tcPr/>
          <w:p>
            <w:pPr>
              <w:pStyle w:val="Compact"/>
              <w:jc w:val="right"/>
            </w:pPr>
            <w:r>
              <w:t xml:space="preserve">0.952 (0.912–0.994)</w:t>
            </w:r>
          </w:p>
        </w:tc>
        <w:tc>
          <w:tcPr/>
          <w:p>
            <w:pPr>
              <w:pStyle w:val="Compact"/>
              <w:jc w:val="right"/>
            </w:pPr>
            <w:r>
              <w:t xml:space="preserve">0.334</w:t>
            </w:r>
          </w:p>
        </w:tc>
        <w:tc>
          <w:tcPr/>
          <w:p>
            <w:pPr>
              <w:pStyle w:val="Compact"/>
              <w:jc w:val="right"/>
            </w:pPr>
            <w:r>
              <w:t xml:space="preserve">5% / 39% (44%)</w:t>
            </w:r>
          </w:p>
        </w:tc>
      </w:tr>
      <w:tr>
        <w:tc>
          <w:tcPr/>
          <w:p>
            <w:pPr>
              <w:pStyle w:val="Compact"/>
              <w:jc w:val="left"/>
            </w:pPr>
            <w:r>
              <w:t xml:space="preserve">Oral hydrocortisone</w:t>
            </w:r>
          </w:p>
        </w:tc>
        <w:tc>
          <w:tcPr/>
          <w:p>
            <w:pPr>
              <w:pStyle w:val="Compact"/>
              <w:jc w:val="right"/>
            </w:pPr>
            <w:r>
              <w:t xml:space="preserve">0.998 (0.985–1.011)</w:t>
            </w:r>
          </w:p>
        </w:tc>
        <w:tc>
          <w:tcPr/>
          <w:p>
            <w:pPr>
              <w:pStyle w:val="Compact"/>
              <w:jc w:val="right"/>
            </w:pPr>
            <w:r>
              <w:t xml:space="preserve">0.999 (0.985–1.014)</w:t>
            </w:r>
          </w:p>
        </w:tc>
        <w:tc>
          <w:tcPr/>
          <w:p>
            <w:pPr>
              <w:pStyle w:val="Compact"/>
              <w:jc w:val="right"/>
            </w:pPr>
            <w:r>
              <w:t xml:space="preserve">0.999 (0.987–1.011)</w:t>
            </w:r>
          </w:p>
        </w:tc>
        <w:tc>
          <w:tcPr/>
          <w:p>
            <w:pPr>
              <w:pStyle w:val="Compact"/>
              <w:jc w:val="right"/>
            </w:pPr>
            <w:r>
              <w:t xml:space="preserve">0.995 (0.978–1.012)</w:t>
            </w:r>
          </w:p>
        </w:tc>
        <w:tc>
          <w:tcPr/>
          <w:p>
            <w:pPr>
              <w:pStyle w:val="Compact"/>
              <w:jc w:val="right"/>
            </w:pPr>
            <w:r>
              <w:t xml:space="preserve">1.007 (0.991–1.023)</w:t>
            </w:r>
          </w:p>
        </w:tc>
        <w:tc>
          <w:tcPr/>
          <w:p>
            <w:pPr>
              <w:pStyle w:val="Compact"/>
              <w:jc w:val="right"/>
            </w:pPr>
            <w:r>
              <w:t xml:space="preserve">0.416</w:t>
            </w:r>
          </w:p>
        </w:tc>
        <w:tc>
          <w:tcPr/>
          <w:p>
            <w:pPr>
              <w:pStyle w:val="Compact"/>
              <w:jc w:val="right"/>
            </w:pPr>
            <w:r>
              <w:t xml:space="preserve">9% / 11% (49%)</w:t>
            </w:r>
          </w:p>
        </w:tc>
      </w:tr>
      <w:tr>
        <w:tc>
          <w:tcPr/>
          <w:p>
            <w:pPr>
              <w:pStyle w:val="Compact"/>
              <w:jc w:val="left"/>
            </w:pPr>
            <w:r>
              <w:t xml:space="preserve">Oral dexamethasone</w:t>
            </w:r>
          </w:p>
        </w:tc>
        <w:tc>
          <w:tcPr/>
          <w:p>
            <w:pPr>
              <w:pStyle w:val="Compact"/>
              <w:jc w:val="right"/>
            </w:pPr>
            <w:r>
              <w:t xml:space="preserve">1.003 (0.992–1.014)</w:t>
            </w:r>
          </w:p>
        </w:tc>
        <w:tc>
          <w:tcPr/>
          <w:p>
            <w:pPr>
              <w:pStyle w:val="Compact"/>
              <w:jc w:val="right"/>
            </w:pPr>
            <w:r>
              <w:t xml:space="preserve">1.004 (0.992–1.016)</w:t>
            </w:r>
          </w:p>
        </w:tc>
        <w:tc>
          <w:tcPr/>
          <w:p>
            <w:pPr>
              <w:pStyle w:val="Compact"/>
              <w:jc w:val="right"/>
            </w:pPr>
            <w:r>
              <w:t xml:space="preserve">1.001 (0.991–1.011)</w:t>
            </w:r>
          </w:p>
        </w:tc>
        <w:tc>
          <w:tcPr/>
          <w:p>
            <w:pPr>
              <w:pStyle w:val="Compact"/>
              <w:jc w:val="right"/>
            </w:pPr>
            <w:r>
              <w:t xml:space="preserve">1.002 (0.991–1.013)</w:t>
            </w:r>
          </w:p>
        </w:tc>
        <w:tc>
          <w:tcPr/>
          <w:p>
            <w:pPr>
              <w:pStyle w:val="Compact"/>
              <w:jc w:val="right"/>
            </w:pPr>
            <w:r>
              <w:t xml:space="preserve">1.003 (0.993–1.013)</w:t>
            </w:r>
          </w:p>
        </w:tc>
        <w:tc>
          <w:tcPr/>
          <w:p>
            <w:pPr>
              <w:pStyle w:val="Compact"/>
              <w:jc w:val="right"/>
            </w:pPr>
            <w:r>
              <w:t xml:space="preserve">0.907</w:t>
            </w:r>
          </w:p>
        </w:tc>
        <w:tc>
          <w:tcPr/>
          <w:p>
            <w:pPr>
              <w:pStyle w:val="Compact"/>
              <w:jc w:val="right"/>
            </w:pPr>
            <w:r>
              <w:t xml:space="preserve">12% / 6% (52%)</w:t>
            </w:r>
          </w:p>
        </w:tc>
      </w:tr>
      <w:tr>
        <w:tc>
          <w:tcPr/>
          <w:p>
            <w:pPr>
              <w:pStyle w:val="Compact"/>
              <w:jc w:val="left"/>
            </w:pPr>
            <w:r>
              <w:t xml:space="preserve">Inhaled corticosteroids</w:t>
            </w:r>
          </w:p>
        </w:tc>
        <w:tc>
          <w:tcPr/>
          <w:p>
            <w:pPr>
              <w:pStyle w:val="Compact"/>
              <w:jc w:val="right"/>
            </w:pPr>
            <w:r>
              <w:t xml:space="preserve">0.966 (0.920–1.014)</w:t>
            </w:r>
          </w:p>
        </w:tc>
        <w:tc>
          <w:tcPr/>
          <w:p>
            <w:pPr>
              <w:pStyle w:val="Compact"/>
              <w:jc w:val="right"/>
            </w:pPr>
            <w:r>
              <w:t xml:space="preserve">0.965 (0.916–1.017)</w:t>
            </w:r>
          </w:p>
        </w:tc>
        <w:tc>
          <w:tcPr/>
          <w:p>
            <w:pPr>
              <w:pStyle w:val="Compact"/>
              <w:jc w:val="right"/>
            </w:pPr>
            <w:r>
              <w:t xml:space="preserve">0.973 (0.934–1.014)</w:t>
            </w:r>
          </w:p>
        </w:tc>
        <w:tc>
          <w:tcPr/>
          <w:p>
            <w:pPr>
              <w:pStyle w:val="Compact"/>
              <w:jc w:val="right"/>
            </w:pPr>
            <w:r>
              <w:t xml:space="preserve">1.058 (0.995–1.126)</w:t>
            </w:r>
          </w:p>
        </w:tc>
        <w:tc>
          <w:tcPr/>
          <w:p>
            <w:pPr>
              <w:pStyle w:val="Compact"/>
              <w:jc w:val="right"/>
            </w:pPr>
            <w:r>
              <w:t xml:space="preserve">0.879 (0.840–0.921)</w:t>
            </w:r>
          </w:p>
        </w:tc>
        <w:tc>
          <w:tcPr/>
          <w:p>
            <w:pPr>
              <w:pStyle w:val="Compact"/>
              <w:jc w:val="right"/>
            </w:pPr>
            <w:r>
              <w:t xml:space="preserve">0.000</w:t>
            </w:r>
          </w:p>
        </w:tc>
        <w:tc>
          <w:tcPr/>
          <w:p>
            <w:pPr>
              <w:pStyle w:val="Compact"/>
              <w:jc w:val="right"/>
            </w:pPr>
            <w:r>
              <w:t xml:space="preserve">7% / 42% (46%)</w:t>
            </w:r>
          </w:p>
        </w:tc>
      </w:tr>
      <w:tr>
        <w:tc>
          <w:tcPr/>
          <w:p>
            <w:pPr>
              <w:pStyle w:val="Compact"/>
              <w:jc w:val="left"/>
            </w:pPr>
            <w:r>
              <w:t xml:space="preserve">Conventional DMARDs</w:t>
            </w:r>
          </w:p>
        </w:tc>
        <w:tc>
          <w:tcPr/>
          <w:p>
            <w:pPr>
              <w:pStyle w:val="Compact"/>
              <w:jc w:val="right"/>
            </w:pPr>
            <w:r>
              <w:t xml:space="preserve">1.002 (0.983–1.021)</w:t>
            </w:r>
          </w:p>
        </w:tc>
        <w:tc>
          <w:tcPr/>
          <w:p>
            <w:pPr>
              <w:pStyle w:val="Compact"/>
              <w:jc w:val="right"/>
            </w:pPr>
            <w:r>
              <w:t xml:space="preserve">1.001 (0.978–1.023)</w:t>
            </w:r>
          </w:p>
        </w:tc>
        <w:tc>
          <w:tcPr/>
          <w:p>
            <w:pPr>
              <w:pStyle w:val="Compact"/>
              <w:jc w:val="right"/>
            </w:pPr>
            <w:r>
              <w:t xml:space="preserve">1.004 (0.987–1.021)</w:t>
            </w:r>
          </w:p>
        </w:tc>
        <w:tc>
          <w:tcPr/>
          <w:p>
            <w:pPr>
              <w:pStyle w:val="Compact"/>
              <w:jc w:val="right"/>
            </w:pPr>
            <w:r>
              <w:t xml:space="preserve">1.011 (0.982–1.042)</w:t>
            </w:r>
          </w:p>
        </w:tc>
        <w:tc>
          <w:tcPr/>
          <w:p>
            <w:pPr>
              <w:pStyle w:val="Compact"/>
              <w:jc w:val="right"/>
            </w:pPr>
            <w:r>
              <w:t xml:space="preserve">0.988 (0.954–1.024)</w:t>
            </w:r>
          </w:p>
        </w:tc>
        <w:tc>
          <w:tcPr/>
          <w:p>
            <w:pPr>
              <w:pStyle w:val="Compact"/>
              <w:jc w:val="right"/>
            </w:pPr>
            <w:r>
              <w:t xml:space="preserve">0.446</w:t>
            </w:r>
          </w:p>
        </w:tc>
        <w:tc>
          <w:tcPr/>
          <w:p>
            <w:pPr>
              <w:pStyle w:val="Compact"/>
              <w:jc w:val="right"/>
            </w:pPr>
            <w:r>
              <w:t xml:space="preserve">18% / 13% (58%)</w:t>
            </w:r>
          </w:p>
        </w:tc>
      </w:tr>
      <w:tr>
        <w:tc>
          <w:tcPr/>
          <w:p>
            <w:pPr>
              <w:pStyle w:val="Compact"/>
              <w:jc w:val="left"/>
            </w:pPr>
            <w:r>
              <w:t xml:space="preserve">Transplant immunosuppressants</w:t>
            </w:r>
          </w:p>
        </w:tc>
        <w:tc>
          <w:tcPr/>
          <w:p>
            <w:pPr>
              <w:pStyle w:val="Compact"/>
              <w:jc w:val="right"/>
            </w:pPr>
            <w:r>
              <w:t xml:space="preserve">0.999 (0.993–1.005)</w:t>
            </w:r>
          </w:p>
        </w:tc>
        <w:tc>
          <w:tcPr/>
          <w:p>
            <w:pPr>
              <w:pStyle w:val="Compact"/>
              <w:jc w:val="right"/>
            </w:pPr>
            <w:r>
              <w:t xml:space="preserve">0.998 (0.992–1.005)</w:t>
            </w:r>
          </w:p>
        </w:tc>
        <w:tc>
          <w:tcPr/>
          <w:p>
            <w:pPr>
              <w:pStyle w:val="Compact"/>
              <w:jc w:val="right"/>
            </w:pPr>
            <w:r>
              <w:t xml:space="preserve">1.000 (0.995–1.006)</w:t>
            </w:r>
          </w:p>
        </w:tc>
        <w:tc>
          <w:tcPr/>
          <w:p>
            <w:pPr>
              <w:pStyle w:val="Compact"/>
              <w:jc w:val="right"/>
            </w:pPr>
            <w:r>
              <w:t xml:space="preserve">0.999 (0.990–1.009)</w:t>
            </w:r>
          </w:p>
        </w:tc>
        <w:tc>
          <w:tcPr/>
          <w:p>
            <w:pPr>
              <w:pStyle w:val="Compact"/>
              <w:jc w:val="right"/>
            </w:pPr>
            <w:r>
              <w:t xml:space="preserve">0.999 (0.992–1.006)</w:t>
            </w:r>
          </w:p>
        </w:tc>
        <w:tc>
          <w:tcPr/>
          <w:p>
            <w:pPr>
              <w:pStyle w:val="Compact"/>
              <w:jc w:val="right"/>
            </w:pPr>
            <w:r>
              <w:t xml:space="preserve">0.954</w:t>
            </w:r>
          </w:p>
        </w:tc>
        <w:tc>
          <w:tcPr/>
          <w:p>
            <w:pPr>
              <w:pStyle w:val="Compact"/>
              <w:jc w:val="right"/>
            </w:pPr>
            <w:r>
              <w:t xml:space="preserve">4% / 6% (44%)</w:t>
            </w:r>
          </w:p>
        </w:tc>
      </w:tr>
      <w:tr>
        <w:tc>
          <w:tcPr/>
          <w:p>
            <w:pPr>
              <w:pStyle w:val="Compact"/>
              <w:jc w:val="left"/>
            </w:pPr>
            <w:r>
              <w:t xml:space="preserve">Proton pump inhibitors</w:t>
            </w:r>
          </w:p>
        </w:tc>
        <w:tc>
          <w:tcPr/>
          <w:p>
            <w:pPr>
              <w:pStyle w:val="Compact"/>
              <w:jc w:val="right"/>
            </w:pPr>
            <w:r>
              <w:t xml:space="preserve">0.996 (0.955–1.039)</w:t>
            </w:r>
          </w:p>
        </w:tc>
        <w:tc>
          <w:tcPr/>
          <w:p>
            <w:pPr>
              <w:pStyle w:val="Compact"/>
              <w:jc w:val="right"/>
            </w:pPr>
            <w:r>
              <w:t xml:space="preserve">0.997 (0.953–1.043)</w:t>
            </w:r>
          </w:p>
        </w:tc>
        <w:tc>
          <w:tcPr/>
          <w:p>
            <w:pPr>
              <w:pStyle w:val="Compact"/>
              <w:jc w:val="right"/>
            </w:pPr>
            <w:r>
              <w:t xml:space="preserve">0.992 (0.955–1.029)</w:t>
            </w:r>
          </w:p>
        </w:tc>
        <w:tc>
          <w:tcPr/>
          <w:p>
            <w:pPr>
              <w:pStyle w:val="Compact"/>
              <w:jc w:val="right"/>
            </w:pPr>
            <w:r>
              <w:t xml:space="preserve">1.033 (0.979–1.090)</w:t>
            </w:r>
          </w:p>
        </w:tc>
        <w:tc>
          <w:tcPr/>
          <w:p>
            <w:pPr>
              <w:pStyle w:val="Compact"/>
              <w:jc w:val="right"/>
            </w:pPr>
            <w:r>
              <w:t xml:space="preserve">0.966 (0.900–1.037)</w:t>
            </w:r>
          </w:p>
        </w:tc>
        <w:tc>
          <w:tcPr/>
          <w:p>
            <w:pPr>
              <w:pStyle w:val="Compact"/>
              <w:jc w:val="right"/>
            </w:pPr>
            <w:r>
              <w:t xml:space="preserve">0.253</w:t>
            </w:r>
          </w:p>
        </w:tc>
        <w:tc>
          <w:tcPr/>
          <w:p>
            <w:pPr>
              <w:pStyle w:val="Compact"/>
              <w:jc w:val="right"/>
            </w:pPr>
            <w:r>
              <w:t xml:space="preserve">32% / 28% (72%)</w:t>
            </w:r>
          </w:p>
        </w:tc>
      </w:tr>
      <w:tr>
        <w:tc>
          <w:tcPr/>
          <w:p>
            <w:pPr>
              <w:pStyle w:val="Compact"/>
              <w:jc w:val="left"/>
            </w:pPr>
            <w:r>
              <w:t xml:space="preserve">Statins</w:t>
            </w:r>
          </w:p>
        </w:tc>
        <w:tc>
          <w:tcPr/>
          <w:p>
            <w:pPr>
              <w:pStyle w:val="Compact"/>
              <w:jc w:val="right"/>
            </w:pPr>
            <w:r>
              <w:t xml:space="preserve">0.992 (0.952–1.034)</w:t>
            </w:r>
          </w:p>
        </w:tc>
        <w:tc>
          <w:tcPr/>
          <w:p>
            <w:pPr>
              <w:pStyle w:val="Compact"/>
              <w:jc w:val="right"/>
            </w:pPr>
            <w:r>
              <w:t xml:space="preserve">0.985 (0.943–1.030)</w:t>
            </w:r>
          </w:p>
        </w:tc>
        <w:tc>
          <w:tcPr/>
          <w:p>
            <w:pPr>
              <w:pStyle w:val="Compact"/>
              <w:jc w:val="right"/>
            </w:pPr>
            <w:r>
              <w:t xml:space="preserve">0.989 (0.954–1.025)</w:t>
            </w:r>
          </w:p>
        </w:tc>
        <w:tc>
          <w:tcPr/>
          <w:p>
            <w:pPr>
              <w:pStyle w:val="Compact"/>
              <w:jc w:val="right"/>
            </w:pPr>
            <w:r>
              <w:t xml:space="preserve">0.996 (0.940–1.055)</w:t>
            </w:r>
          </w:p>
        </w:tc>
        <w:tc>
          <w:tcPr/>
          <w:p>
            <w:pPr>
              <w:pStyle w:val="Compact"/>
              <w:jc w:val="right"/>
            </w:pPr>
            <w:r>
              <w:t xml:space="preserve">0.992 (0.922–1.068)</w:t>
            </w:r>
          </w:p>
        </w:tc>
        <w:tc>
          <w:tcPr/>
          <w:p>
            <w:pPr>
              <w:pStyle w:val="Compact"/>
              <w:jc w:val="right"/>
            </w:pPr>
            <w:r>
              <w:t xml:space="preserve">0.954</w:t>
            </w:r>
          </w:p>
        </w:tc>
        <w:tc>
          <w:tcPr/>
          <w:p>
            <w:pPr>
              <w:pStyle w:val="Compact"/>
              <w:jc w:val="right"/>
            </w:pPr>
            <w:r>
              <w:t xml:space="preserve">27% / 29% (68%)</w:t>
            </w:r>
          </w:p>
        </w:tc>
      </w:tr>
      <w:tr>
        <w:tc>
          <w:tcPr/>
          <w:p>
            <w:pPr>
              <w:pStyle w:val="Compact"/>
              <w:jc w:val="left"/>
            </w:pPr>
            <w:r>
              <w:t xml:space="preserve">Metformin</w:t>
            </w:r>
          </w:p>
        </w:tc>
        <w:tc>
          <w:tcPr/>
          <w:p>
            <w:pPr>
              <w:pStyle w:val="Compact"/>
              <w:jc w:val="right"/>
            </w:pPr>
            <w:r>
              <w:t xml:space="preserve">0.966 (0.934–0.998)</w:t>
            </w:r>
          </w:p>
        </w:tc>
        <w:tc>
          <w:tcPr/>
          <w:p>
            <w:pPr>
              <w:pStyle w:val="Compact"/>
              <w:jc w:val="right"/>
            </w:pPr>
            <w:r>
              <w:t xml:space="preserve">0.958 (0.924–0.992)</w:t>
            </w:r>
          </w:p>
        </w:tc>
        <w:tc>
          <w:tcPr/>
          <w:p>
            <w:pPr>
              <w:pStyle w:val="Compact"/>
              <w:jc w:val="right"/>
            </w:pPr>
            <w:r>
              <w:t xml:space="preserve">0.964 (0.935–0.994)</w:t>
            </w:r>
          </w:p>
        </w:tc>
        <w:tc>
          <w:tcPr/>
          <w:p>
            <w:pPr>
              <w:pStyle w:val="Compact"/>
              <w:jc w:val="right"/>
            </w:pPr>
            <w:r>
              <w:t xml:space="preserve">0.967 (0.913–1.024)</w:t>
            </w:r>
          </w:p>
        </w:tc>
        <w:tc>
          <w:tcPr/>
          <w:p>
            <w:pPr>
              <w:pStyle w:val="Compact"/>
              <w:jc w:val="right"/>
            </w:pPr>
            <w:r>
              <w:t xml:space="preserve">0.999 (0.939–1.062)</w:t>
            </w:r>
          </w:p>
        </w:tc>
        <w:tc>
          <w:tcPr/>
          <w:p>
            <w:pPr>
              <w:pStyle w:val="Compact"/>
              <w:jc w:val="right"/>
            </w:pPr>
            <w:r>
              <w:t xml:space="preserve">0.576</w:t>
            </w:r>
          </w:p>
        </w:tc>
        <w:tc>
          <w:tcPr/>
          <w:p>
            <w:pPr>
              <w:pStyle w:val="Compact"/>
              <w:jc w:val="right"/>
            </w:pPr>
            <w:r>
              <w:t xml:space="preserve">0% / 38% (32%)</w:t>
            </w:r>
          </w:p>
        </w:tc>
      </w:tr>
      <w:tr>
        <w:tc>
          <w:tcPr/>
          <w:p>
            <w:pPr>
              <w:pStyle w:val="Compact"/>
              <w:jc w:val="left"/>
            </w:pPr>
            <w:r>
              <w:t xml:space="preserve">Insulins</w:t>
            </w:r>
          </w:p>
        </w:tc>
        <w:tc>
          <w:tcPr/>
          <w:p>
            <w:pPr>
              <w:pStyle w:val="Compact"/>
              <w:jc w:val="right"/>
            </w:pPr>
            <w:r>
              <w:t xml:space="preserve">0.966 (0.929–1.005)</w:t>
            </w:r>
          </w:p>
        </w:tc>
        <w:tc>
          <w:tcPr/>
          <w:p>
            <w:pPr>
              <w:pStyle w:val="Compact"/>
              <w:jc w:val="right"/>
            </w:pPr>
            <w:r>
              <w:t xml:space="preserve">0.971 (0.929–1.014)</w:t>
            </w:r>
          </w:p>
        </w:tc>
        <w:tc>
          <w:tcPr/>
          <w:p>
            <w:pPr>
              <w:pStyle w:val="Compact"/>
              <w:jc w:val="right"/>
            </w:pPr>
            <w:r>
              <w:t xml:space="preserve">0.972 (0.940–1.005)</w:t>
            </w:r>
          </w:p>
        </w:tc>
        <w:tc>
          <w:tcPr/>
          <w:p>
            <w:pPr>
              <w:pStyle w:val="Compact"/>
              <w:jc w:val="right"/>
            </w:pPr>
            <w:r>
              <w:t xml:space="preserve">1.028 (0.974–1.085)</w:t>
            </w:r>
          </w:p>
        </w:tc>
        <w:tc>
          <w:tcPr/>
          <w:p>
            <w:pPr>
              <w:pStyle w:val="Compact"/>
              <w:jc w:val="right"/>
            </w:pPr>
            <w:r>
              <w:t xml:space="preserve">0.921 (0.866–0.980)</w:t>
            </w:r>
          </w:p>
        </w:tc>
        <w:tc>
          <w:tcPr/>
          <w:p>
            <w:pPr>
              <w:pStyle w:val="Compact"/>
              <w:jc w:val="right"/>
            </w:pPr>
            <w:r>
              <w:t xml:space="preserve">0.038</w:t>
            </w:r>
          </w:p>
        </w:tc>
        <w:tc>
          <w:tcPr/>
          <w:p>
            <w:pPr>
              <w:pStyle w:val="Compact"/>
              <w:jc w:val="right"/>
            </w:pPr>
            <w:r>
              <w:t xml:space="preserve">0% / 39% (38%)</w:t>
            </w:r>
          </w:p>
        </w:tc>
      </w:tr>
      <w:tr>
        <w:tc>
          <w:tcPr/>
          <w:p>
            <w:pPr>
              <w:pStyle w:val="Compact"/>
              <w:jc w:val="left"/>
            </w:pPr>
            <w:r>
              <w:t xml:space="preserve">Fluoroquinolones</w:t>
            </w:r>
          </w:p>
        </w:tc>
        <w:tc>
          <w:tcPr/>
          <w:p>
            <w:pPr>
              <w:pStyle w:val="Compact"/>
              <w:jc w:val="right"/>
            </w:pPr>
            <w:r>
              <w:t xml:space="preserve">1.005 (0.992–1.017)</w:t>
            </w:r>
          </w:p>
        </w:tc>
        <w:tc>
          <w:tcPr/>
          <w:p>
            <w:pPr>
              <w:pStyle w:val="Compact"/>
              <w:jc w:val="right"/>
            </w:pPr>
            <w:r>
              <w:t xml:space="preserve">1.004 (0.991–1.018)</w:t>
            </w:r>
          </w:p>
        </w:tc>
        <w:tc>
          <w:tcPr/>
          <w:p>
            <w:pPr>
              <w:pStyle w:val="Compact"/>
              <w:jc w:val="right"/>
            </w:pPr>
            <w:r>
              <w:t xml:space="preserve">1.003 (0.991–1.016)</w:t>
            </w:r>
          </w:p>
        </w:tc>
        <w:tc>
          <w:tcPr/>
          <w:p>
            <w:pPr>
              <w:pStyle w:val="Compact"/>
              <w:jc w:val="right"/>
            </w:pPr>
            <w:r>
              <w:t xml:space="preserve">1.010 (0.995–1.026)</w:t>
            </w:r>
          </w:p>
        </w:tc>
        <w:tc>
          <w:tcPr/>
          <w:p>
            <w:pPr>
              <w:pStyle w:val="Compact"/>
              <w:jc w:val="right"/>
            </w:pPr>
            <w:r>
              <w:t xml:space="preserve">0.993 (0.979–1.009)</w:t>
            </w:r>
          </w:p>
        </w:tc>
        <w:tc>
          <w:tcPr/>
          <w:p>
            <w:pPr>
              <w:pStyle w:val="Compact"/>
              <w:jc w:val="right"/>
            </w:pPr>
            <w:r>
              <w:t xml:space="preserve">0.185</w:t>
            </w:r>
          </w:p>
        </w:tc>
        <w:tc>
          <w:tcPr/>
          <w:p>
            <w:pPr>
              <w:pStyle w:val="Compact"/>
              <w:jc w:val="right"/>
            </w:pPr>
            <w:r>
              <w:t xml:space="preserve">15% / 6% (55%)</w:t>
            </w:r>
          </w:p>
        </w:tc>
      </w:tr>
      <w:tr>
        <w:tc>
          <w:tcPr/>
          <w:p>
            <w:pPr>
              <w:pStyle w:val="Compact"/>
              <w:jc w:val="left"/>
            </w:pPr>
            <w:r>
              <w:t xml:space="preserve">All antibacterials</w:t>
            </w:r>
          </w:p>
        </w:tc>
        <w:tc>
          <w:tcPr/>
          <w:p>
            <w:pPr>
              <w:pStyle w:val="Compact"/>
              <w:jc w:val="right"/>
            </w:pPr>
            <w:r>
              <w:t xml:space="preserve">0.996 (0.955–1.039)</w:t>
            </w:r>
          </w:p>
        </w:tc>
        <w:tc>
          <w:tcPr/>
          <w:p>
            <w:pPr>
              <w:pStyle w:val="Compact"/>
              <w:jc w:val="right"/>
            </w:pPr>
            <w:r>
              <w:t xml:space="preserve">1.003 (0.957–1.052)</w:t>
            </w:r>
          </w:p>
        </w:tc>
        <w:tc>
          <w:tcPr/>
          <w:p>
            <w:pPr>
              <w:pStyle w:val="Compact"/>
              <w:jc w:val="right"/>
            </w:pPr>
            <w:r>
              <w:t xml:space="preserve">0.995 (0.958–1.033)</w:t>
            </w:r>
          </w:p>
        </w:tc>
        <w:tc>
          <w:tcPr/>
          <w:p>
            <w:pPr>
              <w:pStyle w:val="Compact"/>
              <w:jc w:val="right"/>
            </w:pPr>
            <w:r>
              <w:t xml:space="preserve">1.000 (0.957–1.045)</w:t>
            </w:r>
          </w:p>
        </w:tc>
        <w:tc>
          <w:tcPr/>
          <w:p>
            <w:pPr>
              <w:pStyle w:val="Compact"/>
              <w:jc w:val="right"/>
            </w:pPr>
            <w:r>
              <w:t xml:space="preserve">0.998 (0.967–1.031)</w:t>
            </w:r>
          </w:p>
        </w:tc>
        <w:tc>
          <w:tcPr/>
          <w:p>
            <w:pPr>
              <w:pStyle w:val="Compact"/>
              <w:jc w:val="right"/>
            </w:pPr>
            <w:r>
              <w:t xml:space="preserve">0.945</w:t>
            </w:r>
          </w:p>
        </w:tc>
        <w:tc>
          <w:tcPr/>
          <w:p>
            <w:pPr>
              <w:pStyle w:val="Compact"/>
              <w:jc w:val="right"/>
            </w:pPr>
            <w:r>
              <w:t xml:space="preserve">32% / 28% (73%)</w:t>
            </w:r>
          </w:p>
        </w:tc>
      </w:tr>
      <w:tr>
        <w:tc>
          <w:tcPr/>
          <w:p>
            <w:pPr>
              <w:pStyle w:val="Compact"/>
              <w:jc w:val="left"/>
            </w:pPr>
            <w:r>
              <w:t xml:space="preserve">Vitamin D</w:t>
            </w:r>
          </w:p>
        </w:tc>
        <w:tc>
          <w:tcPr/>
          <w:p>
            <w:pPr>
              <w:pStyle w:val="Compact"/>
              <w:jc w:val="right"/>
            </w:pPr>
            <w:r>
              <w:t xml:space="preserve">1.007 (0.987–1.027)</w:t>
            </w:r>
          </w:p>
        </w:tc>
        <w:tc>
          <w:tcPr/>
          <w:p>
            <w:pPr>
              <w:pStyle w:val="Compact"/>
              <w:jc w:val="right"/>
            </w:pPr>
            <w:r>
              <w:t xml:space="preserve">1.009 (0.987–1.031)</w:t>
            </w:r>
          </w:p>
        </w:tc>
        <w:tc>
          <w:tcPr/>
          <w:p>
            <w:pPr>
              <w:pStyle w:val="Compact"/>
              <w:jc w:val="right"/>
            </w:pPr>
            <w:r>
              <w:t xml:space="preserve">1.007 (0.988–1.025)</w:t>
            </w:r>
          </w:p>
        </w:tc>
        <w:tc>
          <w:tcPr/>
          <w:p>
            <w:pPr>
              <w:pStyle w:val="Compact"/>
              <w:jc w:val="right"/>
            </w:pPr>
            <w:r>
              <w:t xml:space="preserve">1.001 (0.975–1.028)</w:t>
            </w:r>
          </w:p>
        </w:tc>
        <w:tc>
          <w:tcPr/>
          <w:p>
            <w:pPr>
              <w:pStyle w:val="Compact"/>
              <w:jc w:val="right"/>
            </w:pPr>
            <w:r>
              <w:t xml:space="preserve">1.007 (0.980–1.033)</w:t>
            </w:r>
          </w:p>
        </w:tc>
        <w:tc>
          <w:tcPr/>
          <w:p>
            <w:pPr>
              <w:pStyle w:val="Compact"/>
              <w:jc w:val="right"/>
            </w:pPr>
            <w:r>
              <w:t xml:space="preserve">0.827</w:t>
            </w:r>
          </w:p>
        </w:tc>
        <w:tc>
          <w:tcPr/>
          <w:p>
            <w:pPr>
              <w:pStyle w:val="Compact"/>
              <w:jc w:val="right"/>
            </w:pPr>
            <w:r>
              <w:t xml:space="preserve">24% / 9% (64%)</w:t>
            </w:r>
          </w:p>
        </w:tc>
      </w:tr>
      <w:tr>
        <w:tc>
          <w:tcPr/>
          <w:p>
            <w:pPr>
              <w:pStyle w:val="Compact"/>
              <w:jc w:val="left"/>
            </w:pPr>
            <w:r>
              <w:t xml:space="preserve">Levothyroxine (negative control)</w:t>
            </w:r>
          </w:p>
        </w:tc>
        <w:tc>
          <w:tcPr/>
          <w:p>
            <w:pPr>
              <w:pStyle w:val="Compact"/>
              <w:jc w:val="right"/>
            </w:pPr>
            <w:r>
              <w:t xml:space="preserve">0.962 (0.933–0.992)</w:t>
            </w:r>
          </w:p>
        </w:tc>
        <w:tc>
          <w:tcPr/>
          <w:p>
            <w:pPr>
              <w:pStyle w:val="Compact"/>
              <w:jc w:val="right"/>
            </w:pPr>
            <w:r>
              <w:t xml:space="preserve">0.956 (0.926–0.988)</w:t>
            </w:r>
          </w:p>
        </w:tc>
        <w:tc>
          <w:tcPr/>
          <w:p>
            <w:pPr>
              <w:pStyle w:val="Compact"/>
              <w:jc w:val="right"/>
            </w:pPr>
            <w:r>
              <w:t xml:space="preserve">0.965 (0.939–0.993)</w:t>
            </w:r>
          </w:p>
        </w:tc>
        <w:tc>
          <w:tcPr/>
          <w:p>
            <w:pPr>
              <w:pStyle w:val="Compact"/>
              <w:jc w:val="right"/>
            </w:pPr>
            <w:r>
              <w:t xml:space="preserve">0.983 (0.928–1.042)</w:t>
            </w:r>
          </w:p>
        </w:tc>
        <w:tc>
          <w:tcPr/>
          <w:p>
            <w:pPr>
              <w:pStyle w:val="Compact"/>
              <w:jc w:val="right"/>
            </w:pPr>
            <w:r>
              <w:t xml:space="preserve">0.972 (0.908–1.040)</w:t>
            </w:r>
          </w:p>
        </w:tc>
        <w:tc>
          <w:tcPr/>
          <w:p>
            <w:pPr>
              <w:pStyle w:val="Compact"/>
              <w:jc w:val="right"/>
            </w:pPr>
            <w:r>
              <w:t xml:space="preserve">0.846</w:t>
            </w:r>
          </w:p>
        </w:tc>
        <w:tc>
          <w:tcPr/>
          <w:p>
            <w:pPr>
              <w:pStyle w:val="Compact"/>
              <w:jc w:val="right"/>
            </w:pPr>
            <w:r>
              <w:t xml:space="preserve">0% / 38% (26%)</w:t>
            </w:r>
          </w:p>
        </w:tc>
      </w:tr>
    </w:tbl>
    <w:p>
      <w:pPr>
        <w:pStyle w:val="BodyText"/>
      </w:pPr>
      <w:r>
        <w:t xml:space="preserve">Poisson PML with area and year fixed effects, adjusted for age structure, international in-migration, HIV and diabetes prevalence (diabetes not adjusted for metformin and insulins); SEs clustered by area. Joint model: prescribing in t−1 and t+1 in one model on a common sample; because the two are highly correlated within areas, their estimates are negatively correlated and opposite signs can arise by chance. PAF, largest population attributable fraction compatible with the upper 90% confidence limit; prevented fraction, the same from the lower 90% limit; in brackets, the PAF after dividing the upper limit by the negative control (levothyroxine) estimate, as if its bias applied to every drug.</w:t>
      </w:r>
    </w:p>
    <w:p>
      <w:pPr>
        <w:pStyle w:val="BodyText"/>
      </w:pPr>
      <w:r>
        <w:rPr>
          <w:b/>
          <w:bCs/>
        </w:rPr>
        <w:t xml:space="preserve">Largest attributable fraction compatible with the data</w:t>
      </w:r>
      <w:r>
        <w:t xml:space="preserve"> </w:t>
      </w:r>
      <w:r>
        <w:t xml:space="preserve">(upper 90% confidence limit)</w:t>
      </w:r>
      <w:r>
        <w:t xml:space="preserve"> </w:t>
      </w:r>
      <w:r>
        <w:t xml:space="preserve">- Systemic oral glucocorticoids 5%; conventional DMARDs 18%; transplant immunosuppressants 4%.</w:t>
      </w:r>
      <w:r>
        <w:t xml:space="preserve"> </w:t>
      </w:r>
      <w:r>
        <w:t xml:space="preserve">- These bounds depend on point estimates that happened to fall below 1, and they are not robust to the bias revealed by the negative control. Dividing each upper limit by the levothyroxine estimate raised them to 44%, 58% and 44%, close to the minimum detectable attributable fractions (Table 2).</w:t>
      </w:r>
      <w:r>
        <w:t xml:space="preserve"> </w:t>
      </w:r>
      <w:r>
        <w:t xml:space="preserve">- For drugs expected to protect, the data were compatible with prevented fractions of up to 38% (metformin) and 29% (statins).</w:t>
      </w:r>
    </w:p>
    <w:p>
      <w:pPr>
        <w:pStyle w:val="BodyText"/>
      </w:pPr>
      <w:r>
        <w:rPr>
          <w:b/>
          <w:bCs/>
        </w:rPr>
        <w:t xml:space="preserve">Robustness</w:t>
      </w:r>
      <w:r>
        <w:t xml:space="preserve"> </w:t>
      </w:r>
      <w:r>
        <w:t xml:space="preserve">- Upper-tier geography (151 areas) gave similar results:</w:t>
      </w:r>
      <w:r>
        <w:t xml:space="preserve"> </w:t>
      </w:r>
      <w:r>
        <w:t xml:space="preserve">- systemic oral glucocorticoids 0.974 (0.928–1.023); all FDR q ≥ 0.22</w:t>
      </w:r>
      <w:r>
        <w:t xml:space="preserve"> </w:t>
      </w:r>
      <w:r>
        <w:t xml:space="preserve">- the negative control, levothyroxine, was nominally inverse at 0.956 (0.926–0.988), the same size as metformin (0.958, 0.924–0.992). This suggests residual confounding by trends.</w:t>
      </w:r>
      <w:r>
        <w:t xml:space="preserve"> </w:t>
      </w:r>
      <w:r>
        <w:t xml:space="preserve">- Apportioning prescribing by practice postcode gave similar results: lower-tier oral glucocorticoids 0.974 (0.939–1.010).</w:t>
      </w:r>
      <w:r>
        <w:t xml:space="preserve"> </w:t>
      </w:r>
      <w:r>
        <w:t xml:space="preserve">- For oral glucocorticoids, estimates were also materially unchanged by (Table S1):</w:t>
      </w:r>
      <w:r>
        <w:t xml:space="preserve"> </w:t>
      </w:r>
      <w:r>
        <w:t xml:space="preserve">- a three-year prior exposure window, area-specific linear trends, or log population as a covariate</w:t>
      </w:r>
      <w:r>
        <w:t xml:space="preserve"> </w:t>
      </w:r>
      <w:r>
        <w:t xml:space="preserve">- adjustment for the LTBI programme or asylum support</w:t>
      </w:r>
      <w:r>
        <w:t xml:space="preserve"> </w:t>
      </w:r>
      <w:r>
        <w:t xml:space="preserve">- excluding COVID-affected years</w:t>
      </w:r>
      <w:r>
        <w:t xml:space="preserve"> </w:t>
      </w:r>
      <w:r>
        <w:t xml:space="preserve">- restricting to outcome years 2018–2024 (0.983, 0.941–1.028) or to EPD-era exposure (0.979, 0.939–1.021).</w:t>
      </w:r>
      <w:r>
        <w:t xml:space="preserve"> </w:t>
      </w:r>
      <w:r>
        <w:t xml:space="preserve">- Inhaled corticosteroids were nominally inverse in several sensitivity analyses (for example 0.938 for outcome years 2018–2024), the direction opposite to any plausible harmful effect.</w:t>
      </w:r>
    </w:p>
    <w:p>
      <w:pPr>
        <w:pStyle w:val="BodyText"/>
      </w:pPr>
      <w:r>
        <w:rPr>
          <w:b/>
          <w:bCs/>
        </w:rPr>
        <w:t xml:space="preserve">Falsification tests</w:t>
      </w:r>
      <w:r>
        <w:t xml:space="preserve"> </w:t>
      </w:r>
      <w:r>
        <w:t xml:space="preserve">(prescribing in years t−1 and t+1 estimated jointly; Table 1 and Table S2b)</w:t>
      </w:r>
      <w:r>
        <w:t xml:space="preserve"> </w:t>
      </w:r>
      <w:r>
        <w:t xml:space="preserve">- Following-year prescribing was inversely associated with notifications for some groups:</w:t>
      </w:r>
      <w:r>
        <w:t xml:space="preserve"> </w:t>
      </w:r>
      <w:r>
        <w:t xml:space="preserve">- inhaled corticosteroids: t−1 1.058 (0.995–1.126), t+1 0.879 (0.840–0.921); difference p &lt; 0.001</w:t>
      </w:r>
      <w:r>
        <w:t xml:space="preserve"> </w:t>
      </w:r>
      <w:r>
        <w:t xml:space="preserve">- insulins: t−1 1.028 (0.974–1.085), t+1 0.921 (0.866–0.980); difference p = 0.04</w:t>
      </w:r>
      <w:r>
        <w:t xml:space="preserve"> </w:t>
      </w:r>
      <w:r>
        <w:t xml:space="preserve">- systemic oral glucocorticoids: t−1 0.990 (0.941–1.041), t+1 0.952 (0.912–0.994); difference p = 0.33.</w:t>
      </w:r>
      <w:r>
        <w:t xml:space="preserve"> </w:t>
      </w:r>
      <w:r>
        <w:t xml:space="preserve">- Within areas, prescribing in nearby years is highly correlated, so in the two-year model the t−1 and t+1 estimates were negatively correlated (−0.16 to −0.83 across groups) and opposite signs can arise by chance.</w:t>
      </w:r>
      <w:r>
        <w:t xml:space="preserve"> </w:t>
      </w:r>
      <w:r>
        <w:t xml:space="preserve">- With same-year prescribing added, previous-year terms were null for every group. Same-year terms were positive for several groups (for example proton pump inhibitors 1.128, 1.035–1.229), the direction expected from prescribing for undiagnosed TB, and following-year terms remained inverse.</w:t>
      </w:r>
      <w:r>
        <w:t xml:space="preserve"> </w:t>
      </w:r>
      <w:r>
        <w:t xml:space="preserve">- Area-specific linear trends gave inhaled corticosteroids 1.033 (0.981–1.087).</w:t>
      </w:r>
      <w:r>
        <w:t xml:space="preserve"> </w:t>
      </w:r>
      <w:r>
        <w:t xml:space="preserve">-</w:t>
      </w:r>
      <w:r>
        <w:t xml:space="preserve"> </w:t>
      </w:r>
      <w:r>
        <w:rPr>
          <w:b/>
          <w:bCs/>
        </w:rPr>
        <w:t xml:space="preserve">Multiplicity.</w:t>
      </w:r>
      <w:r>
        <w:t xml:space="preserve"> </w:t>
      </w:r>
      <w:r>
        <w:t xml:space="preserve">Of all 277 estimates in the lower-tier residence models, 30 were nominally significant, more than the 5% expected by chance. They were concentrated in the negative control (levothyroxine, 6, all inverse), metformin (5, inverse) and inhaled corticosteroids (8, mostly inverse or following-year terms), a pattern that points to shared trends rather than drug effects.</w:t>
      </w:r>
    </w:p>
    <w:p>
      <w:pPr>
        <w:pStyle w:val="BodyText"/>
      </w:pPr>
      <w:r>
        <w:rPr>
          <w:b/>
          <w:bCs/>
        </w:rPr>
        <w:t xml:space="preserve">Spatial dependence</w:t>
      </w:r>
      <w:r>
        <w:t xml:space="preserve"> </w:t>
      </w:r>
      <w:r>
        <w:t xml:space="preserve">- Raw TB notification rates were strongly spatially clustered in every year (Moran’s I 0.25–0.39 lower-tier; 0.40–0.49 upper-tier).</w:t>
      </w:r>
      <w:r>
        <w:t xml:space="preserve"> </w:t>
      </w:r>
      <w:r>
        <w:t xml:space="preserve">- Residual dependence after the primary model was weak and concentrated in 2014:</w:t>
      </w:r>
      <w:r>
        <w:t xml:space="preserve"> </w:t>
      </w:r>
      <w:r>
        <w:t xml:space="preserve">- lower-tier: median I 0.026 (range −0.004 to 0.163), nominally significant in 2 of 11 years (2014, I = 0.163; 2023, I = 0.079)</w:t>
      </w:r>
      <w:r>
        <w:t xml:space="preserve"> </w:t>
      </w:r>
      <w:r>
        <w:t xml:space="preserve">- upper-tier: median I 0.009, nominally significant only in 2014 (I = 0.209).</w:t>
      </w:r>
      <w:r>
        <w:t xml:space="preserve"> </w:t>
      </w:r>
      <w:r>
        <w:t xml:space="preserve">- 2014 is the only outcome year whose previous-year exposure comes from the pre-2014 HSCIC series.</w:t>
      </w:r>
    </w:p>
    <w:bookmarkEnd w:id="40"/>
    <w:bookmarkStart w:id="44" w:name="X3fa4c9daea61922821fe3a61eb4ce118aa52ab3"/>
    <w:p>
      <w:pPr>
        <w:pStyle w:val="Heading3"/>
      </w:pPr>
      <w:r>
        <w:t xml:space="preserve">Oral glucocorticoid prescribing trends and changes in TB notifications</w:t>
      </w:r>
    </w:p>
    <w:p>
      <w:pPr>
        <w:pStyle w:val="FirstParagraph"/>
      </w:pPr>
      <w:r>
        <w:rPr>
          <w:b/>
          <w:bCs/>
        </w:rPr>
        <w:t xml:space="preserve">National trends, 2011–2024</w:t>
      </w:r>
      <w:r>
        <w:t xml:space="preserve"> </w:t>
      </w:r>
      <w:r>
        <w:t xml:space="preserve">(standard GP practices)</w:t>
      </w:r>
      <w:r>
        <w:t xml:space="preserve"> </w:t>
      </w:r>
      <w:r>
        <w:t xml:space="preserve">- Systemic oral glucocorticoid items rose from 119 to 132 per 1,000 residents in 2011–2016, then fell to 111 in 2024. Most of the fall came in 2020–21 (Figure 3).</w:t>
      </w:r>
      <w:r>
        <w:t xml:space="preserve"> </w:t>
      </w:r>
      <w:r>
        <w:t xml:space="preserve">- Prednisolone-equivalent mg per item fell from 225 to 192, so courses became smaller.</w:t>
      </w:r>
      <w:r>
        <w:t xml:space="preserve"> </w:t>
      </w:r>
      <w:r>
        <w:t xml:space="preserve">- Oral hydrocortisone items, mainly replacement therapy, rose from 5.5 to 9.1 per 1,000.</w:t>
      </w:r>
    </w:p>
    <w:p>
      <w:pPr>
        <w:pStyle w:val="CaptionedFigure"/>
      </w:pPr>
      <w:r>
        <w:drawing>
          <wp:inline>
            <wp:extent cx="5334000" cy="5334000"/>
            <wp:effectExtent b="0" l="0" r="0" t="0"/>
            <wp:docPr descr="Figure 3. Oral glucocorticoid prescribing in English primary care, 2011–2024: systemic oral glucocorticoid items, oral hydrocortisone items and prednisolone-equivalent mg per resident." title="" id="42" name="Picture"/>
            <a:graphic>
              <a:graphicData uri="http://schemas.openxmlformats.org/drawingml/2006/picture">
                <pic:pic>
                  <pic:nvPicPr>
                    <pic:cNvPr descr="figures/ocs_national_trends.png" id="43" name="Picture"/>
                    <pic:cNvPicPr>
                      <a:picLocks noChangeArrowheads="1" noChangeAspect="1"/>
                    </pic:cNvPicPr>
                  </pic:nvPicPr>
                  <pic:blipFill>
                    <a:blip r:embed="rId4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Oral glucocorticoid prescribing in English primary care, 2011–2024: systemic oral glucocorticoid items, oral hydrocortisone items and prednisolone-equivalent mg per resident.</w:t>
      </w:r>
    </w:p>
    <w:p>
      <w:pPr>
        <w:pStyle w:val="BodyText"/>
      </w:pPr>
      <w:r>
        <w:rPr>
          <w:b/>
          <w:bCs/>
        </w:rPr>
        <w:t xml:space="preserve">Correlation with national TB trends</w:t>
      </w:r>
      <w:r>
        <w:t xml:space="preserve"> </w:t>
      </w:r>
      <w:r>
        <w:t xml:space="preserve">- National notification rates and prescribing were not correlated in levels (14 years; r = 0.33, p = 0.25).</w:t>
      </w:r>
      <w:r>
        <w:t xml:space="preserve"> </w:t>
      </w:r>
      <w:r>
        <w:t xml:space="preserve">- Year-on-year changes were not correlated at lags of 0–2 years.</w:t>
      </w:r>
      <w:r>
        <w:t xml:space="preserve"> </w:t>
      </w:r>
      <w:r>
        <w:t xml:space="preserve">- At a 3-year lag, one of eight correlations was nominally significant and inverse (r = −0.75).</w:t>
      </w:r>
    </w:p>
    <w:p>
      <w:pPr>
        <w:pStyle w:val="BodyText"/>
      </w:pPr>
      <w:r>
        <w:rPr>
          <w:b/>
          <w:bCs/>
        </w:rPr>
        <w:t xml:space="preserve">Regional and local changes</w:t>
      </w:r>
      <w:r>
        <w:t xml:space="preserve"> </w:t>
      </w:r>
      <w:r>
        <w:t xml:space="preserve">- In the regional panel (9 regions, 2012–2024), adjusted estimates were null:</w:t>
      </w:r>
      <w:r>
        <w:t xml:space="preserve"> </w:t>
      </w:r>
      <w:r>
        <w:t xml:space="preserve">- items, lag 1: 1.034 (0.774–1.382); randomisation p = 0.80</w:t>
      </w:r>
      <w:r>
        <w:t xml:space="preserve"> </w:t>
      </w:r>
      <w:r>
        <w:t xml:space="preserve">- prednisolone mg, lag 1: 1.094 (0.845–1.416); randomisation p = 0.57.</w:t>
      </w:r>
      <w:r>
        <w:t xml:space="preserve"> </w:t>
      </w:r>
      <w:r>
        <w:t xml:space="preserve">- Across 140 upper-tier authorities, changes in prescribing (2014–16 to 2019–21) and in notifications (2014–16 to 2022–24) were weakly inversely related before adjustment (Spearman ρ = −0.19). After adjustment for change in in-migration they were unrelated (ratio per 10% 0.983, 0.917–1.054).</w:t>
      </w:r>
    </w:p>
    <w:bookmarkEnd w:id="44"/>
    <w:bookmarkStart w:id="48" w:name="hospital-medicines-1"/>
    <w:p>
      <w:pPr>
        <w:pStyle w:val="Heading3"/>
      </w:pPr>
      <w:r>
        <w:t xml:space="preserve">Hospital medicines</w:t>
      </w:r>
    </w:p>
    <w:p>
      <w:pPr>
        <w:pStyle w:val="FirstParagraph"/>
      </w:pPr>
      <w:r>
        <w:rPr>
          <w:b/>
          <w:bCs/>
        </w:rPr>
        <w:t xml:space="preserve">Coverage</w:t>
      </w:r>
      <w:r>
        <w:t xml:space="preserve"> </w:t>
      </w:r>
      <w:r>
        <w:t xml:space="preserve">- After reassigning merged trusts to their successors, 98–100% of DDD in every drug group and year came from trusts with catchment data, and 95% for levetiracetam (Table S7).</w:t>
      </w:r>
    </w:p>
    <w:p>
      <w:pPr>
        <w:pStyle w:val="BodyText"/>
      </w:pPr>
      <w:r>
        <w:rPr>
          <w:b/>
          <w:bCs/>
        </w:rPr>
        <w:t xml:space="preserve">Positive control: active-TB treatment</w:t>
      </w:r>
      <w:r>
        <w:t xml:space="preserve"> </w:t>
      </w:r>
      <w:r>
        <w:t xml:space="preserve">(pyrazinamide DDD, upper-tier authorities)</w:t>
      </w:r>
      <w:r>
        <w:t xml:space="preserve"> </w:t>
      </w:r>
      <w:r>
        <w:t xml:space="preserve">- Between areas: tracked notifications (Spearman ρ = 0.81; adjusted IRR per SD 1.23, 1.10–1.36).</w:t>
      </w:r>
      <w:r>
        <w:t xml:space="preserve"> </w:t>
      </w:r>
      <w:r>
        <w:t xml:space="preserve">- Within areas, same year: 1.035 (1.009–1.061) per 10% increase.</w:t>
      </w:r>
      <w:r>
        <w:t xml:space="preserve"> </w:t>
      </w:r>
      <w:r>
        <w:t xml:space="preserve">- Previous year: 1.001 (0.993–1.010). Following year, estimated jointly: 0.997 (0.986–1.007).</w:t>
      </w:r>
      <w:r>
        <w:t xml:space="preserve"> </w:t>
      </w:r>
      <w:r>
        <w:t xml:space="preserve">- The within-area elasticity was 0.36 (95% CI 0.10–0.62; lower-tier 0.40, 0.14–0.66). It reflects apportionment error, timing (treatment of people notified late in a year continues into the next) and variation in drug volume per person treated, not linkage error alone.</w:t>
      </w:r>
      <w:r>
        <w:t xml:space="preserve"> </w:t>
      </w:r>
      <w:r>
        <w:t xml:space="preserve">- Rifamycin/isoniazid products, which also cover latent TB and other infections, had the same elasticity (0.37, 0.22–0.51). The more specific measure gained nothing, so the attenuation is dominated by apportionment rather than drug specificity.</w:t>
      </w:r>
    </w:p>
    <w:p>
      <w:pPr>
        <w:pStyle w:val="CaptionedFigure"/>
      </w:pPr>
      <w:r>
        <w:drawing>
          <wp:inline>
            <wp:extent cx="5334000" cy="2560320"/>
            <wp:effectExtent b="0" l="0" r="0" t="0"/>
            <wp:docPr descr="Figure 5. Positive control: hospital active-TB treatment (pyrazinamide DDD-years per 1,000 residents, including fixed-dose combinations) and TB notifications between areas (left) and within areas over time (right)." title="" id="46" name="Picture"/>
            <a:graphic>
              <a:graphicData uri="http://schemas.openxmlformats.org/drawingml/2006/picture">
                <pic:pic>
                  <pic:nvPicPr>
                    <pic:cNvPr descr="figures/hospital_positive_control.png" id="47" name="Picture"/>
                    <pic:cNvPicPr>
                      <a:picLocks noChangeArrowheads="1" noChangeAspect="1"/>
                    </pic:cNvPicPr>
                  </pic:nvPicPr>
                  <pic:blipFill>
                    <a:blip r:embed="rId45"/>
                    <a:stretch>
                      <a:fillRect/>
                    </a:stretch>
                  </pic:blipFill>
                  <pic:spPr bwMode="auto">
                    <a:xfrm>
                      <a:off x="0" y="0"/>
                      <a:ext cx="5334000" cy="2560320"/>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Positive control: hospital active-TB treatment (pyrazinamide DDD-years per 1,000 residents, including fixed-dose combinations) and TB notifications between areas (left) and within areas over time (right).</w:t>
      </w:r>
    </w:p>
    <w:p>
      <w:pPr>
        <w:pStyle w:val="BodyText"/>
      </w:pPr>
      <w:r>
        <w:rPr>
          <w:b/>
          <w:bCs/>
        </w:rPr>
        <w:t xml:space="preserve">Candidate drugs</w:t>
      </w:r>
      <w:r>
        <w:t xml:space="preserve"> </w:t>
      </w:r>
      <w:r>
        <w:t xml:space="preserve">(prescribing in the previous year, IRR per 10% increase; Table 3 and Table S3b)</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Drug group</w:t>
            </w:r>
          </w:p>
        </w:tc>
        <w:tc>
          <w:tcPr/>
          <w:p>
            <w:pPr>
              <w:pStyle w:val="Compact"/>
              <w:jc w:val="left"/>
            </w:pPr>
            <w:r>
              <w:t xml:space="preserve">Upper-tier</w:t>
            </w:r>
          </w:p>
        </w:tc>
        <w:tc>
          <w:tcPr/>
          <w:p>
            <w:pPr>
              <w:pStyle w:val="Compact"/>
              <w:jc w:val="left"/>
            </w:pPr>
            <w:r>
              <w:t xml:space="preserve">Lower-tier</w:t>
            </w:r>
          </w:p>
        </w:tc>
      </w:tr>
      <w:tr>
        <w:tc>
          <w:tcPr/>
          <w:p>
            <w:pPr>
              <w:pStyle w:val="Compact"/>
              <w:jc w:val="left"/>
            </w:pPr>
            <w:r>
              <w:t xml:space="preserve">TNF inhibitors</w:t>
            </w:r>
          </w:p>
        </w:tc>
        <w:tc>
          <w:tcPr/>
          <w:p>
            <w:pPr>
              <w:pStyle w:val="Compact"/>
              <w:jc w:val="left"/>
            </w:pPr>
            <w:r>
              <w:t xml:space="preserve">0.989 (0.972–1.007)</w:t>
            </w:r>
          </w:p>
        </w:tc>
        <w:tc>
          <w:tcPr/>
          <w:p>
            <w:pPr>
              <w:pStyle w:val="Compact"/>
              <w:jc w:val="left"/>
            </w:pPr>
            <w:r>
              <w:t xml:space="preserve">0.992 (0.976–1.008)</w:t>
            </w:r>
          </w:p>
        </w:tc>
      </w:tr>
      <w:tr>
        <w:tc>
          <w:tcPr/>
          <w:p>
            <w:pPr>
              <w:pStyle w:val="Compact"/>
              <w:jc w:val="left"/>
            </w:pPr>
            <w:r>
              <w:t xml:space="preserve">IL-6 inhibitors/abatacept</w:t>
            </w:r>
          </w:p>
        </w:tc>
        <w:tc>
          <w:tcPr/>
          <w:p>
            <w:pPr>
              <w:pStyle w:val="Compact"/>
              <w:jc w:val="left"/>
            </w:pPr>
            <w:r>
              <w:t xml:space="preserve">1.001 (0.992–1.009)</w:t>
            </w:r>
          </w:p>
        </w:tc>
        <w:tc>
          <w:tcPr/>
          <w:p>
            <w:pPr>
              <w:pStyle w:val="Compact"/>
              <w:jc w:val="left"/>
            </w:pPr>
            <w:r>
              <w:t xml:space="preserve">1.001 (0.993–1.010)</w:t>
            </w:r>
          </w:p>
        </w:tc>
      </w:tr>
      <w:tr>
        <w:tc>
          <w:tcPr/>
          <w:p>
            <w:pPr>
              <w:pStyle w:val="Compact"/>
              <w:jc w:val="left"/>
            </w:pPr>
            <w:r>
              <w:t xml:space="preserve">JAK inhibitors</w:t>
            </w:r>
          </w:p>
        </w:tc>
        <w:tc>
          <w:tcPr/>
          <w:p>
            <w:pPr>
              <w:pStyle w:val="Compact"/>
              <w:jc w:val="left"/>
            </w:pPr>
            <w:r>
              <w:t xml:space="preserve">0.994 (0.987–1.002)</w:t>
            </w:r>
          </w:p>
        </w:tc>
        <w:tc>
          <w:tcPr/>
          <w:p>
            <w:pPr>
              <w:pStyle w:val="Compact"/>
              <w:jc w:val="left"/>
            </w:pPr>
            <w:r>
              <w:t xml:space="preserve">0.995 (0.989–1.002)</w:t>
            </w:r>
          </w:p>
        </w:tc>
      </w:tr>
      <w:tr>
        <w:tc>
          <w:tcPr/>
          <w:p>
            <w:pPr>
              <w:pStyle w:val="Compact"/>
              <w:jc w:val="left"/>
            </w:pPr>
            <w:r>
              <w:t xml:space="preserve">Rituximab</w:t>
            </w:r>
          </w:p>
        </w:tc>
        <w:tc>
          <w:tcPr/>
          <w:p>
            <w:pPr>
              <w:pStyle w:val="Compact"/>
              <w:jc w:val="left"/>
            </w:pPr>
            <w:r>
              <w:t xml:space="preserve">0.998 (0.984–1.012)</w:t>
            </w:r>
          </w:p>
        </w:tc>
        <w:tc>
          <w:tcPr/>
          <w:p>
            <w:pPr>
              <w:pStyle w:val="Compact"/>
              <w:jc w:val="left"/>
            </w:pPr>
            <w:r>
              <w:t xml:space="preserve">1.001 (0.986–1.016)</w:t>
            </w:r>
          </w:p>
        </w:tc>
      </w:tr>
      <w:tr>
        <w:tc>
          <w:tcPr/>
          <w:p>
            <w:pPr>
              <w:pStyle w:val="Compact"/>
              <w:jc w:val="left"/>
            </w:pPr>
            <w:r>
              <w:t xml:space="preserve">Calcineurin/mTOR inhibitors</w:t>
            </w:r>
          </w:p>
        </w:tc>
        <w:tc>
          <w:tcPr/>
          <w:p>
            <w:pPr>
              <w:pStyle w:val="Compact"/>
              <w:jc w:val="left"/>
            </w:pPr>
            <w:r>
              <w:t xml:space="preserve">1.008 (0.996–1.020)</w:t>
            </w:r>
          </w:p>
        </w:tc>
        <w:tc>
          <w:tcPr/>
          <w:p>
            <w:pPr>
              <w:pStyle w:val="Compact"/>
              <w:jc w:val="left"/>
            </w:pPr>
            <w:r>
              <w:t xml:space="preserve">1.008 (0.997–1.020)</w:t>
            </w:r>
          </w:p>
        </w:tc>
      </w:tr>
      <w:tr>
        <w:tc>
          <w:tcPr/>
          <w:p>
            <w:pPr>
              <w:pStyle w:val="Compact"/>
              <w:jc w:val="left"/>
            </w:pPr>
            <w:r>
              <w:t xml:space="preserve">Antiproliferatives</w:t>
            </w:r>
          </w:p>
        </w:tc>
        <w:tc>
          <w:tcPr/>
          <w:p>
            <w:pPr>
              <w:pStyle w:val="Compact"/>
              <w:jc w:val="left"/>
            </w:pPr>
            <w:r>
              <w:t xml:space="preserve">0.996 (0.978–1.014)</w:t>
            </w:r>
          </w:p>
        </w:tc>
        <w:tc>
          <w:tcPr/>
          <w:p>
            <w:pPr>
              <w:pStyle w:val="Compact"/>
              <w:jc w:val="left"/>
            </w:pPr>
            <w:r>
              <w:t xml:space="preserve">0.997 (0.982–1.013)</w:t>
            </w:r>
          </w:p>
        </w:tc>
      </w:tr>
      <w:tr>
        <w:tc>
          <w:tcPr/>
          <w:p>
            <w:pPr>
              <w:pStyle w:val="Compact"/>
              <w:jc w:val="left"/>
            </w:pPr>
            <w:r>
              <w:t xml:space="preserve">Systemic glucocorticoids (prednisolone-equivalent mg)</w:t>
            </w:r>
          </w:p>
        </w:tc>
        <w:tc>
          <w:tcPr/>
          <w:p>
            <w:pPr>
              <w:pStyle w:val="Compact"/>
              <w:jc w:val="left"/>
            </w:pPr>
            <w:r>
              <w:t xml:space="preserve">1.024 (1.001–1.046)</w:t>
            </w:r>
          </w:p>
        </w:tc>
        <w:tc>
          <w:tcPr/>
          <w:p>
            <w:pPr>
              <w:pStyle w:val="Compact"/>
              <w:jc w:val="left"/>
            </w:pPr>
            <w:r>
              <w:t xml:space="preserve">1.021 (1.000–1.043)</w:t>
            </w:r>
          </w:p>
        </w:tc>
      </w:tr>
      <w:tr>
        <w:tc>
          <w:tcPr/>
          <w:p>
            <w:pPr>
              <w:pStyle w:val="Compact"/>
              <w:jc w:val="left"/>
            </w:pPr>
            <w:r>
              <w:t xml:space="preserve">Dexamethasone and hydrocortisone (descriptive)</w:t>
            </w:r>
          </w:p>
        </w:tc>
        <w:tc>
          <w:tcPr/>
          <w:p>
            <w:pPr>
              <w:pStyle w:val="Compact"/>
              <w:jc w:val="left"/>
            </w:pPr>
            <w:r>
              <w:t xml:space="preserve">1.008 (0.980–1.036)</w:t>
            </w:r>
          </w:p>
        </w:tc>
        <w:tc>
          <w:tcPr/>
          <w:p>
            <w:pPr>
              <w:pStyle w:val="Compact"/>
              <w:jc w:val="left"/>
            </w:pPr>
            <w:r>
              <w:t xml:space="preserve">1.010 (0.984–1.036)</w:t>
            </w:r>
          </w:p>
        </w:tc>
      </w:tr>
    </w:tbl>
    <w:p>
      <w:pPr>
        <w:pStyle w:val="Compact"/>
        <w:numPr>
          <w:ilvl w:val="0"/>
          <w:numId w:val="1012"/>
        </w:numPr>
      </w:pPr>
      <w:r>
        <w:rPr>
          <w:b/>
          <w:bCs/>
        </w:rPr>
        <w:t xml:space="preserve">Systemic glucocorticoids</w:t>
      </w:r>
      <w:r>
        <w:t xml:space="preserve"> </w:t>
      </w:r>
      <w:r>
        <w:t xml:space="preserve">were nominally associated with notifications in the following year at upper-tier level. The association:</w:t>
      </w:r>
    </w:p>
    <w:p>
      <w:pPr>
        <w:pStyle w:val="Compact"/>
        <w:numPr>
          <w:ilvl w:val="1"/>
          <w:numId w:val="1013"/>
        </w:numPr>
      </w:pPr>
      <w:r>
        <w:t xml:space="preserve">was not robust to clustering by principal trust (1.024, 0.999–1.049) or to excluding outcome years 2020–21 (1.018, 0.969–1.069);</w:t>
      </w:r>
    </w:p>
    <w:p>
      <w:pPr>
        <w:pStyle w:val="Compact"/>
        <w:numPr>
          <w:ilvl w:val="1"/>
          <w:numId w:val="1013"/>
        </w:numPr>
      </w:pPr>
      <w:r>
        <w:t xml:space="preserve">would imply, under the model used for expected effects, that hospital glucocorticoids account for about a quarter of all notifications (an IRR of 1.024 per 10% corresponds to an attributable fraction of 24%), whereas steroid-associated immunosuppression was recorded for 0.5% of notifications [UKHSA 2025].</w:t>
      </w:r>
      <w:r>
        <w:t xml:space="preserve"> </w:t>
      </w:r>
      <w:r>
        <w:t xml:space="preserve">We interpret it as chance or confounding by hospital activity, not a drug effect.</w:t>
      </w:r>
    </w:p>
    <w:p>
      <w:pPr>
        <w:pStyle w:val="Compact"/>
        <w:numPr>
          <w:ilvl w:val="0"/>
          <w:numId w:val="1012"/>
        </w:numPr>
      </w:pPr>
      <w:r>
        <w:t xml:space="preserve">The negative controls were null: low-TB-risk biologics 1.002 (0.986–1.018); levetiracetam 1.014 (0.986–1.042).</w:t>
      </w:r>
    </w:p>
    <w:p>
      <w:pPr>
        <w:pStyle w:val="Compact"/>
        <w:numPr>
          <w:ilvl w:val="0"/>
          <w:numId w:val="1012"/>
        </w:numPr>
      </w:pPr>
      <w:r>
        <w:t xml:space="preserve">Clustering by principal trust or using elective catchments barely changed the other estimates (Table S3b).</w:t>
      </w:r>
    </w:p>
    <w:p>
      <w:pPr>
        <w:pStyle w:val="Compact"/>
        <w:numPr>
          <w:ilvl w:val="0"/>
          <w:numId w:val="1012"/>
        </w:numPr>
      </w:pPr>
      <w:r>
        <w:t xml:space="preserve">JAK inhibitors showed small inverse estimates (same year 0.993, 0.987–0.999; previous year excluding outcome years 2020–21 0.978, 0.961–0.996), consistent with trends in uptake rather than protection.</w:t>
      </w:r>
    </w:p>
    <w:p>
      <w:pPr>
        <w:pStyle w:val="FirstParagraph"/>
      </w:pPr>
      <w:r>
        <w:rPr>
          <w:b/>
          <w:bCs/>
        </w:rPr>
        <w:t xml:space="preserve">Table 3. Hospital medicines (SCMD) and TB notifications, 2019–2024</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Level</w:t>
            </w:r>
          </w:p>
        </w:tc>
        <w:tc>
          <w:tcPr/>
          <w:p>
            <w:pPr>
              <w:pStyle w:val="Compact"/>
              <w:jc w:val="right"/>
            </w:pPr>
            <w:r>
              <w:t xml:space="preserve">Drug group</w:t>
            </w:r>
          </w:p>
        </w:tc>
        <w:tc>
          <w:tcPr/>
          <w:p>
            <w:pPr>
              <w:pStyle w:val="Compact"/>
              <w:jc w:val="right"/>
            </w:pPr>
            <w:r>
              <w:t xml:space="preserve">Cross-sectional, adjusted (per SD)</w:t>
            </w:r>
          </w:p>
        </w:tc>
        <w:tc>
          <w:tcPr/>
          <w:p>
            <w:pPr>
              <w:pStyle w:val="Compact"/>
              <w:jc w:val="right"/>
            </w:pPr>
            <w:r>
              <w:t xml:space="preserve">Within-area, same year (per 10%)</w:t>
            </w:r>
          </w:p>
        </w:tc>
        <w:tc>
          <w:tcPr/>
          <w:p>
            <w:pPr>
              <w:pStyle w:val="Compact"/>
              <w:jc w:val="right"/>
            </w:pPr>
            <w:r>
              <w:t xml:space="preserve">Elasticity (same year)</w:t>
            </w:r>
          </w:p>
        </w:tc>
        <w:tc>
          <w:tcPr/>
          <w:p>
            <w:pPr>
              <w:pStyle w:val="Compact"/>
              <w:jc w:val="right"/>
            </w:pPr>
            <w:r>
              <w:t xml:space="preserve">Within-area, previous year (per 10%)</w:t>
            </w:r>
          </w:p>
        </w:tc>
        <w:tc>
          <w:tcPr/>
          <w:p>
            <w:pPr>
              <w:pStyle w:val="Compact"/>
              <w:jc w:val="right"/>
            </w:pPr>
            <w:r>
              <w:t xml:space="preserve">Previous year, SE clustered by principal trust</w:t>
            </w:r>
          </w:p>
        </w:tc>
        <w:tc>
          <w:tcPr/>
          <w:p>
            <w:pPr>
              <w:pStyle w:val="Compact"/>
              <w:jc w:val="right"/>
            </w:pPr>
            <w:r>
              <w:t xml:space="preserve">Following year (joint with previous)</w:t>
            </w:r>
          </w:p>
        </w:tc>
      </w:tr>
      <w:tr>
        <w:tc>
          <w:tcPr/>
          <w:p>
            <w:pPr>
              <w:pStyle w:val="Compact"/>
              <w:jc w:val="left"/>
            </w:pPr>
            <w:r>
              <w:t xml:space="preserve">UTLA</w:t>
            </w:r>
          </w:p>
        </w:tc>
        <w:tc>
          <w:tcPr/>
          <w:p>
            <w:pPr>
              <w:pStyle w:val="Compact"/>
              <w:jc w:val="right"/>
            </w:pPr>
            <w:r>
              <w:t xml:space="preserve">Active-TB treatment (pyrazinamide DDD, including fixed-dose combinations; positive control)</w:t>
            </w:r>
          </w:p>
        </w:tc>
        <w:tc>
          <w:tcPr/>
          <w:p>
            <w:pPr>
              <w:pStyle w:val="Compact"/>
              <w:jc w:val="right"/>
            </w:pPr>
            <w:r>
              <w:t xml:space="preserve">1.225 (1.101–1.362)</w:t>
            </w:r>
          </w:p>
        </w:tc>
        <w:tc>
          <w:tcPr/>
          <w:p>
            <w:pPr>
              <w:pStyle w:val="Compact"/>
              <w:jc w:val="right"/>
            </w:pPr>
            <w:r>
              <w:t xml:space="preserve">1.035 (1.009–1.061)</w:t>
            </w:r>
          </w:p>
        </w:tc>
        <w:tc>
          <w:tcPr/>
          <w:p>
            <w:pPr>
              <w:pStyle w:val="Compact"/>
              <w:jc w:val="right"/>
            </w:pPr>
            <w:r>
              <w:t xml:space="preserve">0.36</w:t>
            </w:r>
          </w:p>
        </w:tc>
        <w:tc>
          <w:tcPr/>
          <w:p>
            <w:pPr>
              <w:pStyle w:val="Compact"/>
              <w:jc w:val="right"/>
            </w:pPr>
            <w:r>
              <w:t xml:space="preserve">1.001 (0.993–1.010)</w:t>
            </w:r>
          </w:p>
        </w:tc>
        <w:tc>
          <w:tcPr/>
          <w:p>
            <w:pPr>
              <w:pStyle w:val="Compact"/>
              <w:jc w:val="right"/>
            </w:pPr>
            <w:r>
              <w:t xml:space="preserve">1.001 (0.993–1.010)</w:t>
            </w:r>
          </w:p>
        </w:tc>
        <w:tc>
          <w:tcPr/>
          <w:p>
            <w:pPr>
              <w:pStyle w:val="Compact"/>
              <w:jc w:val="right"/>
            </w:pPr>
            <w:r>
              <w:t xml:space="preserve">0.997 (0.986–1.007)</w:t>
            </w:r>
          </w:p>
        </w:tc>
      </w:tr>
      <w:tr>
        <w:tc>
          <w:tcPr/>
          <w:p>
            <w:pPr>
              <w:pStyle w:val="Compact"/>
              <w:jc w:val="left"/>
            </w:pPr>
            <w:r>
              <w:t xml:space="preserve">UTLA</w:t>
            </w:r>
          </w:p>
        </w:tc>
        <w:tc>
          <w:tcPr/>
          <w:p>
            <w:pPr>
              <w:pStyle w:val="Compact"/>
              <w:jc w:val="right"/>
            </w:pPr>
            <w:r>
              <w:t xml:space="preserve">Rifamycin/isoniazid (active and latent TB, other infections)</w:t>
            </w:r>
          </w:p>
        </w:tc>
        <w:tc>
          <w:tcPr/>
          <w:p>
            <w:pPr>
              <w:pStyle w:val="Compact"/>
              <w:jc w:val="right"/>
            </w:pPr>
            <w:r>
              <w:t xml:space="preserve">1.158 (1.038–1.292)</w:t>
            </w:r>
          </w:p>
        </w:tc>
        <w:tc>
          <w:tcPr/>
          <w:p>
            <w:pPr>
              <w:pStyle w:val="Compact"/>
              <w:jc w:val="right"/>
            </w:pPr>
            <w:r>
              <w:t xml:space="preserve">1.036 (1.021–1.050)</w:t>
            </w:r>
          </w:p>
        </w:tc>
        <w:tc>
          <w:tcPr/>
          <w:p>
            <w:pPr>
              <w:pStyle w:val="Compact"/>
              <w:jc w:val="right"/>
            </w:pPr>
            <w:r>
              <w:t xml:space="preserve">0.37</w:t>
            </w:r>
          </w:p>
        </w:tc>
        <w:tc>
          <w:tcPr/>
          <w:p>
            <w:pPr>
              <w:pStyle w:val="Compact"/>
              <w:jc w:val="right"/>
            </w:pPr>
            <w:r>
              <w:t xml:space="preserve">1.005 (0.993–1.018)</w:t>
            </w:r>
          </w:p>
        </w:tc>
        <w:tc>
          <w:tcPr/>
          <w:p>
            <w:pPr>
              <w:pStyle w:val="Compact"/>
              <w:jc w:val="right"/>
            </w:pPr>
            <w:r>
              <w:t xml:space="preserve">1.005 (0.993–1.018)</w:t>
            </w:r>
          </w:p>
        </w:tc>
        <w:tc>
          <w:tcPr/>
          <w:p>
            <w:pPr>
              <w:pStyle w:val="Compact"/>
              <w:jc w:val="right"/>
            </w:pPr>
            <w:r>
              <w:t xml:space="preserve">1.018 (0.996–1.041)</w:t>
            </w:r>
          </w:p>
        </w:tc>
      </w:tr>
      <w:tr>
        <w:tc>
          <w:tcPr/>
          <w:p>
            <w:pPr>
              <w:pStyle w:val="Compact"/>
              <w:jc w:val="left"/>
            </w:pPr>
            <w:r>
              <w:t xml:space="preserve">UTLA</w:t>
            </w:r>
          </w:p>
        </w:tc>
        <w:tc>
          <w:tcPr/>
          <w:p>
            <w:pPr>
              <w:pStyle w:val="Compact"/>
              <w:jc w:val="right"/>
            </w:pPr>
            <w:r>
              <w:t xml:space="preserve">TNF inhibitors</w:t>
            </w:r>
          </w:p>
        </w:tc>
        <w:tc>
          <w:tcPr/>
          <w:p>
            <w:pPr>
              <w:pStyle w:val="Compact"/>
              <w:jc w:val="right"/>
            </w:pPr>
            <w:r>
              <w:t xml:space="preserve">0.957 (0.907–1.010)</w:t>
            </w:r>
          </w:p>
        </w:tc>
        <w:tc>
          <w:tcPr/>
          <w:p>
            <w:pPr>
              <w:pStyle w:val="Compact"/>
              <w:jc w:val="right"/>
            </w:pPr>
            <w:r>
              <w:t xml:space="preserve">0.996 (0.979–1.013)</w:t>
            </w:r>
          </w:p>
        </w:tc>
        <w:tc>
          <w:tcPr/>
          <w:p>
            <w:pPr>
              <w:pStyle w:val="Compact"/>
              <w:jc w:val="right"/>
            </w:pPr>
            <w:r>
              <w:t xml:space="preserve">-0.05</w:t>
            </w:r>
          </w:p>
        </w:tc>
        <w:tc>
          <w:tcPr/>
          <w:p>
            <w:pPr>
              <w:pStyle w:val="Compact"/>
              <w:jc w:val="right"/>
            </w:pPr>
            <w:r>
              <w:t xml:space="preserve">0.989 (0.972–1.007)</w:t>
            </w:r>
          </w:p>
        </w:tc>
        <w:tc>
          <w:tcPr/>
          <w:p>
            <w:pPr>
              <w:pStyle w:val="Compact"/>
              <w:jc w:val="right"/>
            </w:pPr>
            <w:r>
              <w:t xml:space="preserve">0.989 (0.970–1.009)</w:t>
            </w:r>
          </w:p>
        </w:tc>
        <w:tc>
          <w:tcPr/>
          <w:p>
            <w:pPr>
              <w:pStyle w:val="Compact"/>
              <w:jc w:val="right"/>
            </w:pPr>
            <w:r>
              <w:t xml:space="preserve">0.978 (0.949–1.008)</w:t>
            </w:r>
          </w:p>
        </w:tc>
      </w:tr>
      <w:tr>
        <w:tc>
          <w:tcPr/>
          <w:p>
            <w:pPr>
              <w:pStyle w:val="Compact"/>
              <w:jc w:val="left"/>
            </w:pPr>
            <w:r>
              <w:t xml:space="preserve">UTLA</w:t>
            </w:r>
          </w:p>
        </w:tc>
        <w:tc>
          <w:tcPr/>
          <w:p>
            <w:pPr>
              <w:pStyle w:val="Compact"/>
              <w:jc w:val="right"/>
            </w:pPr>
            <w:r>
              <w:t xml:space="preserve">IL-6 inhibitors and abatacept</w:t>
            </w:r>
          </w:p>
        </w:tc>
        <w:tc>
          <w:tcPr/>
          <w:p>
            <w:pPr>
              <w:pStyle w:val="Compact"/>
              <w:jc w:val="right"/>
            </w:pPr>
            <w:r>
              <w:t xml:space="preserve">0.971 (0.923–1.022)</w:t>
            </w:r>
          </w:p>
        </w:tc>
        <w:tc>
          <w:tcPr/>
          <w:p>
            <w:pPr>
              <w:pStyle w:val="Compact"/>
              <w:jc w:val="right"/>
            </w:pPr>
            <w:r>
              <w:t xml:space="preserve">1.000 (0.990–1.010)</w:t>
            </w:r>
          </w:p>
        </w:tc>
        <w:tc>
          <w:tcPr/>
          <w:p>
            <w:pPr>
              <w:pStyle w:val="Compact"/>
              <w:jc w:val="right"/>
            </w:pPr>
            <w:r>
              <w:t xml:space="preserve">-0.00</w:t>
            </w:r>
          </w:p>
        </w:tc>
        <w:tc>
          <w:tcPr/>
          <w:p>
            <w:pPr>
              <w:pStyle w:val="Compact"/>
              <w:jc w:val="right"/>
            </w:pPr>
            <w:r>
              <w:t xml:space="preserve">1.001 (0.992–1.009)</w:t>
            </w:r>
          </w:p>
        </w:tc>
        <w:tc>
          <w:tcPr/>
          <w:p>
            <w:pPr>
              <w:pStyle w:val="Compact"/>
              <w:jc w:val="right"/>
            </w:pPr>
            <w:r>
              <w:t xml:space="preserve">1.001 (0.993–1.009)</w:t>
            </w:r>
          </w:p>
        </w:tc>
        <w:tc>
          <w:tcPr/>
          <w:p>
            <w:pPr>
              <w:pStyle w:val="Compact"/>
              <w:jc w:val="right"/>
            </w:pPr>
            <w:r>
              <w:t xml:space="preserve">1.001 (0.984–1.018)</w:t>
            </w:r>
          </w:p>
        </w:tc>
      </w:tr>
      <w:tr>
        <w:tc>
          <w:tcPr/>
          <w:p>
            <w:pPr>
              <w:pStyle w:val="Compact"/>
              <w:jc w:val="left"/>
            </w:pPr>
            <w:r>
              <w:t xml:space="preserve">UTLA</w:t>
            </w:r>
          </w:p>
        </w:tc>
        <w:tc>
          <w:tcPr/>
          <w:p>
            <w:pPr>
              <w:pStyle w:val="Compact"/>
              <w:jc w:val="right"/>
            </w:pPr>
            <w:r>
              <w:t xml:space="preserve">JAK inhibitors (rheumatology)</w:t>
            </w:r>
          </w:p>
        </w:tc>
        <w:tc>
          <w:tcPr/>
          <w:p>
            <w:pPr>
              <w:pStyle w:val="Compact"/>
              <w:jc w:val="right"/>
            </w:pPr>
            <w:r>
              <w:t xml:space="preserve">0.972 (0.916–1.031)</w:t>
            </w:r>
          </w:p>
        </w:tc>
        <w:tc>
          <w:tcPr/>
          <w:p>
            <w:pPr>
              <w:pStyle w:val="Compact"/>
              <w:jc w:val="right"/>
            </w:pPr>
            <w:r>
              <w:t xml:space="preserve">0.993 (0.987–0.999)</w:t>
            </w:r>
          </w:p>
        </w:tc>
        <w:tc>
          <w:tcPr/>
          <w:p>
            <w:pPr>
              <w:pStyle w:val="Compact"/>
              <w:jc w:val="right"/>
            </w:pPr>
            <w:r>
              <w:t xml:space="preserve">-0.07</w:t>
            </w:r>
          </w:p>
        </w:tc>
        <w:tc>
          <w:tcPr/>
          <w:p>
            <w:pPr>
              <w:pStyle w:val="Compact"/>
              <w:jc w:val="right"/>
            </w:pPr>
            <w:r>
              <w:t xml:space="preserve">0.994 (0.987–1.002)</w:t>
            </w:r>
          </w:p>
        </w:tc>
        <w:tc>
          <w:tcPr/>
          <w:p>
            <w:pPr>
              <w:pStyle w:val="Compact"/>
              <w:jc w:val="right"/>
            </w:pPr>
            <w:r>
              <w:t xml:space="preserve">0.994 (0.986–1.003)</w:t>
            </w:r>
          </w:p>
        </w:tc>
        <w:tc>
          <w:tcPr/>
          <w:p>
            <w:pPr>
              <w:pStyle w:val="Compact"/>
              <w:jc w:val="right"/>
            </w:pPr>
            <w:r>
              <w:t xml:space="preserve">0.998 (0.984–1.011)</w:t>
            </w:r>
          </w:p>
        </w:tc>
      </w:tr>
      <w:tr>
        <w:tc>
          <w:tcPr/>
          <w:p>
            <w:pPr>
              <w:pStyle w:val="Compact"/>
              <w:jc w:val="left"/>
            </w:pPr>
            <w:r>
              <w:t xml:space="preserve">UTLA</w:t>
            </w:r>
          </w:p>
        </w:tc>
        <w:tc>
          <w:tcPr/>
          <w:p>
            <w:pPr>
              <w:pStyle w:val="Compact"/>
              <w:jc w:val="right"/>
            </w:pPr>
            <w:r>
              <w:t xml:space="preserve">Rituximab</w:t>
            </w:r>
          </w:p>
        </w:tc>
        <w:tc>
          <w:tcPr/>
          <w:p>
            <w:pPr>
              <w:pStyle w:val="Compact"/>
              <w:jc w:val="right"/>
            </w:pPr>
            <w:r>
              <w:t xml:space="preserve">0.942 (0.886–1.002)</w:t>
            </w:r>
          </w:p>
        </w:tc>
        <w:tc>
          <w:tcPr/>
          <w:p>
            <w:pPr>
              <w:pStyle w:val="Compact"/>
              <w:jc w:val="right"/>
            </w:pPr>
            <w:r>
              <w:t xml:space="preserve">0.992 (0.978–1.005)</w:t>
            </w:r>
          </w:p>
        </w:tc>
        <w:tc>
          <w:tcPr/>
          <w:p>
            <w:pPr>
              <w:pStyle w:val="Compact"/>
              <w:jc w:val="right"/>
            </w:pPr>
            <w:r>
              <w:t xml:space="preserve">-0.09</w:t>
            </w:r>
          </w:p>
        </w:tc>
        <w:tc>
          <w:tcPr/>
          <w:p>
            <w:pPr>
              <w:pStyle w:val="Compact"/>
              <w:jc w:val="right"/>
            </w:pPr>
            <w:r>
              <w:t xml:space="preserve">0.998 (0.984–1.012)</w:t>
            </w:r>
          </w:p>
        </w:tc>
        <w:tc>
          <w:tcPr/>
          <w:p>
            <w:pPr>
              <w:pStyle w:val="Compact"/>
              <w:jc w:val="right"/>
            </w:pPr>
            <w:r>
              <w:t xml:space="preserve">0.998 (0.987–1.009)</w:t>
            </w:r>
          </w:p>
        </w:tc>
        <w:tc>
          <w:tcPr/>
          <w:p>
            <w:pPr>
              <w:pStyle w:val="Compact"/>
              <w:jc w:val="right"/>
            </w:pPr>
            <w:r>
              <w:t xml:space="preserve">1.006 (0.989–1.024)</w:t>
            </w:r>
          </w:p>
        </w:tc>
      </w:tr>
      <w:tr>
        <w:tc>
          <w:tcPr/>
          <w:p>
            <w:pPr>
              <w:pStyle w:val="Compact"/>
              <w:jc w:val="left"/>
            </w:pPr>
            <w:r>
              <w:t xml:space="preserve">UTLA</w:t>
            </w:r>
          </w:p>
        </w:tc>
        <w:tc>
          <w:tcPr/>
          <w:p>
            <w:pPr>
              <w:pStyle w:val="Compact"/>
              <w:jc w:val="right"/>
            </w:pPr>
            <w:r>
              <w:t xml:space="preserve">Calcineurin/mTOR inhibitors</w:t>
            </w:r>
          </w:p>
        </w:tc>
        <w:tc>
          <w:tcPr/>
          <w:p>
            <w:pPr>
              <w:pStyle w:val="Compact"/>
              <w:jc w:val="right"/>
            </w:pPr>
            <w:r>
              <w:t xml:space="preserve">1.049 (0.995–1.106)</w:t>
            </w:r>
          </w:p>
        </w:tc>
        <w:tc>
          <w:tcPr/>
          <w:p>
            <w:pPr>
              <w:pStyle w:val="Compact"/>
              <w:jc w:val="right"/>
            </w:pPr>
            <w:r>
              <w:t xml:space="preserve">0.994 (0.985–1.004)</w:t>
            </w:r>
          </w:p>
        </w:tc>
        <w:tc>
          <w:tcPr/>
          <w:p>
            <w:pPr>
              <w:pStyle w:val="Compact"/>
              <w:jc w:val="right"/>
            </w:pPr>
            <w:r>
              <w:t xml:space="preserve">-0.06</w:t>
            </w:r>
          </w:p>
        </w:tc>
        <w:tc>
          <w:tcPr/>
          <w:p>
            <w:pPr>
              <w:pStyle w:val="Compact"/>
              <w:jc w:val="right"/>
            </w:pPr>
            <w:r>
              <w:t xml:space="preserve">1.008 (0.996–1.020)</w:t>
            </w:r>
          </w:p>
        </w:tc>
        <w:tc>
          <w:tcPr/>
          <w:p>
            <w:pPr>
              <w:pStyle w:val="Compact"/>
              <w:jc w:val="right"/>
            </w:pPr>
            <w:r>
              <w:t xml:space="preserve">1.008 (0.996–1.020)</w:t>
            </w:r>
          </w:p>
        </w:tc>
        <w:tc>
          <w:tcPr/>
          <w:p>
            <w:pPr>
              <w:pStyle w:val="Compact"/>
              <w:jc w:val="right"/>
            </w:pPr>
            <w:r>
              <w:t xml:space="preserve">0.985 (0.966–1.005)</w:t>
            </w:r>
          </w:p>
        </w:tc>
      </w:tr>
      <w:tr>
        <w:tc>
          <w:tcPr/>
          <w:p>
            <w:pPr>
              <w:pStyle w:val="Compact"/>
              <w:jc w:val="left"/>
            </w:pPr>
            <w:r>
              <w:t xml:space="preserve">UTLA</w:t>
            </w:r>
          </w:p>
        </w:tc>
        <w:tc>
          <w:tcPr/>
          <w:p>
            <w:pPr>
              <w:pStyle w:val="Compact"/>
              <w:jc w:val="right"/>
            </w:pPr>
            <w:r>
              <w:t xml:space="preserve">Antiproliferatives</w:t>
            </w:r>
          </w:p>
        </w:tc>
        <w:tc>
          <w:tcPr/>
          <w:p>
            <w:pPr>
              <w:pStyle w:val="Compact"/>
              <w:jc w:val="right"/>
            </w:pPr>
            <w:r>
              <w:t xml:space="preserve">1.025 (0.970–1.082)</w:t>
            </w:r>
          </w:p>
        </w:tc>
        <w:tc>
          <w:tcPr/>
          <w:p>
            <w:pPr>
              <w:pStyle w:val="Compact"/>
              <w:jc w:val="right"/>
            </w:pPr>
            <w:r>
              <w:t xml:space="preserve">0.993 (0.978–1.008)</w:t>
            </w:r>
          </w:p>
        </w:tc>
        <w:tc>
          <w:tcPr/>
          <w:p>
            <w:pPr>
              <w:pStyle w:val="Compact"/>
              <w:jc w:val="right"/>
            </w:pPr>
            <w:r>
              <w:t xml:space="preserve">-0.08</w:t>
            </w:r>
          </w:p>
        </w:tc>
        <w:tc>
          <w:tcPr/>
          <w:p>
            <w:pPr>
              <w:pStyle w:val="Compact"/>
              <w:jc w:val="right"/>
            </w:pPr>
            <w:r>
              <w:t xml:space="preserve">0.996 (0.978–1.014)</w:t>
            </w:r>
          </w:p>
        </w:tc>
        <w:tc>
          <w:tcPr/>
          <w:p>
            <w:pPr>
              <w:pStyle w:val="Compact"/>
              <w:jc w:val="right"/>
            </w:pPr>
            <w:r>
              <w:t xml:space="preserve">0.996 (0.979–1.013)</w:t>
            </w:r>
          </w:p>
        </w:tc>
        <w:tc>
          <w:tcPr/>
          <w:p>
            <w:pPr>
              <w:pStyle w:val="Compact"/>
              <w:jc w:val="right"/>
            </w:pPr>
            <w:r>
              <w:t xml:space="preserve">0.993 (0.974–1.012)</w:t>
            </w:r>
          </w:p>
        </w:tc>
      </w:tr>
      <w:tr>
        <w:tc>
          <w:tcPr/>
          <w:p>
            <w:pPr>
              <w:pStyle w:val="Compact"/>
              <w:jc w:val="left"/>
            </w:pPr>
            <w:r>
              <w:t xml:space="preserve">UTLA</w:t>
            </w:r>
          </w:p>
        </w:tc>
        <w:tc>
          <w:tcPr/>
          <w:p>
            <w:pPr>
              <w:pStyle w:val="Compact"/>
              <w:jc w:val="right"/>
            </w:pPr>
            <w:r>
              <w:t xml:space="preserve">Systemic glucocorticoids without dexamethasone/hydrocortisone (prednisolone-equivalent mg)</w:t>
            </w:r>
          </w:p>
        </w:tc>
        <w:tc>
          <w:tcPr/>
          <w:p>
            <w:pPr>
              <w:pStyle w:val="Compact"/>
              <w:jc w:val="right"/>
            </w:pPr>
            <w:r>
              <w:t xml:space="preserve">0.970 (0.929–1.012)</w:t>
            </w:r>
          </w:p>
        </w:tc>
        <w:tc>
          <w:tcPr/>
          <w:p>
            <w:pPr>
              <w:pStyle w:val="Compact"/>
              <w:jc w:val="right"/>
            </w:pPr>
            <w:r>
              <w:t xml:space="preserve">1.009 (0.986–1.032)</w:t>
            </w:r>
          </w:p>
        </w:tc>
        <w:tc>
          <w:tcPr/>
          <w:p>
            <w:pPr>
              <w:pStyle w:val="Compact"/>
              <w:jc w:val="right"/>
            </w:pPr>
            <w:r>
              <w:t xml:space="preserve">0.09</w:t>
            </w:r>
          </w:p>
        </w:tc>
        <w:tc>
          <w:tcPr/>
          <w:p>
            <w:pPr>
              <w:pStyle w:val="Compact"/>
              <w:jc w:val="right"/>
            </w:pPr>
            <w:r>
              <w:t xml:space="preserve">1.024 (1.001–1.046)</w:t>
            </w:r>
          </w:p>
        </w:tc>
        <w:tc>
          <w:tcPr/>
          <w:p>
            <w:pPr>
              <w:pStyle w:val="Compact"/>
              <w:jc w:val="right"/>
            </w:pPr>
            <w:r>
              <w:t xml:space="preserve">1.024 (0.999–1.049)</w:t>
            </w:r>
          </w:p>
        </w:tc>
        <w:tc>
          <w:tcPr/>
          <w:p>
            <w:pPr>
              <w:pStyle w:val="Compact"/>
              <w:jc w:val="right"/>
            </w:pPr>
            <w:r>
              <w:t xml:space="preserve">0.991 (0.953–1.030)</w:t>
            </w:r>
          </w:p>
        </w:tc>
      </w:tr>
      <w:tr>
        <w:tc>
          <w:tcPr/>
          <w:p>
            <w:pPr>
              <w:pStyle w:val="Compact"/>
              <w:jc w:val="left"/>
            </w:pPr>
            <w:r>
              <w:t xml:space="preserve">UTLA</w:t>
            </w:r>
          </w:p>
        </w:tc>
        <w:tc>
          <w:tcPr/>
          <w:p>
            <w:pPr>
              <w:pStyle w:val="Compact"/>
              <w:jc w:val="right"/>
            </w:pPr>
            <w:r>
              <w:t xml:space="preserve">Dexamethasone and hydrocortisone (descriptive)</w:t>
            </w:r>
          </w:p>
        </w:tc>
        <w:tc>
          <w:tcPr/>
          <w:p>
            <w:pPr>
              <w:pStyle w:val="Compact"/>
              <w:jc w:val="right"/>
            </w:pPr>
            <w:r>
              <w:t xml:space="preserve">0.934 (0.893–0.976)</w:t>
            </w:r>
          </w:p>
        </w:tc>
        <w:tc>
          <w:tcPr/>
          <w:p>
            <w:pPr>
              <w:pStyle w:val="Compact"/>
              <w:jc w:val="right"/>
            </w:pPr>
            <w:r>
              <w:t xml:space="preserve">1.005 (0.977–1.034)</w:t>
            </w:r>
          </w:p>
        </w:tc>
        <w:tc>
          <w:tcPr/>
          <w:p>
            <w:pPr>
              <w:pStyle w:val="Compact"/>
              <w:jc w:val="right"/>
            </w:pPr>
            <w:r>
              <w:t xml:space="preserve">0.05</w:t>
            </w:r>
          </w:p>
        </w:tc>
        <w:tc>
          <w:tcPr/>
          <w:p>
            <w:pPr>
              <w:pStyle w:val="Compact"/>
              <w:jc w:val="right"/>
            </w:pPr>
            <w:r>
              <w:t xml:space="preserve">1.008 (0.980–1.036)</w:t>
            </w:r>
          </w:p>
        </w:tc>
        <w:tc>
          <w:tcPr/>
          <w:p>
            <w:pPr>
              <w:pStyle w:val="Compact"/>
              <w:jc w:val="right"/>
            </w:pPr>
            <w:r>
              <w:t xml:space="preserve">1.008 (0.979–1.037)</w:t>
            </w:r>
          </w:p>
        </w:tc>
        <w:tc>
          <w:tcPr/>
          <w:p>
            <w:pPr>
              <w:pStyle w:val="Compact"/>
              <w:jc w:val="right"/>
            </w:pPr>
            <w:r>
              <w:t xml:space="preserve">0.994 (0.943–1.047)</w:t>
            </w:r>
          </w:p>
        </w:tc>
      </w:tr>
      <w:tr>
        <w:tc>
          <w:tcPr/>
          <w:p>
            <w:pPr>
              <w:pStyle w:val="Compact"/>
              <w:jc w:val="left"/>
            </w:pPr>
            <w:r>
              <w:t xml:space="preserve">UTLA</w:t>
            </w:r>
          </w:p>
        </w:tc>
        <w:tc>
          <w:tcPr/>
          <w:p>
            <w:pPr>
              <w:pStyle w:val="Compact"/>
              <w:jc w:val="right"/>
            </w:pPr>
            <w:r>
              <w:t xml:space="preserve">Low-TB-risk biologics (negative control)</w:t>
            </w:r>
          </w:p>
        </w:tc>
        <w:tc>
          <w:tcPr/>
          <w:p>
            <w:pPr>
              <w:pStyle w:val="Compact"/>
              <w:jc w:val="right"/>
            </w:pPr>
            <w:r>
              <w:t xml:space="preserve">1.014 (0.961–1.070)</w:t>
            </w:r>
          </w:p>
        </w:tc>
        <w:tc>
          <w:tcPr/>
          <w:p>
            <w:pPr>
              <w:pStyle w:val="Compact"/>
              <w:jc w:val="right"/>
            </w:pPr>
            <w:r>
              <w:t xml:space="preserve">1.004 (0.990–1.019)</w:t>
            </w:r>
          </w:p>
        </w:tc>
        <w:tc>
          <w:tcPr/>
          <w:p>
            <w:pPr>
              <w:pStyle w:val="Compact"/>
              <w:jc w:val="right"/>
            </w:pPr>
            <w:r>
              <w:t xml:space="preserve">0.05</w:t>
            </w:r>
          </w:p>
        </w:tc>
        <w:tc>
          <w:tcPr/>
          <w:p>
            <w:pPr>
              <w:pStyle w:val="Compact"/>
              <w:jc w:val="right"/>
            </w:pPr>
            <w:r>
              <w:t xml:space="preserve">1.002 (0.986–1.018)</w:t>
            </w:r>
          </w:p>
        </w:tc>
        <w:tc>
          <w:tcPr/>
          <w:p>
            <w:pPr>
              <w:pStyle w:val="Compact"/>
              <w:jc w:val="right"/>
            </w:pPr>
            <w:r>
              <w:t xml:space="preserve">1.002 (0.983–1.021)</w:t>
            </w:r>
          </w:p>
        </w:tc>
        <w:tc>
          <w:tcPr/>
          <w:p>
            <w:pPr>
              <w:pStyle w:val="Compact"/>
              <w:jc w:val="right"/>
            </w:pPr>
            <w:r>
              <w:t xml:space="preserve">1.010 (0.982–1.040)</w:t>
            </w:r>
          </w:p>
        </w:tc>
      </w:tr>
      <w:tr>
        <w:tc>
          <w:tcPr/>
          <w:p>
            <w:pPr>
              <w:pStyle w:val="Compact"/>
              <w:jc w:val="left"/>
            </w:pPr>
            <w:r>
              <w:t xml:space="preserve">UTLA</w:t>
            </w:r>
          </w:p>
        </w:tc>
        <w:tc>
          <w:tcPr/>
          <w:p>
            <w:pPr>
              <w:pStyle w:val="Compact"/>
              <w:jc w:val="right"/>
            </w:pPr>
            <w:r>
              <w:t xml:space="preserve">Levetiracetam (negative control)</w:t>
            </w:r>
          </w:p>
        </w:tc>
        <w:tc>
          <w:tcPr/>
          <w:p>
            <w:pPr>
              <w:pStyle w:val="Compact"/>
              <w:jc w:val="right"/>
            </w:pPr>
            <w:r>
              <w:t xml:space="preserve">1.017 (0.970–1.066)</w:t>
            </w:r>
          </w:p>
        </w:tc>
        <w:tc>
          <w:tcPr/>
          <w:p>
            <w:pPr>
              <w:pStyle w:val="Compact"/>
              <w:jc w:val="right"/>
            </w:pPr>
            <w:r>
              <w:t xml:space="preserve">0.998 (0.975–1.021)</w:t>
            </w:r>
          </w:p>
        </w:tc>
        <w:tc>
          <w:tcPr/>
          <w:p>
            <w:pPr>
              <w:pStyle w:val="Compact"/>
              <w:jc w:val="right"/>
            </w:pPr>
            <w:r>
              <w:t xml:space="preserve">-0.03</w:t>
            </w:r>
          </w:p>
        </w:tc>
        <w:tc>
          <w:tcPr/>
          <w:p>
            <w:pPr>
              <w:pStyle w:val="Compact"/>
              <w:jc w:val="right"/>
            </w:pPr>
            <w:r>
              <w:t xml:space="preserve">1.014 (0.986–1.042)</w:t>
            </w:r>
          </w:p>
        </w:tc>
        <w:tc>
          <w:tcPr/>
          <w:p>
            <w:pPr>
              <w:pStyle w:val="Compact"/>
              <w:jc w:val="right"/>
            </w:pPr>
            <w:r>
              <w:t xml:space="preserve">1.014 (0.986–1.042)</w:t>
            </w:r>
          </w:p>
        </w:tc>
        <w:tc>
          <w:tcPr/>
          <w:p>
            <w:pPr>
              <w:pStyle w:val="Compact"/>
              <w:jc w:val="right"/>
            </w:pPr>
            <w:r>
              <w:t xml:space="preserve">0.987 (0.948–1.028)</w:t>
            </w:r>
          </w:p>
        </w:tc>
      </w:tr>
      <w:tr>
        <w:tc>
          <w:tcPr/>
          <w:p>
            <w:pPr>
              <w:pStyle w:val="Compact"/>
              <w:jc w:val="left"/>
            </w:pPr>
            <w:r>
              <w:t xml:space="preserve">LTLA</w:t>
            </w:r>
          </w:p>
        </w:tc>
        <w:tc>
          <w:tcPr/>
          <w:p>
            <w:pPr>
              <w:pStyle w:val="Compact"/>
              <w:jc w:val="right"/>
            </w:pPr>
            <w:r>
              <w:t xml:space="preserve">Active-TB treatment (pyrazinamide DDD, including fixed-dose combinations; positive control)</w:t>
            </w:r>
          </w:p>
        </w:tc>
        <w:tc>
          <w:tcPr/>
          <w:p>
            <w:pPr>
              <w:pStyle w:val="Compact"/>
              <w:jc w:val="right"/>
            </w:pPr>
            <w:r>
              <w:t xml:space="preserve">1.154 (1.080–1.232)</w:t>
            </w:r>
          </w:p>
        </w:tc>
        <w:tc>
          <w:tcPr/>
          <w:p>
            <w:pPr>
              <w:pStyle w:val="Compact"/>
              <w:jc w:val="right"/>
            </w:pPr>
            <w:r>
              <w:t xml:space="preserve">1.039 (1.013–1.065)</w:t>
            </w:r>
          </w:p>
        </w:tc>
        <w:tc>
          <w:tcPr/>
          <w:p>
            <w:pPr>
              <w:pStyle w:val="Compact"/>
              <w:jc w:val="right"/>
            </w:pPr>
            <w:r>
              <w:t xml:space="preserve">0.40</w:t>
            </w:r>
          </w:p>
        </w:tc>
        <w:tc>
          <w:tcPr/>
          <w:p>
            <w:pPr>
              <w:pStyle w:val="Compact"/>
              <w:jc w:val="right"/>
            </w:pPr>
            <w:r>
              <w:t xml:space="preserve">1.000 (0.991–1.008)</w:t>
            </w:r>
          </w:p>
        </w:tc>
        <w:tc>
          <w:tcPr/>
          <w:p>
            <w:pPr>
              <w:pStyle w:val="Compact"/>
              <w:jc w:val="right"/>
            </w:pPr>
            <w:r>
              <w:t xml:space="preserve">1.000 (0.992–1.008)</w:t>
            </w:r>
          </w:p>
        </w:tc>
        <w:tc>
          <w:tcPr/>
          <w:p>
            <w:pPr>
              <w:pStyle w:val="Compact"/>
              <w:jc w:val="right"/>
            </w:pPr>
            <w:r>
              <w:t xml:space="preserve">0.995 (0.985–1.005)</w:t>
            </w:r>
          </w:p>
        </w:tc>
      </w:tr>
      <w:tr>
        <w:tc>
          <w:tcPr/>
          <w:p>
            <w:pPr>
              <w:pStyle w:val="Compact"/>
              <w:jc w:val="left"/>
            </w:pPr>
            <w:r>
              <w:t xml:space="preserve">LTLA</w:t>
            </w:r>
          </w:p>
        </w:tc>
        <w:tc>
          <w:tcPr/>
          <w:p>
            <w:pPr>
              <w:pStyle w:val="Compact"/>
              <w:jc w:val="right"/>
            </w:pPr>
            <w:r>
              <w:t xml:space="preserve">Rifamycin/isoniazid (active and latent TB, other infections)</w:t>
            </w:r>
          </w:p>
        </w:tc>
        <w:tc>
          <w:tcPr/>
          <w:p>
            <w:pPr>
              <w:pStyle w:val="Compact"/>
              <w:jc w:val="right"/>
            </w:pPr>
            <w:r>
              <w:t xml:space="preserve">1.065 (1.000–1.135)</w:t>
            </w:r>
          </w:p>
        </w:tc>
        <w:tc>
          <w:tcPr/>
          <w:p>
            <w:pPr>
              <w:pStyle w:val="Compact"/>
              <w:jc w:val="right"/>
            </w:pPr>
            <w:r>
              <w:t xml:space="preserve">1.038 (1.025–1.052)</w:t>
            </w:r>
          </w:p>
        </w:tc>
        <w:tc>
          <w:tcPr/>
          <w:p>
            <w:pPr>
              <w:pStyle w:val="Compact"/>
              <w:jc w:val="right"/>
            </w:pPr>
            <w:r>
              <w:t xml:space="preserve">0.39</w:t>
            </w:r>
          </w:p>
        </w:tc>
        <w:tc>
          <w:tcPr/>
          <w:p>
            <w:pPr>
              <w:pStyle w:val="Compact"/>
              <w:jc w:val="right"/>
            </w:pPr>
            <w:r>
              <w:t xml:space="preserve">1.004 (0.992–1.016)</w:t>
            </w:r>
          </w:p>
        </w:tc>
        <w:tc>
          <w:tcPr/>
          <w:p>
            <w:pPr>
              <w:pStyle w:val="Compact"/>
              <w:jc w:val="right"/>
            </w:pPr>
            <w:r>
              <w:t xml:space="preserve">1.004 (0.992–1.016)</w:t>
            </w:r>
          </w:p>
        </w:tc>
        <w:tc>
          <w:tcPr/>
          <w:p>
            <w:pPr>
              <w:pStyle w:val="Compact"/>
              <w:jc w:val="right"/>
            </w:pPr>
            <w:r>
              <w:t xml:space="preserve">1.018 (0.997–1.040)</w:t>
            </w:r>
          </w:p>
        </w:tc>
      </w:tr>
      <w:tr>
        <w:tc>
          <w:tcPr/>
          <w:p>
            <w:pPr>
              <w:pStyle w:val="Compact"/>
              <w:jc w:val="left"/>
            </w:pPr>
            <w:r>
              <w:t xml:space="preserve">LTLA</w:t>
            </w:r>
          </w:p>
        </w:tc>
        <w:tc>
          <w:tcPr/>
          <w:p>
            <w:pPr>
              <w:pStyle w:val="Compact"/>
              <w:jc w:val="right"/>
            </w:pPr>
            <w:r>
              <w:t xml:space="preserve">TNF inhibitors</w:t>
            </w:r>
          </w:p>
        </w:tc>
        <w:tc>
          <w:tcPr/>
          <w:p>
            <w:pPr>
              <w:pStyle w:val="Compact"/>
              <w:jc w:val="right"/>
            </w:pPr>
            <w:r>
              <w:t xml:space="preserve">0.968 (0.927–1.012)</w:t>
            </w:r>
          </w:p>
        </w:tc>
        <w:tc>
          <w:tcPr/>
          <w:p>
            <w:pPr>
              <w:pStyle w:val="Compact"/>
              <w:jc w:val="right"/>
            </w:pPr>
            <w:r>
              <w:t xml:space="preserve">0.994 (0.979–1.010)</w:t>
            </w:r>
          </w:p>
        </w:tc>
        <w:tc>
          <w:tcPr/>
          <w:p>
            <w:pPr>
              <w:pStyle w:val="Compact"/>
              <w:jc w:val="right"/>
            </w:pPr>
            <w:r>
              <w:t xml:space="preserve">-0.06</w:t>
            </w:r>
          </w:p>
        </w:tc>
        <w:tc>
          <w:tcPr/>
          <w:p>
            <w:pPr>
              <w:pStyle w:val="Compact"/>
              <w:jc w:val="right"/>
            </w:pPr>
            <w:r>
              <w:t xml:space="preserve">0.992 (0.976–1.008)</w:t>
            </w:r>
          </w:p>
        </w:tc>
        <w:tc>
          <w:tcPr/>
          <w:p>
            <w:pPr>
              <w:pStyle w:val="Compact"/>
              <w:jc w:val="right"/>
            </w:pPr>
            <w:r>
              <w:t xml:space="preserve">0.992 (0.976–1.008)</w:t>
            </w:r>
          </w:p>
        </w:tc>
        <w:tc>
          <w:tcPr/>
          <w:p>
            <w:pPr>
              <w:pStyle w:val="Compact"/>
              <w:jc w:val="right"/>
            </w:pPr>
            <w:r>
              <w:t xml:space="preserve">0.975 (0.946–1.006)</w:t>
            </w:r>
          </w:p>
        </w:tc>
      </w:tr>
      <w:tr>
        <w:tc>
          <w:tcPr/>
          <w:p>
            <w:pPr>
              <w:pStyle w:val="Compact"/>
              <w:jc w:val="left"/>
            </w:pPr>
            <w:r>
              <w:t xml:space="preserve">LTLA</w:t>
            </w:r>
          </w:p>
        </w:tc>
        <w:tc>
          <w:tcPr/>
          <w:p>
            <w:pPr>
              <w:pStyle w:val="Compact"/>
              <w:jc w:val="right"/>
            </w:pPr>
            <w:r>
              <w:t xml:space="preserve">IL-6 inhibitors and abatacept</w:t>
            </w:r>
          </w:p>
        </w:tc>
        <w:tc>
          <w:tcPr/>
          <w:p>
            <w:pPr>
              <w:pStyle w:val="Compact"/>
              <w:jc w:val="right"/>
            </w:pPr>
            <w:r>
              <w:t xml:space="preserve">0.944 (0.906–0.984)</w:t>
            </w:r>
          </w:p>
        </w:tc>
        <w:tc>
          <w:tcPr/>
          <w:p>
            <w:pPr>
              <w:pStyle w:val="Compact"/>
              <w:jc w:val="right"/>
            </w:pPr>
            <w:r>
              <w:t xml:space="preserve">1.001 (0.991–1.011)</w:t>
            </w:r>
          </w:p>
        </w:tc>
        <w:tc>
          <w:tcPr/>
          <w:p>
            <w:pPr>
              <w:pStyle w:val="Compact"/>
              <w:jc w:val="right"/>
            </w:pPr>
            <w:r>
              <w:t xml:space="preserve">0.01</w:t>
            </w:r>
          </w:p>
        </w:tc>
        <w:tc>
          <w:tcPr/>
          <w:p>
            <w:pPr>
              <w:pStyle w:val="Compact"/>
              <w:jc w:val="right"/>
            </w:pPr>
            <w:r>
              <w:t xml:space="preserve">1.001 (0.993–1.010)</w:t>
            </w:r>
          </w:p>
        </w:tc>
        <w:tc>
          <w:tcPr/>
          <w:p>
            <w:pPr>
              <w:pStyle w:val="Compact"/>
              <w:jc w:val="right"/>
            </w:pPr>
            <w:r>
              <w:t xml:space="preserve">1.001 (0.993–1.010)</w:t>
            </w:r>
          </w:p>
        </w:tc>
        <w:tc>
          <w:tcPr/>
          <w:p>
            <w:pPr>
              <w:pStyle w:val="Compact"/>
              <w:jc w:val="right"/>
            </w:pPr>
            <w:r>
              <w:t xml:space="preserve">0.997 (0.981–1.013)</w:t>
            </w:r>
          </w:p>
        </w:tc>
      </w:tr>
      <w:tr>
        <w:tc>
          <w:tcPr/>
          <w:p>
            <w:pPr>
              <w:pStyle w:val="Compact"/>
              <w:jc w:val="left"/>
            </w:pPr>
            <w:r>
              <w:t xml:space="preserve">LTLA</w:t>
            </w:r>
          </w:p>
        </w:tc>
        <w:tc>
          <w:tcPr/>
          <w:p>
            <w:pPr>
              <w:pStyle w:val="Compact"/>
              <w:jc w:val="right"/>
            </w:pPr>
            <w:r>
              <w:t xml:space="preserve">JAK inhibitors (rheumatology)</w:t>
            </w:r>
          </w:p>
        </w:tc>
        <w:tc>
          <w:tcPr/>
          <w:p>
            <w:pPr>
              <w:pStyle w:val="Compact"/>
              <w:jc w:val="right"/>
            </w:pPr>
            <w:r>
              <w:t xml:space="preserve">0.948 (0.905–0.992)</w:t>
            </w:r>
          </w:p>
        </w:tc>
        <w:tc>
          <w:tcPr/>
          <w:p>
            <w:pPr>
              <w:pStyle w:val="Compact"/>
              <w:jc w:val="right"/>
            </w:pPr>
            <w:r>
              <w:t xml:space="preserve">0.994 (0.988–0.999)</w:t>
            </w:r>
          </w:p>
        </w:tc>
        <w:tc>
          <w:tcPr/>
          <w:p>
            <w:pPr>
              <w:pStyle w:val="Compact"/>
              <w:jc w:val="right"/>
            </w:pPr>
            <w:r>
              <w:t xml:space="preserve">-0.06</w:t>
            </w:r>
          </w:p>
        </w:tc>
        <w:tc>
          <w:tcPr/>
          <w:p>
            <w:pPr>
              <w:pStyle w:val="Compact"/>
              <w:jc w:val="right"/>
            </w:pPr>
            <w:r>
              <w:t xml:space="preserve">0.995 (0.989–1.002)</w:t>
            </w:r>
          </w:p>
        </w:tc>
        <w:tc>
          <w:tcPr/>
          <w:p>
            <w:pPr>
              <w:pStyle w:val="Compact"/>
              <w:jc w:val="right"/>
            </w:pPr>
            <w:r>
              <w:t xml:space="preserve">0.995 (0.988–1.003)</w:t>
            </w:r>
          </w:p>
        </w:tc>
        <w:tc>
          <w:tcPr/>
          <w:p>
            <w:pPr>
              <w:pStyle w:val="Compact"/>
              <w:jc w:val="right"/>
            </w:pPr>
            <w:r>
              <w:t xml:space="preserve">0.998 (0.984–1.012)</w:t>
            </w:r>
          </w:p>
        </w:tc>
      </w:tr>
      <w:tr>
        <w:tc>
          <w:tcPr/>
          <w:p>
            <w:pPr>
              <w:pStyle w:val="Compact"/>
              <w:jc w:val="left"/>
            </w:pPr>
            <w:r>
              <w:t xml:space="preserve">LTLA</w:t>
            </w:r>
          </w:p>
        </w:tc>
        <w:tc>
          <w:tcPr/>
          <w:p>
            <w:pPr>
              <w:pStyle w:val="Compact"/>
              <w:jc w:val="right"/>
            </w:pPr>
            <w:r>
              <w:t xml:space="preserve">Rituximab</w:t>
            </w:r>
          </w:p>
        </w:tc>
        <w:tc>
          <w:tcPr/>
          <w:p>
            <w:pPr>
              <w:pStyle w:val="Compact"/>
              <w:jc w:val="right"/>
            </w:pPr>
            <w:r>
              <w:t xml:space="preserve">0.974 (0.929–1.021)</w:t>
            </w:r>
          </w:p>
        </w:tc>
        <w:tc>
          <w:tcPr/>
          <w:p>
            <w:pPr>
              <w:pStyle w:val="Compact"/>
              <w:jc w:val="right"/>
            </w:pPr>
            <w:r>
              <w:t xml:space="preserve">0.990 (0.976–1.004)</w:t>
            </w:r>
          </w:p>
        </w:tc>
        <w:tc>
          <w:tcPr/>
          <w:p>
            <w:pPr>
              <w:pStyle w:val="Compact"/>
              <w:jc w:val="right"/>
            </w:pPr>
            <w:r>
              <w:t xml:space="preserve">-0.10</w:t>
            </w:r>
          </w:p>
        </w:tc>
        <w:tc>
          <w:tcPr/>
          <w:p>
            <w:pPr>
              <w:pStyle w:val="Compact"/>
              <w:jc w:val="right"/>
            </w:pPr>
            <w:r>
              <w:t xml:space="preserve">1.001 (0.986–1.016)</w:t>
            </w:r>
          </w:p>
        </w:tc>
        <w:tc>
          <w:tcPr/>
          <w:p>
            <w:pPr>
              <w:pStyle w:val="Compact"/>
              <w:jc w:val="right"/>
            </w:pPr>
            <w:r>
              <w:t xml:space="preserve">1.001 (0.988–1.014)</w:t>
            </w:r>
          </w:p>
        </w:tc>
        <w:tc>
          <w:tcPr/>
          <w:p>
            <w:pPr>
              <w:pStyle w:val="Compact"/>
              <w:jc w:val="right"/>
            </w:pPr>
            <w:r>
              <w:t xml:space="preserve">1.005 (0.988–1.023)</w:t>
            </w:r>
          </w:p>
        </w:tc>
      </w:tr>
      <w:tr>
        <w:tc>
          <w:tcPr/>
          <w:p>
            <w:pPr>
              <w:pStyle w:val="Compact"/>
              <w:jc w:val="left"/>
            </w:pPr>
            <w:r>
              <w:t xml:space="preserve">LTLA</w:t>
            </w:r>
          </w:p>
        </w:tc>
        <w:tc>
          <w:tcPr/>
          <w:p>
            <w:pPr>
              <w:pStyle w:val="Compact"/>
              <w:jc w:val="right"/>
            </w:pPr>
            <w:r>
              <w:t xml:space="preserve">Calcineurin/mTOR inhibitors</w:t>
            </w:r>
          </w:p>
        </w:tc>
        <w:tc>
          <w:tcPr/>
          <w:p>
            <w:pPr>
              <w:pStyle w:val="Compact"/>
              <w:jc w:val="right"/>
            </w:pPr>
            <w:r>
              <w:t xml:space="preserve">1.002 (0.959–1.046)</w:t>
            </w:r>
          </w:p>
        </w:tc>
        <w:tc>
          <w:tcPr/>
          <w:p>
            <w:pPr>
              <w:pStyle w:val="Compact"/>
              <w:jc w:val="right"/>
            </w:pPr>
            <w:r>
              <w:t xml:space="preserve">0.994 (0.985–1.003)</w:t>
            </w:r>
          </w:p>
        </w:tc>
        <w:tc>
          <w:tcPr/>
          <w:p>
            <w:pPr>
              <w:pStyle w:val="Compact"/>
              <w:jc w:val="right"/>
            </w:pPr>
            <w:r>
              <w:t xml:space="preserve">-0.07</w:t>
            </w:r>
          </w:p>
        </w:tc>
        <w:tc>
          <w:tcPr/>
          <w:p>
            <w:pPr>
              <w:pStyle w:val="Compact"/>
              <w:jc w:val="right"/>
            </w:pPr>
            <w:r>
              <w:t xml:space="preserve">1.008 (0.997–1.020)</w:t>
            </w:r>
          </w:p>
        </w:tc>
        <w:tc>
          <w:tcPr/>
          <w:p>
            <w:pPr>
              <w:pStyle w:val="Compact"/>
              <w:jc w:val="right"/>
            </w:pPr>
            <w:r>
              <w:t xml:space="preserve">1.008 (0.998–1.019)</w:t>
            </w:r>
          </w:p>
        </w:tc>
        <w:tc>
          <w:tcPr/>
          <w:p>
            <w:pPr>
              <w:pStyle w:val="Compact"/>
              <w:jc w:val="right"/>
            </w:pPr>
            <w:r>
              <w:t xml:space="preserve">0.983 (0.961–1.005)</w:t>
            </w:r>
          </w:p>
        </w:tc>
      </w:tr>
      <w:tr>
        <w:tc>
          <w:tcPr/>
          <w:p>
            <w:pPr>
              <w:pStyle w:val="Compact"/>
              <w:jc w:val="left"/>
            </w:pPr>
            <w:r>
              <w:t xml:space="preserve">LTLA</w:t>
            </w:r>
          </w:p>
        </w:tc>
        <w:tc>
          <w:tcPr/>
          <w:p>
            <w:pPr>
              <w:pStyle w:val="Compact"/>
              <w:jc w:val="right"/>
            </w:pPr>
            <w:r>
              <w:t xml:space="preserve">Antiproliferatives</w:t>
            </w:r>
          </w:p>
        </w:tc>
        <w:tc>
          <w:tcPr/>
          <w:p>
            <w:pPr>
              <w:pStyle w:val="Compact"/>
              <w:jc w:val="right"/>
            </w:pPr>
            <w:r>
              <w:t xml:space="preserve">0.983 (0.936–1.031)</w:t>
            </w:r>
          </w:p>
        </w:tc>
        <w:tc>
          <w:tcPr/>
          <w:p>
            <w:pPr>
              <w:pStyle w:val="Compact"/>
              <w:jc w:val="right"/>
            </w:pPr>
            <w:r>
              <w:t xml:space="preserve">0.997 (0.983–1.012)</w:t>
            </w:r>
          </w:p>
        </w:tc>
        <w:tc>
          <w:tcPr/>
          <w:p>
            <w:pPr>
              <w:pStyle w:val="Compact"/>
              <w:jc w:val="right"/>
            </w:pPr>
            <w:r>
              <w:t xml:space="preserve">-0.03</w:t>
            </w:r>
          </w:p>
        </w:tc>
        <w:tc>
          <w:tcPr/>
          <w:p>
            <w:pPr>
              <w:pStyle w:val="Compact"/>
              <w:jc w:val="right"/>
            </w:pPr>
            <w:r>
              <w:t xml:space="preserve">0.997 (0.982–1.013)</w:t>
            </w:r>
          </w:p>
        </w:tc>
        <w:tc>
          <w:tcPr/>
          <w:p>
            <w:pPr>
              <w:pStyle w:val="Compact"/>
              <w:jc w:val="right"/>
            </w:pPr>
            <w:r>
              <w:t xml:space="preserve">0.997 (0.980–1.015)</w:t>
            </w:r>
          </w:p>
        </w:tc>
        <w:tc>
          <w:tcPr/>
          <w:p>
            <w:pPr>
              <w:pStyle w:val="Compact"/>
              <w:jc w:val="right"/>
            </w:pPr>
            <w:r>
              <w:t xml:space="preserve">0.993 (0.974–1.012)</w:t>
            </w:r>
          </w:p>
        </w:tc>
      </w:tr>
      <w:tr>
        <w:tc>
          <w:tcPr/>
          <w:p>
            <w:pPr>
              <w:pStyle w:val="Compact"/>
              <w:jc w:val="left"/>
            </w:pPr>
            <w:r>
              <w:t xml:space="preserve">LTLA</w:t>
            </w:r>
          </w:p>
        </w:tc>
        <w:tc>
          <w:tcPr/>
          <w:p>
            <w:pPr>
              <w:pStyle w:val="Compact"/>
              <w:jc w:val="right"/>
            </w:pPr>
            <w:r>
              <w:t xml:space="preserve">Systemic glucocorticoids without dexamethasone/hydrocortisone (prednisolone-equivalent mg)</w:t>
            </w:r>
          </w:p>
        </w:tc>
        <w:tc>
          <w:tcPr/>
          <w:p>
            <w:pPr>
              <w:pStyle w:val="Compact"/>
              <w:jc w:val="right"/>
            </w:pPr>
            <w:r>
              <w:t xml:space="preserve">0.976 (0.945–1.008)</w:t>
            </w:r>
          </w:p>
        </w:tc>
        <w:tc>
          <w:tcPr/>
          <w:p>
            <w:pPr>
              <w:pStyle w:val="Compact"/>
              <w:jc w:val="right"/>
            </w:pPr>
            <w:r>
              <w:t xml:space="preserve">1.008 (0.990–1.026)</w:t>
            </w:r>
          </w:p>
        </w:tc>
        <w:tc>
          <w:tcPr/>
          <w:p>
            <w:pPr>
              <w:pStyle w:val="Compact"/>
              <w:jc w:val="right"/>
            </w:pPr>
            <w:r>
              <w:t xml:space="preserve">0.08</w:t>
            </w:r>
          </w:p>
        </w:tc>
        <w:tc>
          <w:tcPr/>
          <w:p>
            <w:pPr>
              <w:pStyle w:val="Compact"/>
              <w:jc w:val="right"/>
            </w:pPr>
            <w:r>
              <w:t xml:space="preserve">1.021 (1.000–1.043)</w:t>
            </w:r>
          </w:p>
        </w:tc>
        <w:tc>
          <w:tcPr/>
          <w:p>
            <w:pPr>
              <w:pStyle w:val="Compact"/>
              <w:jc w:val="right"/>
            </w:pPr>
            <w:r>
              <w:t xml:space="preserve">1.021 (0.999–1.044)</w:t>
            </w:r>
          </w:p>
        </w:tc>
        <w:tc>
          <w:tcPr/>
          <w:p>
            <w:pPr>
              <w:pStyle w:val="Compact"/>
              <w:jc w:val="right"/>
            </w:pPr>
            <w:r>
              <w:t xml:space="preserve">0.986 (0.952–1.020)</w:t>
            </w:r>
          </w:p>
        </w:tc>
      </w:tr>
      <w:tr>
        <w:tc>
          <w:tcPr/>
          <w:p>
            <w:pPr>
              <w:pStyle w:val="Compact"/>
              <w:jc w:val="left"/>
            </w:pPr>
            <w:r>
              <w:t xml:space="preserve">LTLA</w:t>
            </w:r>
          </w:p>
        </w:tc>
        <w:tc>
          <w:tcPr/>
          <w:p>
            <w:pPr>
              <w:pStyle w:val="Compact"/>
              <w:jc w:val="right"/>
            </w:pPr>
            <w:r>
              <w:t xml:space="preserve">Dexamethasone and hydrocortisone (descriptive)</w:t>
            </w:r>
          </w:p>
        </w:tc>
        <w:tc>
          <w:tcPr/>
          <w:p>
            <w:pPr>
              <w:pStyle w:val="Compact"/>
              <w:jc w:val="right"/>
            </w:pPr>
            <w:r>
              <w:t xml:space="preserve">0.978 (0.938–1.019)</w:t>
            </w:r>
          </w:p>
        </w:tc>
        <w:tc>
          <w:tcPr/>
          <w:p>
            <w:pPr>
              <w:pStyle w:val="Compact"/>
              <w:jc w:val="right"/>
            </w:pPr>
            <w:r>
              <w:t xml:space="preserve">1.008 (0.980–1.037)</w:t>
            </w:r>
          </w:p>
        </w:tc>
        <w:tc>
          <w:tcPr/>
          <w:p>
            <w:pPr>
              <w:pStyle w:val="Compact"/>
              <w:jc w:val="right"/>
            </w:pPr>
            <w:r>
              <w:t xml:space="preserve">0.08</w:t>
            </w:r>
          </w:p>
        </w:tc>
        <w:tc>
          <w:tcPr/>
          <w:p>
            <w:pPr>
              <w:pStyle w:val="Compact"/>
              <w:jc w:val="right"/>
            </w:pPr>
            <w:r>
              <w:t xml:space="preserve">1.010 (0.984–1.036)</w:t>
            </w:r>
          </w:p>
        </w:tc>
        <w:tc>
          <w:tcPr/>
          <w:p>
            <w:pPr>
              <w:pStyle w:val="Compact"/>
              <w:jc w:val="right"/>
            </w:pPr>
            <w:r>
              <w:t xml:space="preserve">1.010 (0.982–1.037)</w:t>
            </w:r>
          </w:p>
        </w:tc>
        <w:tc>
          <w:tcPr/>
          <w:p>
            <w:pPr>
              <w:pStyle w:val="Compact"/>
              <w:jc w:val="right"/>
            </w:pPr>
            <w:r>
              <w:t xml:space="preserve">0.989 (0.940–1.041)</w:t>
            </w:r>
          </w:p>
        </w:tc>
      </w:tr>
      <w:tr>
        <w:tc>
          <w:tcPr/>
          <w:p>
            <w:pPr>
              <w:pStyle w:val="Compact"/>
              <w:jc w:val="left"/>
            </w:pPr>
            <w:r>
              <w:t xml:space="preserve">LTLA</w:t>
            </w:r>
          </w:p>
        </w:tc>
        <w:tc>
          <w:tcPr/>
          <w:p>
            <w:pPr>
              <w:pStyle w:val="Compact"/>
              <w:jc w:val="right"/>
            </w:pPr>
            <w:r>
              <w:t xml:space="preserve">Low-TB-risk biologics (negative control)</w:t>
            </w:r>
          </w:p>
        </w:tc>
        <w:tc>
          <w:tcPr/>
          <w:p>
            <w:pPr>
              <w:pStyle w:val="Compact"/>
              <w:jc w:val="right"/>
            </w:pPr>
            <w:r>
              <w:t xml:space="preserve">0.991 (0.948–1.036)</w:t>
            </w:r>
          </w:p>
        </w:tc>
        <w:tc>
          <w:tcPr/>
          <w:p>
            <w:pPr>
              <w:pStyle w:val="Compact"/>
              <w:jc w:val="right"/>
            </w:pPr>
            <w:r>
              <w:t xml:space="preserve">1.005 (0.991–1.019)</w:t>
            </w:r>
          </w:p>
        </w:tc>
        <w:tc>
          <w:tcPr/>
          <w:p>
            <w:pPr>
              <w:pStyle w:val="Compact"/>
              <w:jc w:val="right"/>
            </w:pPr>
            <w:r>
              <w:t xml:space="preserve">0.05</w:t>
            </w:r>
          </w:p>
        </w:tc>
        <w:tc>
          <w:tcPr/>
          <w:p>
            <w:pPr>
              <w:pStyle w:val="Compact"/>
              <w:jc w:val="right"/>
            </w:pPr>
            <w:r>
              <w:t xml:space="preserve">1.003 (0.988–1.019)</w:t>
            </w:r>
          </w:p>
        </w:tc>
        <w:tc>
          <w:tcPr/>
          <w:p>
            <w:pPr>
              <w:pStyle w:val="Compact"/>
              <w:jc w:val="right"/>
            </w:pPr>
            <w:r>
              <w:t xml:space="preserve">1.003 (0.988–1.019)</w:t>
            </w:r>
          </w:p>
        </w:tc>
        <w:tc>
          <w:tcPr/>
          <w:p>
            <w:pPr>
              <w:pStyle w:val="Compact"/>
              <w:jc w:val="right"/>
            </w:pPr>
            <w:r>
              <w:t xml:space="preserve">1.012 (0.985–1.040)</w:t>
            </w:r>
          </w:p>
        </w:tc>
      </w:tr>
      <w:tr>
        <w:tc>
          <w:tcPr/>
          <w:p>
            <w:pPr>
              <w:pStyle w:val="Compact"/>
              <w:jc w:val="left"/>
            </w:pPr>
            <w:r>
              <w:t xml:space="preserve">LTLA</w:t>
            </w:r>
          </w:p>
        </w:tc>
        <w:tc>
          <w:tcPr/>
          <w:p>
            <w:pPr>
              <w:pStyle w:val="Compact"/>
              <w:jc w:val="right"/>
            </w:pPr>
            <w:r>
              <w:t xml:space="preserve">Levetiracetam (negative control)</w:t>
            </w:r>
          </w:p>
        </w:tc>
        <w:tc>
          <w:tcPr/>
          <w:p>
            <w:pPr>
              <w:pStyle w:val="Compact"/>
              <w:jc w:val="right"/>
            </w:pPr>
            <w:r>
              <w:t xml:space="preserve">1.016 (0.979–1.054)</w:t>
            </w:r>
          </w:p>
        </w:tc>
        <w:tc>
          <w:tcPr/>
          <w:p>
            <w:pPr>
              <w:pStyle w:val="Compact"/>
              <w:jc w:val="right"/>
            </w:pPr>
            <w:r>
              <w:t xml:space="preserve">1.003 (0.981–1.025)</w:t>
            </w:r>
          </w:p>
        </w:tc>
        <w:tc>
          <w:tcPr/>
          <w:p>
            <w:pPr>
              <w:pStyle w:val="Compact"/>
              <w:jc w:val="right"/>
            </w:pPr>
            <w:r>
              <w:t xml:space="preserve">0.03</w:t>
            </w:r>
          </w:p>
        </w:tc>
        <w:tc>
          <w:tcPr/>
          <w:p>
            <w:pPr>
              <w:pStyle w:val="Compact"/>
              <w:jc w:val="right"/>
            </w:pPr>
            <w:r>
              <w:t xml:space="preserve">1.013 (0.988–1.039)</w:t>
            </w:r>
          </w:p>
        </w:tc>
        <w:tc>
          <w:tcPr/>
          <w:p>
            <w:pPr>
              <w:pStyle w:val="Compact"/>
              <w:jc w:val="right"/>
            </w:pPr>
            <w:r>
              <w:t xml:space="preserve">1.013 (0.989–1.037)</w:t>
            </w:r>
          </w:p>
        </w:tc>
        <w:tc>
          <w:tcPr/>
          <w:p>
            <w:pPr>
              <w:pStyle w:val="Compact"/>
              <w:jc w:val="right"/>
            </w:pPr>
            <w:r>
              <w:t xml:space="preserve">0.992 (0.955–1.031)</w:t>
            </w:r>
          </w:p>
        </w:tc>
      </w:tr>
    </w:tbl>
    <w:p>
      <w:pPr>
        <w:pStyle w:val="BodyText"/>
      </w:pPr>
      <w:r>
        <w:t xml:space="preserve">Exposure: DDD-years per 1,000 residents (positive control: pyrazinamide DDD including fixed-dose combinations; systemic glucocorticoids: prednisolone-equivalent mg, without dexamethasone and hydrocortisone), apportioned by 2024 acute trust catchments. Cross-sectional: negative binomial regression of 2019–24 notifications on the standardised log mean rate (per SD), adjusted for % born outside the UK, age structure, in-migration, HIV and diabetes prevalence. Within-area: Poisson PML with area and year fixed effects and time-varying covariates, per 10% increase; SEs clustered by area unless stated. Elasticity: log IRR per log unit of exposure in the same-year model, shown for all groups but interpretable as linkage attenuation only for the positive control. Following year: for the positive control an association is possible because treatment continues into the next year; for candidate drugs it is a falsification test.</w:t>
      </w:r>
    </w:p>
    <w:bookmarkEnd w:id="48"/>
    <w:bookmarkStart w:id="49" w:name="Xd0f92156681e8bd548d0ef98225738b42d6751c"/>
    <w:p>
      <w:pPr>
        <w:pStyle w:val="Heading3"/>
      </w:pPr>
      <w:r>
        <w:t xml:space="preserve">Minimum detectable effects and expected population effects</w:t>
      </w:r>
    </w:p>
    <w:p>
      <w:pPr>
        <w:pStyle w:val="FirstParagraph"/>
      </w:pPr>
      <w:r>
        <w:rPr>
          <w:b/>
          <w:bCs/>
        </w:rPr>
        <w:t xml:space="preserve">Primary care, oral glucocorticoids</w:t>
      </w:r>
      <w:r>
        <w:t xml:space="preserve"> </w:t>
      </w:r>
      <w:r>
        <w:t xml:space="preserve">(lower-tier panel)</w:t>
      </w:r>
      <w:r>
        <w:t xml:space="preserve"> </w:t>
      </w:r>
      <w:r>
        <w:t xml:space="preserve">- Minimum detectable effect (MDE): 6.3% per 10% increase in prescribing.</w:t>
      </w:r>
      <w:r>
        <w:t xml:space="preserve"> </w:t>
      </w:r>
      <w:r>
        <w:t xml:space="preserve">- Expected effect under published relative risks and prevalence: 0.34% (Table 2).</w:t>
      </w:r>
      <w:r>
        <w:t xml:space="preserve"> </w:t>
      </w:r>
      <w:r>
        <w:t xml:space="preserve">- Stratified by age: 0.29%.</w:t>
      </w:r>
      <w:r>
        <w:t xml:space="preserve"> </w:t>
      </w:r>
      <w:r>
        <w:t xml:space="preserve">- Based on UKHSA-recorded steroid-associated notifications, converted to an attributable fraction: 0.043% with complete recording, 0.087% if only half are recorded.</w:t>
      </w:r>
      <w:r>
        <w:t xml:space="preserve"> </w:t>
      </w:r>
      <w:r>
        <w:t xml:space="preserve">- The design could therefore detect only effects about 18 to 140 times larger than expected.</w:t>
      </w:r>
      <w:r>
        <w:t xml:space="preserve"> </w:t>
      </w:r>
      <w:r>
        <w:t xml:space="preserve">- The MDE corresponds to a drug responsible for 63% of all notifications.</w:t>
      </w:r>
      <w:r>
        <w:t xml:space="preserve"> </w:t>
      </w:r>
      <w:r>
        <w:t xml:space="preserve">- For the other candidate groups, MDEs exceeded expected effects by factors of 11 (statins) to 272 (conventional DMARDs).</w:t>
      </w:r>
    </w:p>
    <w:p>
      <w:pPr>
        <w:pStyle w:val="BodyText"/>
      </w:pPr>
      <w:r>
        <w:rPr>
          <w:b/>
          <w:bCs/>
        </w:rPr>
        <w:t xml:space="preserve">Hospital medicines</w:t>
      </w:r>
      <w:r>
        <w:t xml:space="preserve"> </w:t>
      </w:r>
      <w:r>
        <w:t xml:space="preserve">- MDEs were smaller (1.0–2.9% per 10% increase), but so were expected effects.</w:t>
      </w:r>
      <w:r>
        <w:t xml:space="preserve"> </w:t>
      </w:r>
      <w:r>
        <w:t xml:space="preserve">- TNF inhibitors (SCMD DDD-years per resident 0.34%):</w:t>
      </w:r>
      <w:r>
        <w:t xml:space="preserve"> </w:t>
      </w:r>
      <w:r>
        <w:t xml:space="preserve">- An illustrative RR of 4 before latent TB screening implies an expected change of 0.10% (MDE 26 times larger at upper-tier level).</w:t>
      </w:r>
      <w:r>
        <w:t xml:space="preserve"> </w:t>
      </w:r>
      <w:r>
        <w:t xml:space="preserve">- An RR of 1.5 with screening, which probably overstates post-screening risk, implies 0.017% (MDE 154 times larger).</w:t>
      </w:r>
      <w:r>
        <w:t xml:space="preserve"> </w:t>
      </w:r>
      <w:r>
        <w:t xml:space="preserve">- Dividing by the positive-control elasticity widens these gaps to 72 and 426 times (Table S3).</w:t>
      </w:r>
      <w:r>
        <w:t xml:space="preserve"> </w:t>
      </w:r>
      <w:r>
        <w:t xml:space="preserve">- Across hospital scenarios, MDEs exceeded expected effects by 26 to 520 times before attenuation.</w:t>
      </w:r>
      <w:r>
        <w:t xml:space="preserve"> </w:t>
      </w:r>
      <w:r>
        <w:t xml:space="preserve">- UKHSA-recorded biological-therapy notifications imply 0.08–0.16%.</w:t>
      </w:r>
    </w:p>
    <w:p>
      <w:pPr>
        <w:pStyle w:val="BodyText"/>
      </w:pPr>
      <w:r>
        <w:rPr>
          <w:b/>
          <w:bCs/>
        </w:rPr>
        <w:t xml:space="preserve">Simulation</w:t>
      </w:r>
      <w:r>
        <w:t xml:space="preserve"> </w:t>
      </w:r>
      <w:r>
        <w:t xml:space="preserve">(permutation-based, real notification counts; Table S4)</w:t>
      </w:r>
      <w:r>
        <w:t xml:space="preserve"> </w:t>
      </w:r>
      <w:r>
        <w:t xml:space="preserve">-</w:t>
      </w:r>
      <w:r>
        <w:t xml:space="preserve"> </w:t>
      </w:r>
      <w:r>
        <w:rPr>
          <w:b/>
          <w:bCs/>
        </w:rPr>
        <w:t xml:space="preserve">Calibration.</w:t>
      </w:r>
      <w:r>
        <w:t xml:space="preserve"> </w:t>
      </w:r>
      <w:r>
        <w:t xml:space="preserve">With no effect, the two-sided test rejected in 7.8% of replicates at lower-tier level (7.6% upper-tier), against a nominal 5%. Within the simulation, replicate SEs (median 0.0161) were close to the spread of null estimates (0.0166), so the clustered test was mildly anti-conservative, not conservative.</w:t>
      </w:r>
      <w:r>
        <w:t xml:space="preserve"> </w:t>
      </w:r>
      <w:r>
        <w:t xml:space="preserve">-</w:t>
      </w:r>
      <w:r>
        <w:t xml:space="preserve"> </w:t>
      </w:r>
      <w:r>
        <w:rPr>
          <w:b/>
          <w:bCs/>
        </w:rPr>
        <w:t xml:space="preserve">Real-data precision.</w:t>
      </w:r>
      <w:r>
        <w:t xml:space="preserve"> </w:t>
      </w:r>
      <w:r>
        <w:t xml:space="preserve">The real-data SE (0.0218) was larger than in the simulation, because permuting exposure trajectories across areas breaks their alignment with each area’s own notification trends. Simulated power is therefore optimistic, so we also give analytic power at the real-data SE.</w:t>
      </w:r>
      <w:r>
        <w:t xml:space="preserve"> </w:t>
      </w:r>
      <w:r>
        <w:t xml:space="preserve">-</w:t>
      </w:r>
      <w:r>
        <w:t xml:space="preserve"> </w:t>
      </w:r>
      <w:r>
        <w:rPr>
          <w:b/>
          <w:bCs/>
        </w:rPr>
        <w:t xml:space="preserve">Published glucocorticoid effect (RR 4.9).</w:t>
      </w:r>
      <w:r>
        <w:t xml:space="preserve"> </w:t>
      </w:r>
      <w:r>
        <w:t xml:space="preserve">Rejection 8.3% (upper-tier 8.0%), no more often than with no effect; power in the correct direction 6.0%, against 3.8% with no effect.</w:t>
      </w:r>
      <w:r>
        <w:t xml:space="preserve"> </w:t>
      </w:r>
      <w:r>
        <w:t xml:space="preserve">-</w:t>
      </w:r>
      <w:r>
        <w:t xml:space="preserve"> </w:t>
      </w:r>
      <w:r>
        <w:rPr>
          <w:b/>
          <w:bCs/>
        </w:rPr>
        <w:t xml:space="preserve">Larger individual relative risks.</w:t>
      </w:r>
      <w:r>
        <w:t xml:space="preserve"> </w:t>
      </w:r>
      <w:r>
        <w:t xml:space="preserve">Rejection 17.7% for RR 25 and 71.0% for RR 100 (analytic power at the real SE for RR 100: 52.1%).</w:t>
      </w:r>
      <w:r>
        <w:t xml:space="preserve"> </w:t>
      </w:r>
      <w:r>
        <w:t xml:space="preserve">-</w:t>
      </w:r>
      <w:r>
        <w:t xml:space="preserve"> </w:t>
      </w:r>
      <w:r>
        <w:rPr>
          <w:b/>
          <w:bCs/>
        </w:rPr>
        <w:t xml:space="preserve">Direct population effects.</w:t>
      </w:r>
      <w:r>
        <w:t xml:space="preserve"> </w:t>
      </w:r>
      <w:r>
        <w:t xml:space="preserve">Rejection 21.7%, 83.0% and 100.0% for IRR 1.02, 1.05 and 1.10 per 10%; analytic power at the real SE 14.3%, 64.6% and 99.4% (upper-tier, IRR 1.05: 51.0%).</w:t>
      </w:r>
      <w:r>
        <w:t xml:space="preserve"> </w:t>
      </w:r>
      <w:r>
        <w:t xml:space="preserve">-</w:t>
      </w:r>
      <w:r>
        <w:t xml:space="preserve"> </w:t>
      </w:r>
      <w:r>
        <w:rPr>
          <w:b/>
          <w:bCs/>
        </w:rPr>
        <w:t xml:space="preserve">Effect acting through same-year prescribing</w:t>
      </w:r>
      <w:r>
        <w:t xml:space="preserve"> </w:t>
      </w:r>
      <w:r>
        <w:t xml:space="preserve">(analysed with previous-year exposure). Rejection 61.7% for 1.05 and 99.3% for 1.10.</w:t>
      </w:r>
    </w:p>
    <w:p>
      <w:pPr>
        <w:pStyle w:val="BodyText"/>
      </w:pPr>
      <w:r>
        <w:rPr>
          <w:b/>
          <w:bCs/>
        </w:rPr>
        <w:t xml:space="preserve">Table 2. Minimum detectable effects (LTLA panel, residence apportionment, exposure t−1) versus expected population effects of a 10% increase in use</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Drug group</w:t>
            </w:r>
          </w:p>
        </w:tc>
        <w:tc>
          <w:tcPr/>
          <w:p>
            <w:pPr>
              <w:pStyle w:val="Compact"/>
              <w:jc w:val="right"/>
            </w:pPr>
            <w:r>
              <w:t xml:space="preserve">Individual RR/OR</w:t>
            </w:r>
          </w:p>
        </w:tc>
        <w:tc>
          <w:tcPr/>
          <w:p>
            <w:pPr>
              <w:pStyle w:val="Compact"/>
              <w:jc w:val="right"/>
            </w:pPr>
            <w:r>
              <w:t xml:space="preserve">Prevalence of use</w:t>
            </w:r>
          </w:p>
        </w:tc>
        <w:tc>
          <w:tcPr/>
          <w:p>
            <w:pPr>
              <w:pStyle w:val="Compact"/>
              <w:jc w:val="right"/>
            </w:pPr>
            <w:r>
              <w:t xml:space="preserve">PAF (negative: prevented fraction)</w:t>
            </w:r>
          </w:p>
        </w:tc>
        <w:tc>
          <w:tcPr/>
          <w:p>
            <w:pPr>
              <w:pStyle w:val="Compact"/>
              <w:jc w:val="right"/>
            </w:pPr>
            <w:r>
              <w:t xml:space="preserve">SE of log IRR per 10%</w:t>
            </w:r>
          </w:p>
        </w:tc>
        <w:tc>
          <w:tcPr/>
          <w:p>
            <w:pPr>
              <w:pStyle w:val="Compact"/>
              <w:jc w:val="right"/>
            </w:pPr>
            <w:r>
              <w:t xml:space="preserve">Expected change</w:t>
            </w:r>
          </w:p>
        </w:tc>
        <w:tc>
          <w:tcPr/>
          <w:p>
            <w:pPr>
              <w:pStyle w:val="Compact"/>
              <w:jc w:val="right"/>
            </w:pPr>
            <w:r>
              <w:t xml:space="preserve">MDE</w:t>
            </w:r>
          </w:p>
        </w:tc>
        <w:tc>
          <w:tcPr/>
          <w:p>
            <w:pPr>
              <w:pStyle w:val="Compact"/>
              <w:jc w:val="right"/>
            </w:pPr>
            <w:r>
              <w:t xml:space="preserve">MDE ÷ expected</w:t>
            </w:r>
          </w:p>
        </w:tc>
        <w:tc>
          <w:tcPr/>
          <w:p>
            <w:pPr>
              <w:pStyle w:val="Compact"/>
              <w:jc w:val="right"/>
            </w:pPr>
            <w:r>
              <w:t xml:space="preserve">Power</w:t>
            </w:r>
          </w:p>
        </w:tc>
        <w:tc>
          <w:tcPr/>
          <w:p>
            <w:pPr>
              <w:pStyle w:val="Compact"/>
              <w:jc w:val="right"/>
            </w:pPr>
            <w:r>
              <w:t xml:space="preserve">Minimum detectable PAF</w:t>
            </w:r>
          </w:p>
        </w:tc>
        <w:tc>
          <w:tcPr/>
          <w:p>
            <w:pPr>
              <w:pStyle w:val="Compact"/>
              <w:jc w:val="right"/>
            </w:pPr>
            <w:r>
              <w:t xml:space="preserve">RR for 80% power</w:t>
            </w:r>
          </w:p>
        </w:tc>
      </w:tr>
      <w:tr>
        <w:tc>
          <w:tcPr/>
          <w:p>
            <w:pPr>
              <w:pStyle w:val="Compact"/>
              <w:jc w:val="left"/>
            </w:pPr>
            <w:r>
              <w:t xml:space="preserve">Systemic oral glucocorticoids</w:t>
            </w:r>
          </w:p>
        </w:tc>
        <w:tc>
          <w:tcPr/>
          <w:p>
            <w:pPr>
              <w:pStyle w:val="Compact"/>
              <w:jc w:val="right"/>
            </w:pPr>
            <w:r>
              <w:t xml:space="preserve">4.9</w:t>
            </w:r>
          </w:p>
        </w:tc>
        <w:tc>
          <w:tcPr/>
          <w:p>
            <w:pPr>
              <w:pStyle w:val="Compact"/>
              <w:jc w:val="right"/>
            </w:pPr>
            <w:r>
              <w:t xml:space="preserve">0.9%</w:t>
            </w:r>
          </w:p>
        </w:tc>
        <w:tc>
          <w:tcPr/>
          <w:p>
            <w:pPr>
              <w:pStyle w:val="Compact"/>
              <w:jc w:val="right"/>
            </w:pPr>
            <w:r>
              <w:t xml:space="preserve">3.4%</w:t>
            </w:r>
          </w:p>
        </w:tc>
        <w:tc>
          <w:tcPr/>
          <w:p>
            <w:pPr>
              <w:pStyle w:val="Compact"/>
              <w:jc w:val="right"/>
            </w:pPr>
            <w:r>
              <w:t xml:space="preserve">0.0218</w:t>
            </w:r>
          </w:p>
        </w:tc>
        <w:tc>
          <w:tcPr/>
          <w:p>
            <w:pPr>
              <w:pStyle w:val="Compact"/>
              <w:jc w:val="right"/>
            </w:pPr>
            <w:r>
              <w:t xml:space="preserve">0.34%</w:t>
            </w:r>
          </w:p>
        </w:tc>
        <w:tc>
          <w:tcPr/>
          <w:p>
            <w:pPr>
              <w:pStyle w:val="Compact"/>
              <w:jc w:val="right"/>
            </w:pPr>
            <w:r>
              <w:t xml:space="preserve">6.3%</w:t>
            </w:r>
          </w:p>
        </w:tc>
        <w:tc>
          <w:tcPr/>
          <w:p>
            <w:pPr>
              <w:pStyle w:val="Compact"/>
              <w:jc w:val="right"/>
            </w:pPr>
            <w:r>
              <w:t xml:space="preserve">18</w:t>
            </w:r>
          </w:p>
        </w:tc>
        <w:tc>
          <w:tcPr/>
          <w:p>
            <w:pPr>
              <w:pStyle w:val="Compact"/>
              <w:jc w:val="right"/>
            </w:pPr>
            <w:r>
              <w:t xml:space="preserve">3.6%</w:t>
            </w:r>
          </w:p>
        </w:tc>
        <w:tc>
          <w:tcPr/>
          <w:p>
            <w:pPr>
              <w:pStyle w:val="Compact"/>
              <w:jc w:val="right"/>
            </w:pPr>
            <w:r>
              <w:t xml:space="preserve">63%</w:t>
            </w:r>
          </w:p>
        </w:tc>
        <w:tc>
          <w:tcPr/>
          <w:p>
            <w:pPr>
              <w:pStyle w:val="Compact"/>
              <w:jc w:val="right"/>
            </w:pPr>
            <w:r>
              <w:t xml:space="preserve">190</w:t>
            </w:r>
          </w:p>
        </w:tc>
      </w:tr>
      <w:tr>
        <w:tc>
          <w:tcPr/>
          <w:p>
            <w:pPr>
              <w:pStyle w:val="Compact"/>
              <w:jc w:val="left"/>
            </w:pPr>
            <w:r>
              <w:t xml:space="preserve">Inhaled corticosteroids</w:t>
            </w:r>
          </w:p>
        </w:tc>
        <w:tc>
          <w:tcPr/>
          <w:p>
            <w:pPr>
              <w:pStyle w:val="Compact"/>
              <w:jc w:val="right"/>
            </w:pPr>
            <w:r>
              <w:t xml:space="preserve">1.27</w:t>
            </w:r>
          </w:p>
        </w:tc>
        <w:tc>
          <w:tcPr/>
          <w:p>
            <w:pPr>
              <w:pStyle w:val="Compact"/>
              <w:jc w:val="right"/>
            </w:pPr>
            <w:r>
              <w:t xml:space="preserve">5.2%</w:t>
            </w:r>
          </w:p>
        </w:tc>
        <w:tc>
          <w:tcPr/>
          <w:p>
            <w:pPr>
              <w:pStyle w:val="Compact"/>
              <w:jc w:val="right"/>
            </w:pPr>
            <w:r>
              <w:t xml:space="preserve">1.4%</w:t>
            </w:r>
          </w:p>
        </w:tc>
        <w:tc>
          <w:tcPr/>
          <w:p>
            <w:pPr>
              <w:pStyle w:val="Compact"/>
              <w:jc w:val="right"/>
            </w:pPr>
            <w:r>
              <w:t xml:space="preserve">0.0249</w:t>
            </w:r>
          </w:p>
        </w:tc>
        <w:tc>
          <w:tcPr/>
          <w:p>
            <w:pPr>
              <w:pStyle w:val="Compact"/>
              <w:jc w:val="right"/>
            </w:pPr>
            <w:r>
              <w:t xml:space="preserve">0.14%</w:t>
            </w:r>
          </w:p>
        </w:tc>
        <w:tc>
          <w:tcPr/>
          <w:p>
            <w:pPr>
              <w:pStyle w:val="Compact"/>
              <w:jc w:val="right"/>
            </w:pPr>
            <w:r>
              <w:t xml:space="preserve">7.2%</w:t>
            </w:r>
          </w:p>
        </w:tc>
        <w:tc>
          <w:tcPr/>
          <w:p>
            <w:pPr>
              <w:pStyle w:val="Compact"/>
              <w:jc w:val="right"/>
            </w:pPr>
            <w:r>
              <w:t xml:space="preserve">50</w:t>
            </w:r>
          </w:p>
        </w:tc>
        <w:tc>
          <w:tcPr/>
          <w:p>
            <w:pPr>
              <w:pStyle w:val="Compact"/>
              <w:jc w:val="right"/>
            </w:pPr>
            <w:r>
              <w:t xml:space="preserve">2.8%</w:t>
            </w:r>
          </w:p>
        </w:tc>
        <w:tc>
          <w:tcPr/>
          <w:p>
            <w:pPr>
              <w:pStyle w:val="Compact"/>
              <w:jc w:val="right"/>
            </w:pPr>
            <w:r>
              <w:t xml:space="preserve">72%</w:t>
            </w:r>
          </w:p>
        </w:tc>
        <w:tc>
          <w:tcPr/>
          <w:p>
            <w:pPr>
              <w:pStyle w:val="Compact"/>
              <w:jc w:val="right"/>
            </w:pPr>
            <w:r>
              <w:t xml:space="preserve">51</w:t>
            </w:r>
          </w:p>
        </w:tc>
      </w:tr>
      <w:tr>
        <w:tc>
          <w:tcPr/>
          <w:p>
            <w:pPr>
              <w:pStyle w:val="Compact"/>
              <w:jc w:val="left"/>
            </w:pPr>
            <w:r>
              <w:t xml:space="preserve">Conventional DMARDs</w:t>
            </w:r>
          </w:p>
        </w:tc>
        <w:tc>
          <w:tcPr/>
          <w:p>
            <w:pPr>
              <w:pStyle w:val="Compact"/>
              <w:jc w:val="right"/>
            </w:pPr>
            <w:r>
              <w:t xml:space="preserve">1.2</w:t>
            </w:r>
          </w:p>
        </w:tc>
        <w:tc>
          <w:tcPr/>
          <w:p>
            <w:pPr>
              <w:pStyle w:val="Compact"/>
              <w:jc w:val="right"/>
            </w:pPr>
            <w:r>
              <w:t xml:space="preserve">0.5%</w:t>
            </w:r>
          </w:p>
        </w:tc>
        <w:tc>
          <w:tcPr/>
          <w:p>
            <w:pPr>
              <w:pStyle w:val="Compact"/>
              <w:jc w:val="right"/>
            </w:pPr>
            <w:r>
              <w:t xml:space="preserve">0.1%</w:t>
            </w:r>
          </w:p>
        </w:tc>
        <w:tc>
          <w:tcPr/>
          <w:p>
            <w:pPr>
              <w:pStyle w:val="Compact"/>
              <w:jc w:val="right"/>
            </w:pPr>
            <w:r>
              <w:t xml:space="preserve">0.0097</w:t>
            </w:r>
          </w:p>
        </w:tc>
        <w:tc>
          <w:tcPr/>
          <w:p>
            <w:pPr>
              <w:pStyle w:val="Compact"/>
              <w:jc w:val="right"/>
            </w:pPr>
            <w:r>
              <w:t xml:space="preserve">0.01%</w:t>
            </w:r>
          </w:p>
        </w:tc>
        <w:tc>
          <w:tcPr/>
          <w:p>
            <w:pPr>
              <w:pStyle w:val="Compact"/>
              <w:jc w:val="right"/>
            </w:pPr>
            <w:r>
              <w:t xml:space="preserve">2.8%</w:t>
            </w:r>
          </w:p>
        </w:tc>
        <w:tc>
          <w:tcPr/>
          <w:p>
            <w:pPr>
              <w:pStyle w:val="Compact"/>
              <w:jc w:val="right"/>
            </w:pPr>
            <w:r>
              <w:t xml:space="preserve">272</w:t>
            </w:r>
          </w:p>
        </w:tc>
        <w:tc>
          <w:tcPr/>
          <w:p>
            <w:pPr>
              <w:pStyle w:val="Compact"/>
              <w:jc w:val="right"/>
            </w:pPr>
            <w:r>
              <w:t xml:space="preserve">2.6%</w:t>
            </w:r>
          </w:p>
        </w:tc>
        <w:tc>
          <w:tcPr/>
          <w:p>
            <w:pPr>
              <w:pStyle w:val="Compact"/>
              <w:jc w:val="right"/>
            </w:pPr>
            <w:r>
              <w:t xml:space="preserve">28%</w:t>
            </w:r>
          </w:p>
        </w:tc>
        <w:tc>
          <w:tcPr/>
          <w:p>
            <w:pPr>
              <w:pStyle w:val="Compact"/>
              <w:jc w:val="right"/>
            </w:pPr>
            <w:r>
              <w:t xml:space="preserve">77</w:t>
            </w:r>
          </w:p>
        </w:tc>
      </w:tr>
      <w:tr>
        <w:tc>
          <w:tcPr/>
          <w:p>
            <w:pPr>
              <w:pStyle w:val="Compact"/>
              <w:jc w:val="left"/>
            </w:pPr>
            <w:r>
              <w:t xml:space="preserve">Transplant immunosuppressants</w:t>
            </w:r>
          </w:p>
        </w:tc>
        <w:tc>
          <w:tcPr/>
          <w:p>
            <w:pPr>
              <w:pStyle w:val="Compact"/>
              <w:jc w:val="right"/>
            </w:pPr>
            <w:r>
              <w:t xml:space="preserve">2</w:t>
            </w:r>
          </w:p>
        </w:tc>
        <w:tc>
          <w:tcPr/>
          <w:p>
            <w:pPr>
              <w:pStyle w:val="Compact"/>
              <w:jc w:val="right"/>
            </w:pPr>
            <w:r>
              <w:t xml:space="preserve">0.1%</w:t>
            </w:r>
          </w:p>
        </w:tc>
        <w:tc>
          <w:tcPr/>
          <w:p>
            <w:pPr>
              <w:pStyle w:val="Compact"/>
              <w:jc w:val="right"/>
            </w:pPr>
            <w:r>
              <w:t xml:space="preserve">0.0%</w:t>
            </w:r>
          </w:p>
        </w:tc>
        <w:tc>
          <w:tcPr/>
          <w:p>
            <w:pPr>
              <w:pStyle w:val="Compact"/>
              <w:jc w:val="right"/>
            </w:pPr>
            <w:r>
              <w:t xml:space="preserve">0.0031</w:t>
            </w:r>
          </w:p>
        </w:tc>
        <w:tc>
          <w:tcPr/>
          <w:p>
            <w:pPr>
              <w:pStyle w:val="Compact"/>
              <w:jc w:val="right"/>
            </w:pPr>
            <w:r>
              <w:t xml:space="preserve">0.00%</w:t>
            </w:r>
          </w:p>
        </w:tc>
        <w:tc>
          <w:tcPr/>
          <w:p>
            <w:pPr>
              <w:pStyle w:val="Compact"/>
              <w:jc w:val="right"/>
            </w:pPr>
            <w:r>
              <w:t xml:space="preserve">0.9%</w:t>
            </w:r>
          </w:p>
        </w:tc>
        <w:tc>
          <w:tcPr/>
          <w:p>
            <w:pPr>
              <w:pStyle w:val="Compact"/>
              <w:jc w:val="right"/>
            </w:pPr>
            <w:r>
              <w:t xml:space="preserve">172</w:t>
            </w:r>
          </w:p>
        </w:tc>
        <w:tc>
          <w:tcPr/>
          <w:p>
            <w:pPr>
              <w:pStyle w:val="Compact"/>
              <w:jc w:val="right"/>
            </w:pPr>
            <w:r>
              <w:t xml:space="preserve">2.6%</w:t>
            </w:r>
          </w:p>
        </w:tc>
        <w:tc>
          <w:tcPr/>
          <w:p>
            <w:pPr>
              <w:pStyle w:val="Compact"/>
              <w:jc w:val="right"/>
            </w:pPr>
            <w:r>
              <w:t xml:space="preserve">9%</w:t>
            </w:r>
          </w:p>
        </w:tc>
        <w:tc>
          <w:tcPr/>
          <w:p>
            <w:pPr>
              <w:pStyle w:val="Compact"/>
              <w:jc w:val="right"/>
            </w:pPr>
            <w:r>
              <w:t xml:space="preserve">190</w:t>
            </w:r>
          </w:p>
        </w:tc>
      </w:tr>
      <w:tr>
        <w:tc>
          <w:tcPr/>
          <w:p>
            <w:pPr>
              <w:pStyle w:val="Compact"/>
              <w:jc w:val="left"/>
            </w:pPr>
            <w:r>
              <w:t xml:space="preserve">Proton pump inhibitors</w:t>
            </w:r>
          </w:p>
        </w:tc>
        <w:tc>
          <w:tcPr/>
          <w:p>
            <w:pPr>
              <w:pStyle w:val="Compact"/>
              <w:jc w:val="right"/>
            </w:pPr>
            <w:r>
              <w:t xml:space="preserve">1.28</w:t>
            </w:r>
          </w:p>
        </w:tc>
        <w:tc>
          <w:tcPr/>
          <w:p>
            <w:pPr>
              <w:pStyle w:val="Compact"/>
              <w:jc w:val="right"/>
            </w:pPr>
            <w:r>
              <w:t xml:space="preserve">14.2%</w:t>
            </w:r>
          </w:p>
        </w:tc>
        <w:tc>
          <w:tcPr/>
          <w:p>
            <w:pPr>
              <w:pStyle w:val="Compact"/>
              <w:jc w:val="right"/>
            </w:pPr>
            <w:r>
              <w:t xml:space="preserve">3.8%</w:t>
            </w:r>
          </w:p>
        </w:tc>
        <w:tc>
          <w:tcPr/>
          <w:p>
            <w:pPr>
              <w:pStyle w:val="Compact"/>
              <w:jc w:val="right"/>
            </w:pPr>
            <w:r>
              <w:t xml:space="preserve">0.0213</w:t>
            </w:r>
          </w:p>
        </w:tc>
        <w:tc>
          <w:tcPr/>
          <w:p>
            <w:pPr>
              <w:pStyle w:val="Compact"/>
              <w:jc w:val="right"/>
            </w:pPr>
            <w:r>
              <w:t xml:space="preserve">0.38%</w:t>
            </w:r>
          </w:p>
        </w:tc>
        <w:tc>
          <w:tcPr/>
          <w:p>
            <w:pPr>
              <w:pStyle w:val="Compact"/>
              <w:jc w:val="right"/>
            </w:pPr>
            <w:r>
              <w:t xml:space="preserve">6.2%</w:t>
            </w:r>
          </w:p>
        </w:tc>
        <w:tc>
          <w:tcPr/>
          <w:p>
            <w:pPr>
              <w:pStyle w:val="Compact"/>
              <w:jc w:val="right"/>
            </w:pPr>
            <w:r>
              <w:t xml:space="preserve">16</w:t>
            </w:r>
          </w:p>
        </w:tc>
        <w:tc>
          <w:tcPr/>
          <w:p>
            <w:pPr>
              <w:pStyle w:val="Compact"/>
              <w:jc w:val="right"/>
            </w:pPr>
            <w:r>
              <w:t xml:space="preserve">3.7%</w:t>
            </w:r>
          </w:p>
        </w:tc>
        <w:tc>
          <w:tcPr/>
          <w:p>
            <w:pPr>
              <w:pStyle w:val="Compact"/>
              <w:jc w:val="right"/>
            </w:pPr>
            <w:r>
              <w:t xml:space="preserve">62%</w:t>
            </w:r>
          </w:p>
        </w:tc>
        <w:tc>
          <w:tcPr/>
          <w:p>
            <w:pPr>
              <w:pStyle w:val="Compact"/>
              <w:jc w:val="right"/>
            </w:pPr>
            <w:r>
              <w:t xml:space="preserve">12</w:t>
            </w:r>
          </w:p>
        </w:tc>
      </w:tr>
      <w:tr>
        <w:tc>
          <w:tcPr/>
          <w:p>
            <w:pPr>
              <w:pStyle w:val="Compact"/>
              <w:jc w:val="left"/>
            </w:pPr>
            <w:r>
              <w:t xml:space="preserve">Statins</w:t>
            </w:r>
          </w:p>
        </w:tc>
        <w:tc>
          <w:tcPr/>
          <w:p>
            <w:pPr>
              <w:pStyle w:val="Compact"/>
              <w:jc w:val="right"/>
            </w:pPr>
            <w:r>
              <w:t xml:space="preserve">0.6</w:t>
            </w:r>
          </w:p>
        </w:tc>
        <w:tc>
          <w:tcPr/>
          <w:p>
            <w:pPr>
              <w:pStyle w:val="Compact"/>
              <w:jc w:val="right"/>
            </w:pPr>
            <w:r>
              <w:t xml:space="preserve">12.8%</w:t>
            </w:r>
          </w:p>
        </w:tc>
        <w:tc>
          <w:tcPr/>
          <w:p>
            <w:pPr>
              <w:pStyle w:val="Compact"/>
              <w:jc w:val="right"/>
            </w:pPr>
            <w:r>
              <w:t xml:space="preserve">-5.4%</w:t>
            </w:r>
          </w:p>
        </w:tc>
        <w:tc>
          <w:tcPr/>
          <w:p>
            <w:pPr>
              <w:pStyle w:val="Compact"/>
              <w:jc w:val="right"/>
            </w:pPr>
            <w:r>
              <w:t xml:space="preserve">0.0210</w:t>
            </w:r>
          </w:p>
        </w:tc>
        <w:tc>
          <w:tcPr/>
          <w:p>
            <w:pPr>
              <w:pStyle w:val="Compact"/>
              <w:jc w:val="right"/>
            </w:pPr>
            <w:r>
              <w:t xml:space="preserve">-0.54%</w:t>
            </w:r>
          </w:p>
        </w:tc>
        <w:tc>
          <w:tcPr/>
          <w:p>
            <w:pPr>
              <w:pStyle w:val="Compact"/>
              <w:jc w:val="right"/>
            </w:pPr>
            <w:r>
              <w:t xml:space="preserve">6.1%</w:t>
            </w:r>
          </w:p>
        </w:tc>
        <w:tc>
          <w:tcPr/>
          <w:p>
            <w:pPr>
              <w:pStyle w:val="Compact"/>
              <w:jc w:val="right"/>
            </w:pPr>
            <w:r>
              <w:t xml:space="preserve">11</w:t>
            </w:r>
          </w:p>
        </w:tc>
        <w:tc>
          <w:tcPr/>
          <w:p>
            <w:pPr>
              <w:pStyle w:val="Compact"/>
              <w:jc w:val="right"/>
            </w:pPr>
            <w:r>
              <w:t xml:space="preserve">4.4%</w:t>
            </w:r>
          </w:p>
        </w:tc>
        <w:tc>
          <w:tcPr/>
          <w:p>
            <w:pPr>
              <w:pStyle w:val="Compact"/>
              <w:jc w:val="right"/>
            </w:pPr>
            <w:r>
              <w:t xml:space="preserve">61%</w:t>
            </w:r>
          </w:p>
        </w:tc>
        <w:tc>
          <w:tcPr/>
          <w:p>
            <w:pPr>
              <w:pStyle w:val="Compact"/>
              <w:jc w:val="right"/>
            </w:pPr>
            <w:r>
              <w:t xml:space="preserve">not attainable</w:t>
            </w:r>
          </w:p>
        </w:tc>
      </w:tr>
      <w:tr>
        <w:tc>
          <w:tcPr/>
          <w:p>
            <w:pPr>
              <w:pStyle w:val="Compact"/>
              <w:jc w:val="left"/>
            </w:pPr>
            <w:r>
              <w:t xml:space="preserve">Metformin</w:t>
            </w:r>
          </w:p>
        </w:tc>
        <w:tc>
          <w:tcPr/>
          <w:p>
            <w:pPr>
              <w:pStyle w:val="Compact"/>
              <w:jc w:val="right"/>
            </w:pPr>
            <w:r>
              <w:t xml:space="preserve">0.51</w:t>
            </w:r>
          </w:p>
        </w:tc>
        <w:tc>
          <w:tcPr/>
          <w:p>
            <w:pPr>
              <w:pStyle w:val="Compact"/>
              <w:jc w:val="right"/>
            </w:pPr>
            <w:r>
              <w:t xml:space="preserve">4.4%</w:t>
            </w:r>
          </w:p>
        </w:tc>
        <w:tc>
          <w:tcPr/>
          <w:p>
            <w:pPr>
              <w:pStyle w:val="Compact"/>
              <w:jc w:val="right"/>
            </w:pPr>
            <w:r>
              <w:t xml:space="preserve">-2.2%</w:t>
            </w:r>
          </w:p>
        </w:tc>
        <w:tc>
          <w:tcPr/>
          <w:p>
            <w:pPr>
              <w:pStyle w:val="Compact"/>
              <w:jc w:val="right"/>
            </w:pPr>
            <w:r>
              <w:t xml:space="preserve">0.0169</w:t>
            </w:r>
          </w:p>
        </w:tc>
        <w:tc>
          <w:tcPr/>
          <w:p>
            <w:pPr>
              <w:pStyle w:val="Compact"/>
              <w:jc w:val="right"/>
            </w:pPr>
            <w:r>
              <w:t xml:space="preserve">-0.22%</w:t>
            </w:r>
          </w:p>
        </w:tc>
        <w:tc>
          <w:tcPr/>
          <w:p>
            <w:pPr>
              <w:pStyle w:val="Compact"/>
              <w:jc w:val="right"/>
            </w:pPr>
            <w:r>
              <w:t xml:space="preserve">4.8%</w:t>
            </w:r>
          </w:p>
        </w:tc>
        <w:tc>
          <w:tcPr/>
          <w:p>
            <w:pPr>
              <w:pStyle w:val="Compact"/>
              <w:jc w:val="right"/>
            </w:pPr>
            <w:r>
              <w:t xml:space="preserve">21</w:t>
            </w:r>
          </w:p>
        </w:tc>
        <w:tc>
          <w:tcPr/>
          <w:p>
            <w:pPr>
              <w:pStyle w:val="Compact"/>
              <w:jc w:val="right"/>
            </w:pPr>
            <w:r>
              <w:t xml:space="preserve">3.4%</w:t>
            </w:r>
          </w:p>
        </w:tc>
        <w:tc>
          <w:tcPr/>
          <w:p>
            <w:pPr>
              <w:pStyle w:val="Compact"/>
              <w:jc w:val="right"/>
            </w:pPr>
            <w:r>
              <w:t xml:space="preserve">48%</w:t>
            </w:r>
          </w:p>
        </w:tc>
        <w:tc>
          <w:tcPr/>
          <w:p>
            <w:pPr>
              <w:pStyle w:val="Compact"/>
              <w:jc w:val="right"/>
            </w:pPr>
            <w:r>
              <w:t xml:space="preserve">not attainable</w:t>
            </w:r>
          </w:p>
        </w:tc>
      </w:tr>
    </w:tbl>
    <w:p>
      <w:pPr>
        <w:pStyle w:val="BodyText"/>
      </w:pPr>
      <w:r>
        <w:t xml:space="preserve">Expected changes use published individual-level relative risks (ORs for oral glucocorticoids and PPIs) and UK prevalence of use, assuming that prevalence of use scales with prescribing, that extra prescribing reaches new users, a homogeneous baseline risk and aligned timing. Negative PAF values are prevented fractions. MDE = exp(2.80 × SE) − 1. The ratio of MDE to expected change is essentially independent of the 10% contrast, because for small changes both scale in proportion to it. Power is one-sided power to detect the expected effect in the correct direction. Benchmarks: recorded cases (steroids), UKHSA 2024, 100% recorded, RR 4.9: 0.043%; recorded cases (steroids), UKHSA 2024, 50% recorded, RR 4.9: 0.087%; recorded cases (biological_therapy), UKHSA 2024, 100% recorded, RR 4.9: 0.078%; recorded cases (biological_therapy), UKHSA 2024, 50% recorded, RR 4.9: 0.157%; age-stratified (oral corticosteroids, RR 4.9): 0.293%; homogeneous (oral corticosteroids, RR 4.9, prevalence 0.9%): 0.339%.</w:t>
      </w:r>
    </w:p>
    <w:bookmarkEnd w:id="49"/>
    <w:bookmarkStart w:id="53" w:name="Xa527fe0eb0665488fe1f2aa9c9ef2e68d450aae"/>
    <w:p>
      <w:pPr>
        <w:pStyle w:val="Heading3"/>
      </w:pPr>
      <w:r>
        <w:t xml:space="preserve">Regional analyses by place of birth and age</w:t>
      </w:r>
    </w:p>
    <w:p>
      <w:pPr>
        <w:pStyle w:val="FirstParagraph"/>
      </w:pPr>
      <w:r>
        <w:rPr>
          <w:b/>
          <w:bCs/>
        </w:rPr>
        <w:t xml:space="preserve">Precision</w:t>
      </w:r>
      <w:r>
        <w:t xml:space="preserve"> </w:t>
      </w:r>
      <w:r>
        <w:t xml:space="preserve">- Regional models were very imprecise. MDEs for glucocorticoid prescribing were 45–82% per 10% increase for UK-born notifications and 46–99% for UK-born notifications at age ≥65.</w:t>
      </w:r>
      <w:r>
        <w:t xml:space="preserve"> </w:t>
      </w:r>
      <w:r>
        <w:t xml:space="preserve">- Under the model used for expected effects, a 10% increase in use can raise notifications by at most 10%. The expected effect for UK-born people aged ≥65 (prevalence of use 2.5%, RR 4.9) is 0.9%.</w:t>
      </w:r>
      <w:r>
        <w:t xml:space="preserve"> </w:t>
      </w:r>
      <w:r>
        <w:t xml:space="preserve">- Any nominally significant regional estimate must therefore reflect chance or bias.</w:t>
      </w:r>
    </w:p>
    <w:p>
      <w:pPr>
        <w:pStyle w:val="BodyText"/>
      </w:pPr>
      <w:r>
        <w:rPr>
          <w:b/>
          <w:bCs/>
        </w:rPr>
        <w:t xml:space="preserve">Non-UK-born notifications</w:t>
      </w:r>
      <w:r>
        <w:t xml:space="preserve"> </w:t>
      </w:r>
      <w:r>
        <w:t xml:space="preserve">- Oral glucocorticoid prescribing in earlier years was not associated with notifications (lag 1–3: 0.95–1.03).</w:t>
      </w:r>
      <w:r>
        <w:t xml:space="preserve"> </w:t>
      </w:r>
      <w:r>
        <w:t xml:space="preserve">- The falsification test failed: prescribing three years later predicted earlier notifications (items 1.49, 1.17–1.89, randomisation p = 0.01; prednisolone mg 1.29, 1.03–1.60, p = 0.04).</w:t>
      </w:r>
    </w:p>
    <w:p>
      <w:pPr>
        <w:pStyle w:val="BodyText"/>
      </w:pPr>
      <w:r>
        <w:rPr>
          <w:b/>
          <w:bCs/>
        </w:rPr>
        <w:t xml:space="preserve">UK-born notifications</w:t>
      </w:r>
      <w:r>
        <w:t xml:space="preserve"> </w:t>
      </w:r>
      <w:r>
        <w:t xml:space="preserve">- Prednisolone-equivalent mg: lagged estimates were imprecise positive values (lag 1: 1.25, 0.95–1.65, randomisation p = 0.12; lag 2: 1.33, 0.96–1.84, p = 0.16).</w:t>
      </w:r>
      <w:r>
        <w:t xml:space="preserve"> </w:t>
      </w:r>
      <w:r>
        <w:t xml:space="preserve">- With lag 2 and lead 2 estimated jointly: lag 1.45 and lead 0.88 (difference p = 0.04; randomisation p for lag = 0.23). Excluding London: 1.12 and 0.90 (difference p = 0.43; randomisation p = 0.73) (Table S6).</w:t>
      </w:r>
      <w:r>
        <w:t xml:space="preserve"> </w:t>
      </w:r>
      <w:r>
        <w:t xml:space="preserve">- Oral glucocorticoid items: null (joint lag 2: 1.27; randomisation p = 0.46).</w:t>
      </w:r>
    </w:p>
    <w:p>
      <w:pPr>
        <w:pStyle w:val="BodyText"/>
      </w:pPr>
      <w:r>
        <w:rPr>
          <w:b/>
          <w:bCs/>
        </w:rPr>
        <w:t xml:space="preserve">UK-born notifications at age ≥65</w:t>
      </w:r>
      <w:r>
        <w:t xml:space="preserve"> </w:t>
      </w:r>
      <w:r>
        <w:t xml:space="preserve">- Glucocorticoid prescribing in earlier years was not associated with notifications.</w:t>
      </w:r>
      <w:r>
        <w:t xml:space="preserve"> </w:t>
      </w:r>
      <w:r>
        <w:t xml:space="preserve">- The falsification test failed for glucocorticoid items (lead 2: 1.68, 1.04–2.70; randomisation p = 0.04).</w:t>
      </w:r>
      <w:r>
        <w:t xml:space="preserve"> </w:t>
      </w:r>
      <w:r>
        <w:t xml:space="preserve">- The negative control, levothyroxine, was associated with notifications in the following year (lead 1: 1.38, 1.05–1.80; randomisation p = 0.04), and imprecisely with the previous year (lag 1: 1.23, 1.00–1.51; p = 0.07).</w:t>
      </w:r>
    </w:p>
    <w:p>
      <w:pPr>
        <w:pStyle w:val="BodyText"/>
      </w:pPr>
      <w:r>
        <w:rPr>
          <w:b/>
          <w:bCs/>
        </w:rPr>
        <w:t xml:space="preserve">Summary</w:t>
      </w:r>
      <w:r>
        <w:t xml:space="preserve"> </w:t>
      </w:r>
      <w:r>
        <w:t xml:space="preserve">- Of 81 adjusted regional estimates, 4 had randomisation p ≤ 0.05, all of them falsification (lead) terms.</w:t>
      </w:r>
      <w:r>
        <w:t xml:space="preserve"> </w:t>
      </w:r>
      <w:r>
        <w:t xml:space="preserve">- The UK-born association with prednisolone mg was implausibly large, not significant by randomisation inference, and dependent on London.</w:t>
      </w:r>
    </w:p>
    <w:p>
      <w:pPr>
        <w:pStyle w:val="CaptionedFigure"/>
      </w:pPr>
      <w:r>
        <w:drawing>
          <wp:inline>
            <wp:extent cx="5334000" cy="4533900"/>
            <wp:effectExtent b="0" l="0" r="0" t="0"/>
            <wp:docPr descr="Figure 6. Oral glucocorticoid prescribing and UK-born TB notification rates by region, indexed to 2014 = 100." title="" id="51" name="Picture"/>
            <a:graphic>
              <a:graphicData uri="http://schemas.openxmlformats.org/drawingml/2006/picture">
                <pic:pic>
                  <pic:nvPicPr>
                    <pic:cNvPr descr="figures/ocs_ukborn_tb_by_region.png" id="52" name="Picture"/>
                    <pic:cNvPicPr>
                      <a:picLocks noChangeArrowheads="1" noChangeAspect="1"/>
                    </pic:cNvPicPr>
                  </pic:nvPicPr>
                  <pic:blipFill>
                    <a:blip r:embed="rId50"/>
                    <a:stretch>
                      <a:fillRect/>
                    </a:stretch>
                  </pic:blipFill>
                  <pic:spPr bwMode="auto">
                    <a:xfrm>
                      <a:off x="0" y="0"/>
                      <a:ext cx="5334000" cy="4533900"/>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Oral glucocorticoid prescribing and UK-born TB notification rates by region, indexed to 2014 = 100.</w:t>
      </w:r>
    </w:p>
    <w:bookmarkEnd w:id="53"/>
    <w:bookmarkEnd w:id="54"/>
    <w:bookmarkStart w:id="62" w:name="discussion"/>
    <w:p>
      <w:pPr>
        <w:pStyle w:val="Heading2"/>
      </w:pPr>
      <w:r>
        <w:t xml:space="preserve">Discussion</w:t>
      </w:r>
    </w:p>
    <w:bookmarkStart w:id="55" w:name="principal-findings"/>
    <w:p>
      <w:pPr>
        <w:pStyle w:val="Heading3"/>
      </w:pPr>
      <w:r>
        <w:t xml:space="preserve">Principal findings</w:t>
      </w:r>
    </w:p>
    <w:p>
      <w:pPr>
        <w:pStyle w:val="FirstParagraph"/>
      </w:pPr>
      <w:r>
        <w:t xml:space="preserve">We linked open English data on primary care and hospital prescribing with TB notifications, using several ecological designs at two geographic scales. The linkage worked only partly.</w:t>
      </w:r>
    </w:p>
    <w:p>
      <w:pPr>
        <w:pStyle w:val="Compact"/>
        <w:numPr>
          <w:ilvl w:val="0"/>
          <w:numId w:val="1014"/>
        </w:numPr>
      </w:pPr>
      <w:r>
        <w:rPr>
          <w:b/>
          <w:bCs/>
        </w:rPr>
        <w:t xml:space="preserve">The positive control.</w:t>
      </w:r>
      <w:r>
        <w:t xml:space="preserve"> </w:t>
      </w:r>
      <w:r>
        <w:t xml:space="preserve">Hospital active-TB treatment tracked notifications between areas and, weakly, within areas. Its elasticity of 0.36–0.40, with wide confidence intervals, reflects apportionment error, timing and variation in drug volume per person treated.</w:t>
      </w:r>
    </w:p>
    <w:p>
      <w:pPr>
        <w:pStyle w:val="Compact"/>
        <w:numPr>
          <w:ilvl w:val="0"/>
          <w:numId w:val="1014"/>
        </w:numPr>
      </w:pPr>
      <w:r>
        <w:rPr>
          <w:b/>
          <w:bCs/>
        </w:rPr>
        <w:t xml:space="preserve">Candidate drugs.</w:t>
      </w:r>
      <w:r>
        <w:t xml:space="preserve"> </w:t>
      </w:r>
      <w:r>
        <w:t xml:space="preserve">No medicine plausibly affecting TB risk was robustly associated with subsequent notifications. This held for systemic oral glucocorticoids, inhaled corticosteroids, DMARDs, transplant immunosuppressants, TNF, IL-6 and JAK inhibitors, and rituximab. Hospital systemic glucocorticoids had a small nominal association that was not robust and implied an implausibly large attributable fraction.</w:t>
      </w:r>
    </w:p>
    <w:p>
      <w:pPr>
        <w:pStyle w:val="Compact"/>
        <w:numPr>
          <w:ilvl w:val="0"/>
          <w:numId w:val="1014"/>
        </w:numPr>
      </w:pPr>
      <w:r>
        <w:rPr>
          <w:b/>
          <w:bCs/>
        </w:rPr>
        <w:t xml:space="preserve">Signs of confounding.</w:t>
      </w:r>
    </w:p>
    <w:p>
      <w:pPr>
        <w:pStyle w:val="Compact"/>
        <w:numPr>
          <w:ilvl w:val="1"/>
          <w:numId w:val="1015"/>
        </w:numPr>
      </w:pPr>
      <w:r>
        <w:t xml:space="preserve">The negative-control exposure showed inverse estimates of similar size to some candidate drugs.</w:t>
      </w:r>
    </w:p>
    <w:p>
      <w:pPr>
        <w:pStyle w:val="Compact"/>
        <w:numPr>
          <w:ilvl w:val="1"/>
          <w:numId w:val="1015"/>
        </w:numPr>
      </w:pPr>
      <w:r>
        <w:t xml:space="preserve">Following-year prescribing was inversely associated with notifications for several groups, although adjacent-year exposures are highly collinear.</w:t>
      </w:r>
    </w:p>
    <w:p>
      <w:pPr>
        <w:pStyle w:val="Compact"/>
        <w:numPr>
          <w:ilvl w:val="1"/>
          <w:numId w:val="1015"/>
        </w:numPr>
      </w:pPr>
      <w:r>
        <w:t xml:space="preserve">The regional association with UK-born TB was implausibly large, not significant by randomisation inference, and dependent on London.</w:t>
      </w:r>
    </w:p>
    <w:p>
      <w:pPr>
        <w:pStyle w:val="Compact"/>
        <w:numPr>
          <w:ilvl w:val="0"/>
          <w:numId w:val="1000"/>
        </w:numPr>
      </w:pPr>
      <w:r>
        <w:t xml:space="preserve">These patterns are compatible with residual confounding by area-specific trends, chance or measurement error, and not with drug effects of plausible size.</w:t>
      </w:r>
    </w:p>
    <w:p>
      <w:pPr>
        <w:pStyle w:val="Compact"/>
        <w:numPr>
          <w:ilvl w:val="0"/>
          <w:numId w:val="1014"/>
        </w:numPr>
      </w:pPr>
      <w:r>
        <w:rPr>
          <w:b/>
          <w:bCs/>
        </w:rPr>
        <w:t xml:space="preserve">Power.</w:t>
      </w:r>
      <w:r>
        <w:t xml:space="preserve"> </w:t>
      </w:r>
      <w:r>
        <w:t xml:space="preserve">The analytic calculations and the simulation both showed that plausible effects are undetectable: the designs could detect only effects roughly 10 to several hundred times larger than those implied by published relative risks or by UKHSA records of drug-associated TB. Simulated power exceeded analytic power at the real standard error, because permuted exposures lost their alignment with local notification trends.</w:t>
      </w:r>
    </w:p>
    <w:bookmarkEnd w:id="55"/>
    <w:bookmarkStart w:id="56" w:name="Xa0d9e16751e9b533e83dc9e356f7af0fc5fa6d8"/>
    <w:p>
      <w:pPr>
        <w:pStyle w:val="Heading3"/>
      </w:pPr>
      <w:r>
        <w:t xml:space="preserve">Why population effects of these medicines are undetectable</w:t>
      </w:r>
    </w:p>
    <w:p>
      <w:pPr>
        <w:pStyle w:val="FirstParagraph"/>
      </w:pPr>
      <w:r>
        <w:rPr>
          <w:b/>
          <w:bCs/>
        </w:rPr>
        <w:t xml:space="preserve">Expected effects are small.</w:t>
      </w:r>
      <w:r>
        <w:t xml:space="preserve"> </w:t>
      </w:r>
      <w:r>
        <w:t xml:space="preserve">The population effect of a medicine is roughly its attributable fraction scaled by the relative change in use.</w:t>
      </w:r>
    </w:p>
    <w:p>
      <w:pPr>
        <w:pStyle w:val="Compact"/>
        <w:numPr>
          <w:ilvl w:val="0"/>
          <w:numId w:val="1016"/>
        </w:numPr>
      </w:pPr>
      <w:r>
        <w:rPr>
          <w:b/>
          <w:bCs/>
        </w:rPr>
        <w:t xml:space="preserve">Oral glucocorticoids.</w:t>
      </w:r>
      <w:r>
        <w:t xml:space="preserve"> </w:t>
      </w:r>
      <w:r>
        <w:t xml:space="preserve">Current use carries an odds ratio of about 5 [Jick 2006], but only about 1% of people use them at any time [van Staa 2000; Fardet 2011]. A 10% change in use should therefore change TB notifications by about 0.3%.</w:t>
      </w:r>
    </w:p>
    <w:p>
      <w:pPr>
        <w:pStyle w:val="Compact"/>
        <w:numPr>
          <w:ilvl w:val="1"/>
          <w:numId w:val="1017"/>
        </w:numPr>
      </w:pPr>
      <w:r>
        <w:t xml:space="preserve">Stratifying by age lowers this to 0.29%, because use is concentrated in older people while most notifications are in younger adults.</w:t>
      </w:r>
    </w:p>
    <w:p>
      <w:pPr>
        <w:pStyle w:val="Compact"/>
        <w:numPr>
          <w:ilvl w:val="1"/>
          <w:numId w:val="1017"/>
        </w:numPr>
      </w:pPr>
      <w:r>
        <w:t xml:space="preserve">UKHSA recorded steroid-associated immunosuppression in 30 of 5,490 people notified in 2024 [UKHSA 2025]. Converted to an attributable fraction, that implies 0.04% per 10% increase with complete recording, or 0.09% if only half of drug-associated immunosuppression is recorded.</w:t>
      </w:r>
    </w:p>
    <w:p>
      <w:pPr>
        <w:pStyle w:val="Compact"/>
        <w:numPr>
          <w:ilvl w:val="0"/>
          <w:numId w:val="1016"/>
        </w:numPr>
      </w:pPr>
      <w:r>
        <w:rPr>
          <w:b/>
          <w:bCs/>
        </w:rPr>
        <w:t xml:space="preserve">Biologics.</w:t>
      </w:r>
      <w:r>
        <w:t xml:space="preserve"> </w:t>
      </w:r>
      <w:r>
        <w:t xml:space="preserve">Latent TB screening before anti-TNF therapy has been standard in the UK since 2005 [BTS 2005] and reduced TB rates in treated patients by about 78% in registry data [Carmona 2005]; risk was about seven times higher when the recommendations were not followed [Gómez-Reino 2007]. Growth in biologic use during 2019–2024 therefore took place under screening, so the relative risk relevant to a marginal increase in use is small. Screening is less consistently done before oral glucocorticoids.</w:t>
      </w:r>
    </w:p>
    <w:p>
      <w:pPr>
        <w:pStyle w:val="FirstParagraph"/>
      </w:pPr>
      <w:r>
        <w:rPr>
          <w:b/>
          <w:bCs/>
        </w:rPr>
        <w:t xml:space="preserve">The data carry little information.</w:t>
      </w:r>
      <w:r>
        <w:t xml:space="preserve"> </w:t>
      </w:r>
      <w:r>
        <w:t xml:space="preserve">-</w:t>
      </w:r>
      <w:r>
        <w:t xml:space="preserve"> </w:t>
      </w:r>
      <w:r>
        <w:rPr>
          <w:b/>
          <w:bCs/>
        </w:rPr>
        <w:t xml:space="preserve">Little within-area variation.</w:t>
      </w:r>
      <w:r>
        <w:t xml:space="preserve"> </w:t>
      </w:r>
      <w:r>
        <w:t xml:space="preserve">Within-area variation in prescribing was very small (SD of log rate 0.04 for glucocorticoids, against 0.29 between areas), so a 10% change sits at the edge of the observed data. Fixed effects remove the between-area variation where most information lies [Gunasekara 2014].</w:t>
      </w:r>
      <w:r>
        <w:t xml:space="preserve"> </w:t>
      </w:r>
      <w:r>
        <w:t xml:space="preserve">-</w:t>
      </w:r>
      <w:r>
        <w:t xml:space="preserve"> </w:t>
      </w:r>
      <w:r>
        <w:rPr>
          <w:b/>
          <w:bCs/>
        </w:rPr>
        <w:t xml:space="preserve">Few areas.</w:t>
      </w:r>
      <w:r>
        <w:t xml:space="preserve"> </w:t>
      </w:r>
      <w:r>
        <w:t xml:space="preserve">Power in aggregate studies depends mainly on the number of areas [Sheppard 1996], which cannot be increased.</w:t>
      </w:r>
      <w:r>
        <w:t xml:space="preserve"> </w:t>
      </w:r>
      <w:r>
        <w:t xml:space="preserve">-</w:t>
      </w:r>
      <w:r>
        <w:t xml:space="preserve"> </w:t>
      </w:r>
      <w:r>
        <w:rPr>
          <w:b/>
          <w:bCs/>
        </w:rPr>
        <w:t xml:space="preserve">Linkage attenuation.</w:t>
      </w:r>
      <w:r>
        <w:t xml:space="preserve"> </w:t>
      </w:r>
      <w:r>
        <w:t xml:space="preserve">For hospital medicines, the positive control shows that apportionment would shrink any true effect further. No working positive control was available for primary care, so the validity of that linkage is untested.</w:t>
      </w:r>
      <w:r>
        <w:t xml:space="preserve"> </w:t>
      </w:r>
      <w:r>
        <w:t xml:space="preserve">-</w:t>
      </w:r>
      <w:r>
        <w:t xml:space="preserve"> </w:t>
      </w:r>
      <w:r>
        <w:rPr>
          <w:b/>
          <w:bCs/>
        </w:rPr>
        <w:t xml:space="preserve">Simulation.</w:t>
      </w:r>
      <w:r>
        <w:t xml:space="preserve"> </w:t>
      </w:r>
      <w:r>
        <w:t xml:space="preserve">Simulations on the real notification counts rejected the null for the published glucocorticoid effect no more often than when there was no effect.</w:t>
      </w:r>
    </w:p>
    <w:bookmarkEnd w:id="56"/>
    <w:bookmarkStart w:id="57" w:name="X0b6a7a2c2d13ba4e21a941774734bd8cb4b1eab"/>
    <w:p>
      <w:pPr>
        <w:pStyle w:val="Heading3"/>
      </w:pPr>
      <w:r>
        <w:t xml:space="preserve">Confounding, falsification and negative controls</w:t>
      </w:r>
    </w:p>
    <w:p>
      <w:pPr>
        <w:pStyle w:val="FirstParagraph"/>
      </w:pPr>
      <w:r>
        <w:rPr>
          <w:b/>
          <w:bCs/>
        </w:rPr>
        <w:t xml:space="preserve">Crude versus within-area associations.</w:t>
      </w:r>
      <w:r>
        <w:t xml:space="preserve"> </w:t>
      </w:r>
      <w:r>
        <w:t xml:space="preserve">Crude cross-sectional associations were strongly inverse and were explained by country of birth and age. Within areas, residual confounding remained visible:</w:t>
      </w:r>
      <w:r>
        <w:t xml:space="preserve"> </w:t>
      </w:r>
      <w:r>
        <w:t xml:space="preserve">-</w:t>
      </w:r>
      <w:r>
        <w:t xml:space="preserve"> </w:t>
      </w:r>
      <w:r>
        <w:rPr>
          <w:b/>
          <w:bCs/>
        </w:rPr>
        <w:t xml:space="preserve">Negative control.</w:t>
      </w:r>
      <w:r>
        <w:t xml:space="preserve"> </w:t>
      </w:r>
      <w:r>
        <w:t xml:space="preserve">Levothyroxine, which has no plausible effect on TB, showed inverse estimates (0.96) similar to metformin.</w:t>
      </w:r>
      <w:r>
        <w:t xml:space="preserve"> </w:t>
      </w:r>
      <w:r>
        <w:t xml:space="preserve">-</w:t>
      </w:r>
      <w:r>
        <w:t xml:space="preserve"> </w:t>
      </w:r>
      <w:r>
        <w:rPr>
          <w:b/>
          <w:bCs/>
        </w:rPr>
        <w:t xml:space="preserve">Lag and lead patterns.</w:t>
      </w:r>
      <w:r>
        <w:t xml:space="preserve"> </w:t>
      </w:r>
      <w:r>
        <w:t xml:space="preserve">Following-year prescribing was inversely associated with notifications for inhaled corticosteroids and insulins, and in models with previous, same and following years, same-year terms were positive for several groups. Adjacent-year exposures are highly collinear, so their estimates are strongly negatively correlated and these seesaw patterns are weak evidence on their own.</w:t>
      </w:r>
      <w:r>
        <w:t xml:space="preserve"> </w:t>
      </w:r>
      <w:r>
        <w:t xml:space="preserve">-</w:t>
      </w:r>
      <w:r>
        <w:t xml:space="preserve"> </w:t>
      </w:r>
      <w:r>
        <w:rPr>
          <w:b/>
          <w:bCs/>
        </w:rPr>
        <w:t xml:space="preserve">Likely cause.</w:t>
      </w:r>
      <w:r>
        <w:t xml:space="preserve"> </w:t>
      </w:r>
      <w:r>
        <w:t xml:space="preserve">Both patterns are compatible with prescribing and notifications sharing area-specific trends, for example migration-driven changes in the age and origin of the population (with accompanying changes in practice registration and in vitamin D prescribing in South Asian-born communities), changes in diagnostic activity, and prescribing policy. Year fixed effects cannot remove these trends.</w:t>
      </w:r>
    </w:p>
    <w:p>
      <w:pPr>
        <w:pStyle w:val="BodyText"/>
      </w:pPr>
      <w:r>
        <w:rPr>
          <w:b/>
          <w:bCs/>
        </w:rPr>
        <w:t xml:space="preserve">Metformin.</w:t>
      </w:r>
      <w:r>
        <w:t xml:space="preserve"> </w:t>
      </w:r>
      <w:r>
        <w:t xml:space="preserve">Its estimates should be read against the high prevalence of both diabetes and latent TB infection among South Asian-born people; diabetes itself increases TB risk [Pealing 2015].</w:t>
      </w:r>
    </w:p>
    <w:p>
      <w:pPr>
        <w:pStyle w:val="BodyText"/>
      </w:pPr>
      <w:r>
        <w:rPr>
          <w:b/>
          <w:bCs/>
        </w:rPr>
        <w:t xml:space="preserve">Ecological bias.</w:t>
      </w:r>
      <w:r>
        <w:t xml:space="preserve"> </w:t>
      </w:r>
      <w:r>
        <w:t xml:space="preserve">Area-level adjustment cannot remove bias arising from effect modification or from differences in baseline risk between people within areas [Greenland 1989; Morgenstern 1995]. For example, steroid users are mostly older and UK-born, whereas most notifications are in younger people born abroad.</w:t>
      </w:r>
    </w:p>
    <w:p>
      <w:pPr>
        <w:pStyle w:val="BodyText"/>
      </w:pPr>
      <w:r>
        <w:rPr>
          <w:b/>
          <w:bCs/>
        </w:rPr>
        <w:t xml:space="preserve">The UK-born association.</w:t>
      </w:r>
      <w:r>
        <w:t xml:space="preserve"> </w:t>
      </w:r>
      <w:r>
        <w:t xml:space="preserve">Regionally, prednisolone dose in an earlier year was imprecisely associated with UK-born TB (joint lag estimate 1.45 per 10% increase). We do not interpret this as a drug effect:</w:t>
      </w:r>
      <w:r>
        <w:t xml:space="preserve"> </w:t>
      </w:r>
      <w:r>
        <w:t xml:space="preserve">- The regional MDEs (about 50% per 10%) are far above the 10% maximum possible under the model used for expected effects, so any significant regional estimate must reflect chance or bias.</w:t>
      </w:r>
      <w:r>
        <w:t xml:space="preserve"> </w:t>
      </w:r>
      <w:r>
        <w:t xml:space="preserve">- It was not significant by randomisation inference (p = 0.23), and it largely disappeared when London was excluded (1.12).</w:t>
      </w:r>
      <w:r>
        <w:t xml:space="preserve"> </w:t>
      </w:r>
      <w:r>
        <w:t xml:space="preserve">- The same nine-region design produced failed falsification tests for non-UK-born TB and a failed negative control (levothyroxine) for older UK-born people.</w:t>
      </w:r>
      <w:r>
        <w:t xml:space="preserve"> </w:t>
      </w:r>
      <w:r>
        <w:t xml:space="preserve">- UK-born TB fell by 48% between 2014 and 2022 [UKHSA 2025], while oral glucocorticoid dosing also declined. Any two declining regional series will tend to correlate, so coincident trends are the most plausible explanation.</w:t>
      </w:r>
    </w:p>
    <w:p>
      <w:pPr>
        <w:pStyle w:val="BodyText"/>
      </w:pPr>
      <w:r>
        <w:rPr>
          <w:b/>
          <w:bCs/>
        </w:rPr>
        <w:t xml:space="preserve">Protopathic bias.</w:t>
      </w:r>
      <w:r>
        <w:t xml:space="preserve"> </w:t>
      </w:r>
      <w:r>
        <w:t xml:space="preserve">Glucocorticoids and antibacterials prescribed for undiagnosed TB, and glucocorticoids used in treating TB meningitis and pericarditis [Thwaites 2004], create reverse associations in the same year. This is why the primary exposure was prescribing in the previous year. The same bias probably inflates the individual-level estimates used to derive expected effects [Jick 2006]; if so, the true gap between expected and detectable effects is even wider.</w:t>
      </w:r>
    </w:p>
    <w:bookmarkEnd w:id="57"/>
    <w:bookmarkStart w:id="58" w:name="strengths-and-limitations"/>
    <w:p>
      <w:pPr>
        <w:pStyle w:val="Heading3"/>
      </w:pPr>
      <w:r>
        <w:t xml:space="preserve">Strengths and limitations</w:t>
      </w:r>
    </w:p>
    <w:p>
      <w:pPr>
        <w:pStyle w:val="FirstParagraph"/>
      </w:pPr>
      <w:r>
        <w:rPr>
          <w:b/>
          <w:bCs/>
        </w:rPr>
        <w:t xml:space="preserve">Strengths.</w:t>
      </w:r>
      <w:r>
        <w:t xml:space="preserve"> </w:t>
      </w:r>
      <w:r>
        <w:t xml:space="preserve">-</w:t>
      </w:r>
      <w:r>
        <w:t xml:space="preserve"> </w:t>
      </w:r>
      <w:r>
        <w:rPr>
          <w:b/>
          <w:bCs/>
        </w:rPr>
        <w:t xml:space="preserve">Open and reproducible.</w:t>
      </w:r>
      <w:r>
        <w:t xml:space="preserve"> </w:t>
      </w:r>
      <w:r>
        <w:t xml:space="preserve">All data are public, and code and processed data are openly available.</w:t>
      </w:r>
      <w:r>
        <w:t xml:space="preserve"> </w:t>
      </w:r>
      <w:r>
        <w:t xml:space="preserve">-</w:t>
      </w:r>
      <w:r>
        <w:t xml:space="preserve"> </w:t>
      </w:r>
      <w:r>
        <w:rPr>
          <w:b/>
          <w:bCs/>
        </w:rPr>
        <w:t xml:space="preserve">Exposure measurement.</w:t>
      </w:r>
      <w:r>
        <w:t xml:space="preserve"> </w:t>
      </w:r>
      <w:r>
        <w:t xml:space="preserve">- Primary care exposure was defined at presentation level, with dose measures, and apportioned by where registered patients live.</w:t>
      </w:r>
      <w:r>
        <w:t xml:space="preserve"> </w:t>
      </w:r>
      <w:r>
        <w:t xml:space="preserve">- Hospital medicines were classified by mechanism using defined daily doses, with trust mergers resolved.</w:t>
      </w:r>
      <w:r>
        <w:t xml:space="preserve"> </w:t>
      </w:r>
      <w:r>
        <w:t xml:space="preserve">-</w:t>
      </w:r>
      <w:r>
        <w:t xml:space="preserve"> </w:t>
      </w:r>
      <w:r>
        <w:rPr>
          <w:b/>
          <w:bCs/>
        </w:rPr>
        <w:t xml:space="preserve">Checks on validity.</w:t>
      </w:r>
      <w:r>
        <w:t xml:space="preserve"> </w:t>
      </w:r>
      <w:r>
        <w:t xml:space="preserve">- A disease-specific positive control, negative-control exposures and falsification tests estimated jointly.</w:t>
      </w:r>
      <w:r>
        <w:t xml:space="preserve"> </w:t>
      </w:r>
      <w:r>
        <w:t xml:space="preserve">- Randomisation inference for the nine-region analyses.</w:t>
      </w:r>
      <w:r>
        <w:t xml:space="preserve"> </w:t>
      </w:r>
      <w:r>
        <w:t xml:space="preserve">- Year-specific spatial diagnostics.</w:t>
      </w:r>
      <w:r>
        <w:t xml:space="preserve"> </w:t>
      </w:r>
      <w:r>
        <w:t xml:space="preserve">- Power assessed both analytically and by simulation on the real data.</w:t>
      </w:r>
      <w:r>
        <w:t xml:space="preserve"> </w:t>
      </w:r>
      <w:r>
        <w:t xml:space="preserve">-</w:t>
      </w:r>
      <w:r>
        <w:t xml:space="preserve"> </w:t>
      </w:r>
      <w:r>
        <w:rPr>
          <w:b/>
          <w:bCs/>
        </w:rPr>
        <w:t xml:space="preserve">Independent peer review.</w:t>
      </w:r>
      <w:r>
        <w:t xml:space="preserve"> </w:t>
      </w:r>
      <w:r>
        <w:t xml:space="preserve">Three independent reviews prompted substantial revision.</w:t>
      </w:r>
    </w:p>
    <w:p>
      <w:pPr>
        <w:pStyle w:val="BodyText"/>
      </w:pPr>
      <w:r>
        <w:rPr>
          <w:b/>
          <w:bCs/>
        </w:rPr>
        <w:t xml:space="preserve">Limitations: exposure data.</w:t>
      </w:r>
      <w:r>
        <w:t xml:space="preserve"> </w:t>
      </w:r>
      <w:r>
        <w:t xml:space="preserve">-</w:t>
      </w:r>
      <w:r>
        <w:t xml:space="preserve"> </w:t>
      </w:r>
      <w:r>
        <w:rPr>
          <w:b/>
          <w:bCs/>
        </w:rPr>
        <w:t xml:space="preserve">Prescribing measures.</w:t>
      </w:r>
      <w:r>
        <w:t xml:space="preserve"> </w:t>
      </w:r>
      <w:r>
        <w:t xml:space="preserve">Exposure was measured as prescribing volume per resident, not as people treated.</w:t>
      </w:r>
      <w:r>
        <w:t xml:space="preserve"> </w:t>
      </w:r>
      <w:r>
        <w:t xml:space="preserve">-</w:t>
      </w:r>
      <w:r>
        <w:t xml:space="preserve"> </w:t>
      </w:r>
      <w:r>
        <w:rPr>
          <w:b/>
          <w:bCs/>
        </w:rPr>
        <w:t xml:space="preserve">Apportionment.</w:t>
      </w:r>
      <w:r>
        <w:t xml:space="preserve"> </w:t>
      </w:r>
      <w:r>
        <w:t xml:space="preserve">Apportioning by patient residence used annual April snapshots, with 2014 shares applied to 2011–2013.</w:t>
      </w:r>
      <w:r>
        <w:t xml:space="preserve"> </w:t>
      </w:r>
      <w:r>
        <w:t xml:space="preserve">-</w:t>
      </w:r>
      <w:r>
        <w:t xml:space="preserve"> </w:t>
      </w:r>
      <w:r>
        <w:rPr>
          <w:b/>
          <w:bCs/>
        </w:rPr>
        <w:t xml:space="preserve">Pre-2014 data.</w:t>
      </w:r>
      <w:r>
        <w:t xml:space="preserve"> </w:t>
      </w:r>
      <w:r>
        <w:t xml:space="preserve">The 2011–2013 series come from a different release, and overlap-period concordance could not be assessed. National year-on-year changes were continuous across the 2013/2014 splice for most groups, but not for oral glucocorticoids (+3.3% at the splice against +0.6% and +1.0% either side) or all antibacterials (−0.1% against −4.5% and −5.6%). Restricting to EPD-era exposure did not change the conclusions (Table S1).</w:t>
      </w:r>
      <w:r>
        <w:t xml:space="preserve"> </w:t>
      </w:r>
      <w:r>
        <w:t xml:space="preserve">-</w:t>
      </w:r>
      <w:r>
        <w:t xml:space="preserve"> </w:t>
      </w:r>
      <w:r>
        <w:rPr>
          <w:b/>
          <w:bCs/>
        </w:rPr>
        <w:t xml:space="preserve">Hospital catchments.</w:t>
      </w:r>
      <w:r>
        <w:t xml:space="preserve"> </w:t>
      </w:r>
      <w:r>
        <w:t xml:space="preserve">Hospital quantities were apportioned using admission-based catchments, which may misallocate specialist services, and the 2024 catchments were applied to every year from 2019.</w:t>
      </w:r>
      <w:r>
        <w:t xml:space="preserve"> </w:t>
      </w:r>
      <w:r>
        <w:t xml:space="preserve">-</w:t>
      </w:r>
      <w:r>
        <w:t xml:space="preserve"> </w:t>
      </w:r>
      <w:r>
        <w:rPr>
          <w:b/>
          <w:bCs/>
        </w:rPr>
        <w:t xml:space="preserve">Hospital data capture.</w:t>
      </w:r>
      <w:r>
        <w:t xml:space="preserve"> </w:t>
      </w:r>
      <w:r>
        <w:t xml:space="preserve">Capture of homecare-delivered biologics in SCMD could not be verified.</w:t>
      </w:r>
      <w:r>
        <w:t xml:space="preserve"> </w:t>
      </w:r>
      <w:r>
        <w:t xml:space="preserve">-</w:t>
      </w:r>
      <w:r>
        <w:t xml:space="preserve"> </w:t>
      </w:r>
      <w:r>
        <w:rPr>
          <w:b/>
          <w:bCs/>
        </w:rPr>
        <w:t xml:space="preserve">Hospital data period.</w:t>
      </w:r>
      <w:r>
        <w:t xml:space="preserve"> </w:t>
      </w:r>
      <w:r>
        <w:t xml:space="preserve">The hospital series spans only 2019–2024, including the pandemic. Hospital dexamethasone use rose with its adoption for severe COVID-19 [RECOVERY 2021], a marker of COVID-19 severity patterned by deprivation and ethnicity, so dexamethasone and hydrocortisone were separated from the candidate glucocorticoid exposure.</w:t>
      </w:r>
      <w:r>
        <w:t xml:space="preserve"> </w:t>
      </w:r>
      <w:r>
        <w:t xml:space="preserve">-</w:t>
      </w:r>
      <w:r>
        <w:t xml:space="preserve"> </w:t>
      </w:r>
      <w:r>
        <w:rPr>
          <w:b/>
          <w:bCs/>
        </w:rPr>
        <w:t xml:space="preserve">Hospital prescriptions dispensed in the community.</w:t>
      </w:r>
      <w:r>
        <w:t xml:space="preserve"> </w:t>
      </w:r>
      <w:r>
        <w:t xml:space="preserve">Prescriptions written in hospitals and dispensed by community pharmacies (FP10(HP)) are attributed to hospital prescribers, not GP practices, and are not in SCMD. Some TB treatment and specialist medicines reach patients this way, so neither data source captures them.</w:t>
      </w:r>
      <w:r>
        <w:t xml:space="preserve"> </w:t>
      </w:r>
      <w:r>
        <w:t xml:space="preserve">-</w:t>
      </w:r>
      <w:r>
        <w:t xml:space="preserve"> </w:t>
      </w:r>
      <w:r>
        <w:rPr>
          <w:b/>
          <w:bCs/>
        </w:rPr>
        <w:t xml:space="preserve">Drug group definitions.</w:t>
      </w:r>
      <w:r>
        <w:t xml:space="preserve"> </w:t>
      </w:r>
      <w:r>
        <w:t xml:space="preserve">Conventional DMARDs exclude hydroxychloroquine and sulfasalazine, which carry little TB risk. Mercaptopurine includes leukaemia maintenance therapy, and the primary care</w:t>
      </w:r>
      <w:r>
        <w:t xml:space="preserve"> </w:t>
      </w:r>
      <w:r>
        <w:t xml:space="preserve">“</w:t>
      </w:r>
      <w:r>
        <w:t xml:space="preserve">transplant immunosuppressant</w:t>
      </w:r>
      <w:r>
        <w:t xml:space="preserve">”</w:t>
      </w:r>
      <w:r>
        <w:t xml:space="preserve"> </w:t>
      </w:r>
      <w:r>
        <w:t xml:space="preserve">group includes shared-care use of mycophenolate and ciclosporin for autoimmune disease. Dexamethasone, despite its high potency, contributed only 5.6–6.7% of prednisolone-equivalent mg in primary care (2015, 2019 and 2024 samples), so it does not drive the dose measure.</w:t>
      </w:r>
    </w:p>
    <w:p>
      <w:pPr>
        <w:pStyle w:val="BodyText"/>
      </w:pPr>
      <w:r>
        <w:rPr>
          <w:b/>
          <w:bCs/>
        </w:rPr>
        <w:t xml:space="preserve">Limitations: outcome and confounder data.</w:t>
      </w:r>
      <w:r>
        <w:t xml:space="preserve"> </w:t>
      </w:r>
      <w:r>
        <w:t xml:space="preserve">-</w:t>
      </w:r>
      <w:r>
        <w:t xml:space="preserve"> </w:t>
      </w:r>
      <w:r>
        <w:rPr>
          <w:b/>
          <w:bCs/>
        </w:rPr>
        <w:t xml:space="preserve">Notifications, not incidence.</w:t>
      </w:r>
      <w:r>
        <w:t xml:space="preserve"> </w:t>
      </w:r>
      <w:r>
        <w:t xml:space="preserve">The outcome is notified TB, subject to diagnostic delay, residence assignment, the 2021 transition from ETS to NTBS, and 2020 disruption.</w:t>
      </w:r>
      <w:r>
        <w:t xml:space="preserve"> </w:t>
      </w:r>
      <w:r>
        <w:t xml:space="preserve">-</w:t>
      </w:r>
      <w:r>
        <w:t xml:space="preserve"> </w:t>
      </w:r>
      <w:r>
        <w:rPr>
          <w:b/>
          <w:bCs/>
        </w:rPr>
        <w:t xml:space="preserve">Birthplace data.</w:t>
      </w:r>
      <w:r>
        <w:t xml:space="preserve"> </w:t>
      </w:r>
      <w:r>
        <w:t xml:space="preserve">TB by place of birth is published only by region, and UK-born population denominators by age are not published regionally. The model for UK-born notifications at age ≥65 therefore uses all residents aged ≥65 as the denominator, which can create spurious trends as the older non-UK-born population grows.</w:t>
      </w:r>
      <w:r>
        <w:t xml:space="preserve"> </w:t>
      </w:r>
      <w:r>
        <w:t xml:space="preserve">-</w:t>
      </w:r>
      <w:r>
        <w:t xml:space="preserve"> </w:t>
      </w:r>
      <w:r>
        <w:rPr>
          <w:b/>
          <w:bCs/>
        </w:rPr>
        <w:t xml:space="preserve">Screening of migrants.</w:t>
      </w:r>
      <w:r>
        <w:t xml:space="preserve"> </w:t>
      </w:r>
      <w:r>
        <w:t xml:space="preserve">Pre-entry screening of long-stay visa applicants from high-incidence countries (UK-wide from 2012) and the LTBI programme for new migrants reduce notifications among recent entrants in the areas where they settle. Neither is fully captured by our covariates.</w:t>
      </w:r>
      <w:r>
        <w:t xml:space="preserve"> </w:t>
      </w:r>
      <w:r>
        <w:t xml:space="preserve">-</w:t>
      </w:r>
      <w:r>
        <w:t xml:space="preserve"> </w:t>
      </w:r>
      <w:r>
        <w:rPr>
          <w:b/>
          <w:bCs/>
        </w:rPr>
        <w:t xml:space="preserve">Outcome definitions.</w:t>
      </w:r>
      <w:r>
        <w:t xml:space="preserve"> </w:t>
      </w:r>
      <w:r>
        <w:t xml:space="preserve">We did not analyse culture-confirmed pulmonary TB or drug-resistant TB, which were not available by local authority and year in the published tables we used.</w:t>
      </w:r>
      <w:r>
        <w:t xml:space="preserve"> </w:t>
      </w:r>
      <w:r>
        <w:t xml:space="preserve">-</w:t>
      </w:r>
      <w:r>
        <w:t xml:space="preserve"> </w:t>
      </w:r>
      <w:r>
        <w:rPr>
          <w:b/>
          <w:bCs/>
        </w:rPr>
        <w:t xml:space="preserve">Unmeasured confounders.</w:t>
      </w:r>
      <w:r>
        <w:t xml:space="preserve"> </w:t>
      </w:r>
      <w:r>
        <w:t xml:space="preserve">- Social risk factors and diagnostic intensity.</w:t>
      </w:r>
      <w:r>
        <w:t xml:space="preserve"> </w:t>
      </w:r>
      <w:r>
        <w:t xml:space="preserve">- The area-level share of recent arrivals.</w:t>
      </w:r>
      <w:r>
        <w:t xml:space="preserve"> </w:t>
      </w:r>
      <w:r>
        <w:t xml:space="preserve">- Latent TB programme activity after 2019/20.</w:t>
      </w:r>
    </w:p>
    <w:p>
      <w:pPr>
        <w:pStyle w:val="BodyText"/>
      </w:pPr>
      <w:r>
        <w:rPr>
          <w:b/>
          <w:bCs/>
        </w:rPr>
        <w:t xml:space="preserve">Limitations: design and analysis.</w:t>
      </w:r>
      <w:r>
        <w:t xml:space="preserve"> </w:t>
      </w:r>
      <w:r>
        <w:t xml:space="preserve">-</w:t>
      </w:r>
      <w:r>
        <w:t xml:space="preserve"> </w:t>
      </w:r>
      <w:r>
        <w:rPr>
          <w:b/>
          <w:bCs/>
        </w:rPr>
        <w:t xml:space="preserve">Pre-specification.</w:t>
      </w:r>
      <w:r>
        <w:t xml:space="preserve"> </w:t>
      </w:r>
      <w:r>
        <w:t xml:space="preserve">Many analyses were added after initial null results and are exploratory.</w:t>
      </w:r>
      <w:r>
        <w:t xml:space="preserve"> </w:t>
      </w:r>
      <w:r>
        <w:t xml:space="preserve">-</w:t>
      </w:r>
      <w:r>
        <w:t xml:space="preserve"> </w:t>
      </w:r>
      <w:r>
        <w:rPr>
          <w:b/>
          <w:bCs/>
        </w:rPr>
        <w:t xml:space="preserve">Expected-effect inputs.</w:t>
      </w:r>
      <w:r>
        <w:t xml:space="preserve"> </w:t>
      </w:r>
      <w:r>
        <w:t xml:space="preserve">Relative risks for PPIs, statins and metformin come mainly from high-incidence settings, and prevalence inputs for hospital drugs are derived or illustrative. Neither would change the conclusions unless the true effects were an order of magnitude larger.</w:t>
      </w:r>
      <w:r>
        <w:t xml:space="preserve"> </w:t>
      </w:r>
      <w:r>
        <w:t xml:space="preserve">-</w:t>
      </w:r>
      <w:r>
        <w:t xml:space="preserve"> </w:t>
      </w:r>
      <w:r>
        <w:rPr>
          <w:b/>
          <w:bCs/>
        </w:rPr>
        <w:t xml:space="preserve">Positive control.</w:t>
      </w:r>
      <w:r>
        <w:t xml:space="preserve"> </w:t>
      </w:r>
      <w:r>
        <w:t xml:space="preserve">The hospital positive control is a disease-specific drug with a large same-year signal. We did not test whether a small lagged effect injected through the apportioned hospital exposure would be recovered, and primary care had no working positive control.</w:t>
      </w:r>
    </w:p>
    <w:bookmarkEnd w:id="58"/>
    <w:bookmarkStart w:id="59" w:name="implications"/>
    <w:p>
      <w:pPr>
        <w:pStyle w:val="Heading3"/>
      </w:pPr>
      <w:r>
        <w:t xml:space="preserve">Implications</w:t>
      </w:r>
    </w:p>
    <w:p>
      <w:pPr>
        <w:pStyle w:val="FirstParagraph"/>
      </w:pPr>
      <w:r>
        <w:rPr>
          <w:b/>
          <w:bCs/>
        </w:rPr>
        <w:t xml:space="preserve">For research.</w:t>
      </w:r>
      <w:r>
        <w:t xml:space="preserve"> </w:t>
      </w:r>
      <w:r>
        <w:t xml:space="preserve">- Open prescribing data are valuable for describing prescribing [Bacon 2020; OpenPrescribing 2026] but cannot estimate the effects of medicines on rare outcomes such as TB.</w:t>
      </w:r>
      <w:r>
        <w:t xml:space="preserve"> </w:t>
      </w:r>
      <w:r>
        <w:t xml:space="preserve">- Ecological studies of rare outcomes should report the following alongside any associations:</w:t>
      </w:r>
      <w:r>
        <w:t xml:space="preserve"> </w:t>
      </w:r>
      <w:r>
        <w:t xml:space="preserve">- minimum detectable effects;</w:t>
      </w:r>
      <w:r>
        <w:t xml:space="preserve"> </w:t>
      </w:r>
      <w:r>
        <w:t xml:space="preserve">- a positive control with its elasticity;</w:t>
      </w:r>
      <w:r>
        <w:t xml:space="preserve"> </w:t>
      </w:r>
      <w:r>
        <w:t xml:space="preserve">- negative controls;</w:t>
      </w:r>
      <w:r>
        <w:t xml:space="preserve"> </w:t>
      </w:r>
      <w:r>
        <w:t xml:space="preserve">- falsification tests.</w:t>
      </w:r>
      <w:r>
        <w:t xml:space="preserve"> </w:t>
      </w:r>
      <w:r>
        <w:t xml:space="preserve">- Causal questions need individual-level linked data analysed with target trial emulation (Box). Even national cohorts give wide intervals for modest relative risks [Pealing 2015]. The only drug–TB target trial emulation we identified concerned DPP-4 inhibitors [Chen 2025].</w:t>
      </w:r>
    </w:p>
    <w:p>
      <w:pPr>
        <w:pStyle w:val="BodyText"/>
      </w:pPr>
      <w:r>
        <w:rPr>
          <w:b/>
          <w:bCs/>
        </w:rPr>
        <w:t xml:space="preserve">For TB programmes.</w:t>
      </w:r>
      <w:r>
        <w:t xml:space="preserve"> </w:t>
      </w:r>
      <w:r>
        <w:t xml:space="preserve">-</w:t>
      </w:r>
      <w:r>
        <w:t xml:space="preserve"> </w:t>
      </w:r>
      <w:r>
        <w:rPr>
          <w:b/>
          <w:bCs/>
        </w:rPr>
        <w:t xml:space="preserve">The null results do not mean these drugs are safe.</w:t>
      </w:r>
      <w:r>
        <w:t xml:space="preserve"> </w:t>
      </w:r>
      <w:r>
        <w:t xml:space="preserve">Glucocorticoids, biologics and JAK inhibitors remain important for individual patients. Drug-associated TB is serious, often extrapulmonary [Keane 2001], and largely preventable.</w:t>
      </w:r>
      <w:r>
        <w:t xml:space="preserve"> </w:t>
      </w:r>
      <w:r>
        <w:t xml:space="preserve">-</w:t>
      </w:r>
      <w:r>
        <w:t xml:space="preserve"> </w:t>
      </w:r>
      <w:r>
        <w:rPr>
          <w:b/>
          <w:bCs/>
        </w:rPr>
        <w:t xml:space="preserve">Surveillance.</w:t>
      </w:r>
      <w:r>
        <w:t xml:space="preserve"> </w:t>
      </w:r>
      <w:r>
        <w:t xml:space="preserve">Monitoring is better served by more complete and detailed immunosuppression fields in NTBS than by ecological analysis of prescribing. Useful fields would record drug class, time since starting, and whether latent TB screening was done and treated.</w:t>
      </w:r>
      <w:r>
        <w:t xml:space="preserve"> </w:t>
      </w:r>
      <w:r>
        <w:t xml:space="preserve">-</w:t>
      </w:r>
      <w:r>
        <w:t xml:space="preserve"> </w:t>
      </w:r>
      <w:r>
        <w:rPr>
          <w:b/>
          <w:bCs/>
        </w:rPr>
        <w:t xml:space="preserve">Audit.</w:t>
      </w:r>
      <w:r>
        <w:t xml:space="preserve"> </w:t>
      </w:r>
      <w:r>
        <w:t xml:space="preserve">The practical lever is auditing latent TB screening before biologics, JAK inhibitors and high-dose, long-term glucocorticoids.</w:t>
      </w:r>
      <w:r>
        <w:t xml:space="preserve"> </w:t>
      </w:r>
      <w:r>
        <w:t xml:space="preserve">-</w:t>
      </w:r>
      <w:r>
        <w:t xml:space="preserve"> </w:t>
      </w:r>
      <w:r>
        <w:rPr>
          <w:b/>
          <w:bCs/>
        </w:rPr>
        <w:t xml:space="preserve">Aggregate data from UKHSA.</w:t>
      </w:r>
      <w:r>
        <w:t xml:space="preserve"> </w:t>
      </w:r>
      <w:r>
        <w:t xml:space="preserve">Aggregate UKHSA tables would allow population monitoring in the groups where drug-associated reactivation matters, namely:</w:t>
      </w:r>
      <w:r>
        <w:t xml:space="preserve"> </w:t>
      </w:r>
      <w:r>
        <w:t xml:space="preserve">- notifications with recorded biologic or steroid immunosuppression;</w:t>
      </w:r>
      <w:r>
        <w:t xml:space="preserve"> </w:t>
      </w:r>
      <w:r>
        <w:t xml:space="preserve">- notifications by area, year, place of birth, age and time since entry.</w:t>
      </w:r>
    </w:p>
    <w:bookmarkEnd w:id="59"/>
    <w:bookmarkStart w:id="60" w:name="conclusion"/>
    <w:p>
      <w:pPr>
        <w:pStyle w:val="Heading3"/>
      </w:pPr>
      <w:r>
        <w:t xml:space="preserve">Conclusion</w:t>
      </w:r>
    </w:p>
    <w:p>
      <w:pPr>
        <w:pStyle w:val="FirstParagraph"/>
      </w:pPr>
      <w:r>
        <w:t xml:space="preserve">Open English prescribing and TB notification data can be linked, although hospital medicines were linked only with heavy attenuation and the linkage of primary care prescribing could not be validated. Ecological analyses of these data cannot detect the population-level effects of medicines on TB: plausible effects lie roughly 10 to several hundred times below what the designs can resolve, and the associations that do arise are compatible with residual confounding, chance or measurement error rather than drug effects.</w:t>
      </w:r>
    </w:p>
    <w:bookmarkEnd w:id="60"/>
    <w:bookmarkStart w:id="61" w:name="X844e21fe14cdace6eb3534522245703c6dff1b5"/>
    <w:p>
      <w:pPr>
        <w:pStyle w:val="Heading3"/>
      </w:pPr>
      <w:r>
        <w:t xml:space="preserve">Box. Individual-level target trial emulation (example: oral glucocorticoids and TB)</w:t>
      </w:r>
    </w:p>
    <w:p>
      <w:pPr>
        <w:pStyle w:val="FirstParagraph"/>
      </w:pPr>
      <w:r>
        <w:rPr>
          <w:b/>
          <w:bCs/>
        </w:rPr>
        <w:t xml:space="preserve">Data</w:t>
      </w:r>
      <w:r>
        <w:t xml:space="preserve"> </w:t>
      </w:r>
      <w:r>
        <w:t xml:space="preserve">- CPRD Aurum (primary care prescribing with dose and quantity).</w:t>
      </w:r>
      <w:r>
        <w:t xml:space="preserve"> </w:t>
      </w:r>
      <w:r>
        <w:t xml:space="preserve">- Hospital Episode Statistics (admitted patient care and outpatients) and ONS deaths.</w:t>
      </w:r>
      <w:r>
        <w:t xml:space="preserve"> </w:t>
      </w:r>
      <w:r>
        <w:t xml:space="preserve">- Small-area deprivation.</w:t>
      </w:r>
      <w:r>
        <w:t xml:space="preserve"> </w:t>
      </w:r>
      <w:r>
        <w:t xml:space="preserve">- A bespoke linkage to the UKHSA National TB Surveillance System, which provides notification-validated</w:t>
      </w:r>
      <w:r>
        <w:t xml:space="preserve"> </w:t>
      </w:r>
      <w:r>
        <w:t xml:space="preserve">TB, site of disease, culture confirmation, and country of birth and year of entry.</w:t>
      </w:r>
      <w:r>
        <w:t xml:space="preserve"> </w:t>
      </w:r>
      <w:r>
        <w:t xml:space="preserve">- Hospital-only drugs (biologics, JAK inhibitors) are not captured in CPRD. For these, use NHS England</w:t>
      </w:r>
      <w:r>
        <w:t xml:space="preserve"> </w:t>
      </w:r>
      <w:r>
        <w:t xml:space="preserve">high-cost drugs data (e.g. via OpenSAFELY) or disease registries (BSRBR-RA, BADBIR, UK IBD Registry)</w:t>
      </w:r>
      <w:r>
        <w:t xml:space="preserve"> </w:t>
      </w:r>
      <w:r>
        <w:t xml:space="preserve">with the same TB linkage.</w:t>
      </w:r>
    </w:p>
    <w:p>
      <w:pPr>
        <w:pStyle w:val="BodyText"/>
      </w:pPr>
      <w:r>
        <w:rPr>
          <w:b/>
          <w:bCs/>
        </w:rPr>
        <w:t xml:space="preserve">Eligibility</w:t>
      </w:r>
      <w:r>
        <w:t xml:space="preserve"> </w:t>
      </w:r>
      <w:r>
        <w:t xml:space="preserve">- Adults aged ≥18 years with ≥12 months’ registration.</w:t>
      </w:r>
      <w:r>
        <w:t xml:space="preserve"> </w:t>
      </w:r>
      <w:r>
        <w:t xml:space="preserve">- No previous TB, TB or latent TB treatment, or oral glucocorticoid use in the previous 12 months.</w:t>
      </w:r>
      <w:r>
        <w:t xml:space="preserve"> </w:t>
      </w:r>
      <w:r>
        <w:t xml:space="preserve">- No HIV or solid organ transplant.</w:t>
      </w:r>
      <w:r>
        <w:t xml:space="preserve"> </w:t>
      </w:r>
      <w:r>
        <w:t xml:space="preserve">- Defined indication cohorts (e.g. polymyalgia rheumatica/giant cell arteritis, rheumatoid arthritis,</w:t>
      </w:r>
      <w:r>
        <w:t xml:space="preserve"> </w:t>
      </w:r>
      <w:r>
        <w:t xml:space="preserve">COPD, asthma, inflammatory bowel disease).</w:t>
      </w:r>
    </w:p>
    <w:p>
      <w:pPr>
        <w:pStyle w:val="BodyText"/>
      </w:pPr>
      <w:r>
        <w:rPr>
          <w:b/>
          <w:bCs/>
        </w:rPr>
        <w:t xml:space="preserve">Treatment strategies</w:t>
      </w:r>
      <w:r>
        <w:t xml:space="preserve"> </w:t>
      </w:r>
      <w:r>
        <w:t xml:space="preserve">- Initiate and sustain oral glucocorticoids for ≥3 months, by prednisolone-equivalent dose (&lt;7.5,</w:t>
      </w:r>
      <w:r>
        <w:t xml:space="preserve"> </w:t>
      </w:r>
      <w:r>
        <w:t xml:space="preserve">7.5–&lt;15, ≥15 mg/day), versus no initiation.</w:t>
      </w:r>
      <w:r>
        <w:t xml:space="preserve"> </w:t>
      </w:r>
      <w:r>
        <w:t xml:space="preserve">- An active comparator where available.</w:t>
      </w:r>
    </w:p>
    <w:p>
      <w:pPr>
        <w:pStyle w:val="BodyText"/>
      </w:pPr>
      <w:r>
        <w:rPr>
          <w:b/>
          <w:bCs/>
        </w:rPr>
        <w:t xml:space="preserve">Assignment and time zero</w:t>
      </w:r>
      <w:r>
        <w:t xml:space="preserve"> </w:t>
      </w:r>
      <w:r>
        <w:t xml:space="preserve">- Sequential monthly nested trials.</w:t>
      </w:r>
      <w:r>
        <w:t xml:space="preserve"> </w:t>
      </w:r>
      <w:r>
        <w:t xml:space="preserve">- Clone–censor–weight methods for sustained-use and dose strategies.</w:t>
      </w:r>
    </w:p>
    <w:p>
      <w:pPr>
        <w:pStyle w:val="BodyText"/>
      </w:pPr>
      <w:r>
        <w:rPr>
          <w:b/>
          <w:bCs/>
        </w:rPr>
        <w:t xml:space="preserve">Outcome</w:t>
      </w:r>
      <w:r>
        <w:t xml:space="preserve"> </w:t>
      </w:r>
      <w:r>
        <w:t xml:space="preserve">- Incident active TB: the first of an NTBS notification, a HES diagnosis (ICD-10 A15–A19), or a CPRD</w:t>
      </w:r>
      <w:r>
        <w:t xml:space="preserve"> </w:t>
      </w:r>
      <w:r>
        <w:t xml:space="preserve">diagnosis with treatment.</w:t>
      </w:r>
      <w:r>
        <w:t xml:space="preserve"> </w:t>
      </w:r>
      <w:r>
        <w:t xml:space="preserve">- Secondary: pulmonary vs extrapulmonary, culture-confirmed TB, TB death.</w:t>
      </w:r>
    </w:p>
    <w:p>
      <w:pPr>
        <w:pStyle w:val="BodyText"/>
      </w:pPr>
      <w:r>
        <w:rPr>
          <w:b/>
          <w:bCs/>
        </w:rPr>
        <w:t xml:space="preserve">Follow-up</w:t>
      </w:r>
      <w:r>
        <w:t xml:space="preserve"> </w:t>
      </w:r>
      <w:r>
        <w:t xml:space="preserve">- Up to 5 years, or until death, deregistration or end of linkage.</w:t>
      </w:r>
    </w:p>
    <w:p>
      <w:pPr>
        <w:pStyle w:val="BodyText"/>
      </w:pPr>
      <w:r>
        <w:rPr>
          <w:b/>
          <w:bCs/>
        </w:rPr>
        <w:t xml:space="preserve">Estimands and analysis</w:t>
      </w:r>
      <w:r>
        <w:t xml:space="preserve"> </w:t>
      </w:r>
      <w:r>
        <w:t xml:space="preserve">- Intention-to-treat and per-protocol cumulative incidence differences and ratios at 1, 2 and 5 years.</w:t>
      </w:r>
      <w:r>
        <w:t xml:space="preserve"> </w:t>
      </w:r>
      <w:r>
        <w:t xml:space="preserve">- Pooled logistic regression with inverse probability of treatment and censoring weights.</w:t>
      </w:r>
    </w:p>
    <w:p>
      <w:pPr>
        <w:pStyle w:val="BodyText"/>
      </w:pPr>
      <w:r>
        <w:rPr>
          <w:b/>
          <w:bCs/>
        </w:rPr>
        <w:t xml:space="preserve">Confounders</w:t>
      </w:r>
      <w:r>
        <w:t xml:space="preserve"> </w:t>
      </w:r>
      <w:r>
        <w:t xml:space="preserve">- Age, sex, ethnicity, country of birth and time since entry, deprivation.</w:t>
      </w:r>
      <w:r>
        <w:t xml:space="preserve"> </w:t>
      </w:r>
      <w:r>
        <w:t xml:space="preserve">- Diabetes, chronic kidney disease, smoking, alcohol, BMI.</w:t>
      </w:r>
      <w:r>
        <w:t xml:space="preserve"> </w:t>
      </w:r>
      <w:r>
        <w:t xml:space="preserve">- TB contact or latent TB screening codes.</w:t>
      </w:r>
      <w:r>
        <w:t xml:space="preserve"> </w:t>
      </w:r>
      <w:r>
        <w:t xml:space="preserve">- Indication severity, healthcare use, co-prescribed immunosuppressants.</w:t>
      </w:r>
    </w:p>
    <w:p>
      <w:pPr>
        <w:pStyle w:val="BodyText"/>
      </w:pPr>
      <w:r>
        <w:rPr>
          <w:b/>
          <w:bCs/>
        </w:rPr>
        <w:t xml:space="preserve">Effect modification and bias checks</w:t>
      </w:r>
      <w:r>
        <w:t xml:space="preserve"> </w:t>
      </w:r>
      <w:r>
        <w:t xml:space="preserve">- Effect modification by country of birth, specified in advance.</w:t>
      </w:r>
      <w:r>
        <w:t xml:space="preserve"> </w:t>
      </w:r>
      <w:r>
        <w:t xml:space="preserve">- Negative-control exposure (levothyroxine initiation) and negative-control outcome.</w:t>
      </w:r>
      <w:r>
        <w:t xml:space="preserve"> </w:t>
      </w:r>
      <w:r>
        <w:t xml:space="preserve">- E-values.</w:t>
      </w:r>
    </w:p>
    <w:p>
      <w:pPr>
        <w:pStyle w:val="BodyText"/>
      </w:pPr>
      <w:r>
        <w:rPr>
          <w:b/>
          <w:bCs/>
        </w:rPr>
        <w:t xml:space="preserve">Feasibility</w:t>
      </w:r>
      <w:r>
        <w:t xml:space="preserve"> </w:t>
      </w:r>
      <w:r>
        <w:t xml:space="preserve">- The TB notification rate in UK-born people was 2.1 per 100,000 in 2024, all ages [UKHSA 2025,</w:t>
      </w:r>
      <w:r>
        <w:t xml:space="preserve"> </w:t>
      </w:r>
      <w:r>
        <w:t xml:space="preserve">Supplementary Table 12]; rates in older UK-born adults are of a similar order. Tens of</w:t>
      </w:r>
      <w:r>
        <w:t xml:space="preserve"> </w:t>
      </w:r>
      <w:r>
        <w:t xml:space="preserve">thousands of long-term initiators followed for several years would yield only tens of TB events,</w:t>
      </w:r>
      <w:r>
        <w:t xml:space="preserve"> </w:t>
      </w:r>
      <w:r>
        <w:t xml:space="preserve">so the individual-level study is itself constrained by sample size.</w:t>
      </w:r>
    </w:p>
    <w:bookmarkEnd w:id="61"/>
    <w:bookmarkEnd w:id="62"/>
    <w:bookmarkStart w:id="63" w:name="data-and-code-availability"/>
    <w:p>
      <w:pPr>
        <w:pStyle w:val="Heading2"/>
      </w:pPr>
      <w:r>
        <w:t xml:space="preserve">Data and code availability</w:t>
      </w:r>
    </w:p>
    <w:p>
      <w:pPr>
        <w:pStyle w:val="FirstParagraph"/>
      </w:pPr>
      <w:r>
        <w:t xml:space="preserve">All inputs are publicly available (NHSBSA Open Data Portal: English Prescribing Dataset and Secondary Care Medicines Data; NHS Digital practice-level prescribing and registered patients by LSOA; UKHSA TB reports and Fingertips; OHID acute trust catchment populations; ONS/Nomis; Home Office asylum statistics; NHS England ODS; MHCLG English Indices of Deprivation). Code, processed datasets and outputs: https://github.com/drcjar/tb-prescribing-england. Data were obtained in September 2026: the EPD and SCMD through the NHSBSA API (SCMD months use final data where available, otherwise provisional), and the NHS England ODS epraccur file, practice registration releases (April 2014–2024), OHID acute trust catchments (2024 catchment year), and the UKHSA TB in England 2025 and regional 2024 supplementary tables as published at that time. These portals revise data between releases.</w:t>
      </w:r>
    </w:p>
    <w:bookmarkEnd w:id="63"/>
    <w:bookmarkStart w:id="64" w:name="references"/>
    <w:p>
      <w:pPr>
        <w:pStyle w:val="Heading2"/>
      </w:pPr>
      <w:r>
        <w:t xml:space="preserve">References</w:t>
      </w:r>
    </w:p>
    <w:p>
      <w:pPr>
        <w:pStyle w:val="FirstParagraph"/>
      </w:pPr>
      <w:r>
        <w:t xml:space="preserve">Each journal entry was checked against PubMed metadata (via DOI→PMID conversion or citation lookup) and Crossref DOI metadata. Each DOI below resolves to the stated article. The grey literature was checked on GOV.UK, in the report PDF, or through search results where a site blocks automated access. Corrections relative to references_v3.md are listed at the end.</w:t>
      </w:r>
    </w:p>
    <w:p>
      <w:pPr>
        <w:pStyle w:val="Compact"/>
        <w:numPr>
          <w:ilvl w:val="0"/>
          <w:numId w:val="1018"/>
        </w:numPr>
      </w:pPr>
      <w:r>
        <w:t xml:space="preserve">Aldridge RW, Zenner D, White PJ, et al. Tuberculosis in migrants moving from high-incidence to low-incidence countries: a population-based cohort study of 519 955 migrants screened before entry to England, Wales, and Northern Ireland.</w:t>
      </w:r>
      <w:r>
        <w:t xml:space="preserve"> </w:t>
      </w:r>
      <w:r>
        <w:rPr>
          <w:i/>
          <w:iCs/>
        </w:rPr>
        <w:t xml:space="preserve">Lancet</w:t>
      </w:r>
      <w:r>
        <w:t xml:space="preserve"> </w:t>
      </w:r>
      <w:r>
        <w:t xml:space="preserve">2016;388(10059):2510–8. doi:10.1016/S0140-6736(16)31008-X. PMID 27742165</w:t>
      </w:r>
    </w:p>
    <w:p>
      <w:pPr>
        <w:pStyle w:val="Compact"/>
        <w:numPr>
          <w:ilvl w:val="0"/>
          <w:numId w:val="1018"/>
        </w:numPr>
      </w:pPr>
      <w:r>
        <w:t xml:space="preserve">Bacon S, Goldacre B. Barriers to working with National Health Service England’s open data.</w:t>
      </w:r>
      <w:r>
        <w:t xml:space="preserve"> </w:t>
      </w:r>
      <w:r>
        <w:rPr>
          <w:i/>
          <w:iCs/>
        </w:rPr>
        <w:t xml:space="preserve">J Med Internet Res</w:t>
      </w:r>
      <w:r>
        <w:t xml:space="preserve"> </w:t>
      </w:r>
      <w:r>
        <w:t xml:space="preserve">2020;22(1):e15603. doi:10.2196/15603. PMID 31929101</w:t>
      </w:r>
    </w:p>
    <w:p>
      <w:pPr>
        <w:pStyle w:val="Compact"/>
        <w:numPr>
          <w:ilvl w:val="0"/>
          <w:numId w:val="1018"/>
        </w:numPr>
      </w:pPr>
      <w:r>
        <w:t xml:space="preserve">Berrocal-Almanza LC, Harris RJ, Collin SM, et al. Effectiveness of nationwide programmatic testing and treatment for latent tuberculosis infection in migrants in England: a retrospective, population-based cohort study.</w:t>
      </w:r>
      <w:r>
        <w:t xml:space="preserve"> </w:t>
      </w:r>
      <w:r>
        <w:rPr>
          <w:i/>
          <w:iCs/>
        </w:rPr>
        <w:t xml:space="preserve">Lancet Public Health</w:t>
      </w:r>
      <w:r>
        <w:t xml:space="preserve"> </w:t>
      </w:r>
      <w:r>
        <w:t xml:space="preserve">2022;7(4):e305–15. doi:10.1016/S2468-2667(22)00031-7. PMID 35338849</w:t>
      </w:r>
    </w:p>
    <w:p>
      <w:pPr>
        <w:pStyle w:val="Compact"/>
        <w:numPr>
          <w:ilvl w:val="0"/>
          <w:numId w:val="1018"/>
        </w:numPr>
      </w:pPr>
      <w:r>
        <w:t xml:space="preserve">Brassard P, Kezouh A, Suissa S. Antirheumatic drugs and the risk of tuberculosis.</w:t>
      </w:r>
      <w:r>
        <w:t xml:space="preserve"> </w:t>
      </w:r>
      <w:r>
        <w:rPr>
          <w:i/>
          <w:iCs/>
        </w:rPr>
        <w:t xml:space="preserve">Clin Infect Dis</w:t>
      </w:r>
      <w:r>
        <w:t xml:space="preserve"> </w:t>
      </w:r>
      <w:r>
        <w:t xml:space="preserve">2006;43(6):717–22. doi:10.1086/506935. PMID 16912945</w:t>
      </w:r>
    </w:p>
    <w:p>
      <w:pPr>
        <w:pStyle w:val="Compact"/>
        <w:numPr>
          <w:ilvl w:val="0"/>
          <w:numId w:val="1018"/>
        </w:numPr>
      </w:pPr>
      <w:r>
        <w:t xml:space="preserve">Brassard P, Suissa S, Kezouh A, Ernst P. Inhaled corticosteroids and risk of tuberculosis in patients with respiratory diseases.</w:t>
      </w:r>
      <w:r>
        <w:t xml:space="preserve"> </w:t>
      </w:r>
      <w:r>
        <w:rPr>
          <w:i/>
          <w:iCs/>
        </w:rPr>
        <w:t xml:space="preserve">Am J Respir Crit Care Med</w:t>
      </w:r>
      <w:r>
        <w:t xml:space="preserve"> </w:t>
      </w:r>
      <w:r>
        <w:t xml:space="preserve">2011;183(5):675–8. doi:10.1164/rccm.201007-1099OC. PMID 20889902</w:t>
      </w:r>
    </w:p>
    <w:p>
      <w:pPr>
        <w:pStyle w:val="Compact"/>
        <w:numPr>
          <w:ilvl w:val="0"/>
          <w:numId w:val="1018"/>
        </w:numPr>
      </w:pPr>
      <w:r>
        <w:t xml:space="preserve">British Thoracic Society Standards of Care Committee. BTS recommendations for assessing risk and for managing</w:t>
      </w:r>
      <w:r>
        <w:t xml:space="preserve"> </w:t>
      </w:r>
      <w:r>
        <w:rPr>
          <w:i/>
          <w:iCs/>
        </w:rPr>
        <w:t xml:space="preserve">Mycobacterium tuberculosis</w:t>
      </w:r>
      <w:r>
        <w:t xml:space="preserve"> </w:t>
      </w:r>
      <w:r>
        <w:t xml:space="preserve">infection and disease in patients due to start anti-TNF-α treatment.</w:t>
      </w:r>
      <w:r>
        <w:t xml:space="preserve"> </w:t>
      </w:r>
      <w:r>
        <w:rPr>
          <w:i/>
          <w:iCs/>
        </w:rPr>
        <w:t xml:space="preserve">Thorax</w:t>
      </w:r>
      <w:r>
        <w:t xml:space="preserve"> </w:t>
      </w:r>
      <w:r>
        <w:t xml:space="preserve">2005;60(10):800–5. doi:10.1136/thx.2005.046797. PMID 16055611</w:t>
      </w:r>
    </w:p>
    <w:p>
      <w:pPr>
        <w:pStyle w:val="Compact"/>
        <w:numPr>
          <w:ilvl w:val="0"/>
          <w:numId w:val="1018"/>
        </w:numPr>
      </w:pPr>
      <w:r>
        <w:t xml:space="preserve">Carmona L, Gómez-Reino JJ, Rodríguez-Valverde V, et al. Effectiveness of recommendations to prevent reactivation of latent tuberculosis infection in patients treated with tumor necrosis factor antagonists.</w:t>
      </w:r>
      <w:r>
        <w:t xml:space="preserve"> </w:t>
      </w:r>
      <w:r>
        <w:rPr>
          <w:i/>
          <w:iCs/>
        </w:rPr>
        <w:t xml:space="preserve">Arthritis Rheum</w:t>
      </w:r>
      <w:r>
        <w:t xml:space="preserve"> </w:t>
      </w:r>
      <w:r>
        <w:t xml:space="preserve">2005;52(6):1766–72. doi:10.1002/art.21043. PMID 15934089</w:t>
      </w:r>
    </w:p>
    <w:p>
      <w:pPr>
        <w:pStyle w:val="Compact"/>
        <w:numPr>
          <w:ilvl w:val="0"/>
          <w:numId w:val="1018"/>
        </w:numPr>
      </w:pPr>
      <w:r>
        <w:t xml:space="preserve">Castellana G, Castellana M, Castellana C, et al. Inhaled corticosteroids and risk of tuberculosis in patients with obstructive lung diseases: a systematic review and meta-analysis of non-randomized studies.</w:t>
      </w:r>
      <w:r>
        <w:t xml:space="preserve"> </w:t>
      </w:r>
      <w:r>
        <w:rPr>
          <w:i/>
          <w:iCs/>
        </w:rPr>
        <w:t xml:space="preserve">Int J Chron Obstruct Pulmon Dis</w:t>
      </w:r>
      <w:r>
        <w:t xml:space="preserve"> </w:t>
      </w:r>
      <w:r>
        <w:t xml:space="preserve">2019;14:2219–27. doi:10.2147/COPD.S209273. PMID 31576118</w:t>
      </w:r>
    </w:p>
    <w:p>
      <w:pPr>
        <w:pStyle w:val="Compact"/>
        <w:numPr>
          <w:ilvl w:val="0"/>
          <w:numId w:val="1018"/>
        </w:numPr>
      </w:pPr>
      <w:r>
        <w:t xml:space="preserve">Chen YG, et al. Target trial emulation of DPP-4 inhibitors in patients with T2DM for pulmonary tuberculosis: a nationwide observational data.</w:t>
      </w:r>
      <w:r>
        <w:t xml:space="preserve"> </w:t>
      </w:r>
      <w:r>
        <w:rPr>
          <w:i/>
          <w:iCs/>
        </w:rPr>
        <w:t xml:space="preserve">BMC Med</w:t>
      </w:r>
      <w:r>
        <w:t xml:space="preserve"> </w:t>
      </w:r>
      <w:r>
        <w:t xml:space="preserve">2025;23:587. doi:10.1186/s12916-025-04423-1. PMID 41137015</w:t>
      </w:r>
    </w:p>
    <w:p>
      <w:pPr>
        <w:pStyle w:val="Compact"/>
        <w:numPr>
          <w:ilvl w:val="0"/>
          <w:numId w:val="1018"/>
        </w:numPr>
      </w:pPr>
      <w:r>
        <w:t xml:space="preserve">Davidson JA, Thomas HL, Maguire H, et al. Understanding tuberculosis transmission in the United Kingdom: findings from 6 years of mycobacterial interspersed repetitive unit-variable number tandem repeats strain typing, 2010–2015.</w:t>
      </w:r>
      <w:r>
        <w:t xml:space="preserve"> </w:t>
      </w:r>
      <w:r>
        <w:rPr>
          <w:i/>
          <w:iCs/>
        </w:rPr>
        <w:t xml:space="preserve">Am J Epidemiol</w:t>
      </w:r>
      <w:r>
        <w:t xml:space="preserve"> </w:t>
      </w:r>
      <w:r>
        <w:t xml:space="preserve">2018;187(10):2233–42. doi:10.1093/aje/kwy119. PMID 29878041</w:t>
      </w:r>
    </w:p>
    <w:p>
      <w:pPr>
        <w:pStyle w:val="Compact"/>
        <w:numPr>
          <w:ilvl w:val="0"/>
          <w:numId w:val="1018"/>
        </w:numPr>
      </w:pPr>
      <w:r>
        <w:t xml:space="preserve">Fardet L, Petersen I, Nazareth I. Prevalence of long-term oral glucocorticoid prescriptions in the UK over the past 20 years.</w:t>
      </w:r>
      <w:r>
        <w:t xml:space="preserve"> </w:t>
      </w:r>
      <w:r>
        <w:rPr>
          <w:i/>
          <w:iCs/>
        </w:rPr>
        <w:t xml:space="preserve">Rheumatology (Oxford)</w:t>
      </w:r>
      <w:r>
        <w:t xml:space="preserve"> </w:t>
      </w:r>
      <w:r>
        <w:t xml:space="preserve">2011;50(11):1982–90. doi:10.1093/rheumatology/ker017. PMID 21393338</w:t>
      </w:r>
    </w:p>
    <w:p>
      <w:pPr>
        <w:pStyle w:val="Compact"/>
        <w:numPr>
          <w:ilvl w:val="0"/>
          <w:numId w:val="1018"/>
        </w:numPr>
      </w:pPr>
      <w:r>
        <w:t xml:space="preserve">Gómez-Reino JJ, Carmona L, Angel Descalzo M, et al. Risk of tuberculosis in patients treated with tumor necrosis factor antagonists due to incomplete prevention of reactivation of latent infection.</w:t>
      </w:r>
      <w:r>
        <w:t xml:space="preserve"> </w:t>
      </w:r>
      <w:r>
        <w:rPr>
          <w:i/>
          <w:iCs/>
        </w:rPr>
        <w:t xml:space="preserve">Arthritis Rheum</w:t>
      </w:r>
      <w:r>
        <w:t xml:space="preserve"> </w:t>
      </w:r>
      <w:r>
        <w:t xml:space="preserve">2007;57(5):756–61. doi:10.1002/art.22768. PMID 17530674</w:t>
      </w:r>
    </w:p>
    <w:p>
      <w:pPr>
        <w:pStyle w:val="Compact"/>
        <w:numPr>
          <w:ilvl w:val="0"/>
          <w:numId w:val="1018"/>
        </w:numPr>
      </w:pPr>
      <w:r>
        <w:t xml:space="preserve">Greenland S, Morgenstern H. Ecological bias, confounding, and effect modification.</w:t>
      </w:r>
      <w:r>
        <w:t xml:space="preserve"> </w:t>
      </w:r>
      <w:r>
        <w:rPr>
          <w:i/>
          <w:iCs/>
        </w:rPr>
        <w:t xml:space="preserve">Int J Epidemiol</w:t>
      </w:r>
      <w:r>
        <w:t xml:space="preserve"> </w:t>
      </w:r>
      <w:r>
        <w:t xml:space="preserve">1989;18(1):269–74. doi:10.1093/ije/18.1.269. PMID 2656561</w:t>
      </w:r>
    </w:p>
    <w:p>
      <w:pPr>
        <w:pStyle w:val="Compact"/>
        <w:numPr>
          <w:ilvl w:val="0"/>
          <w:numId w:val="1018"/>
        </w:numPr>
      </w:pPr>
      <w:r>
        <w:t xml:space="preserve">Gunasekara FI, Richardson K, Carter K, Blakely T. Fixed effects analysis of repeated measures data.</w:t>
      </w:r>
      <w:r>
        <w:t xml:space="preserve"> </w:t>
      </w:r>
      <w:r>
        <w:rPr>
          <w:i/>
          <w:iCs/>
        </w:rPr>
        <w:t xml:space="preserve">Int J Epidemiol</w:t>
      </w:r>
      <w:r>
        <w:t xml:space="preserve"> </w:t>
      </w:r>
      <w:r>
        <w:t xml:space="preserve">2014;43(1):264–9. doi:10.1093/ije/dyt221. PMID 24366487</w:t>
      </w:r>
    </w:p>
    <w:p>
      <w:pPr>
        <w:pStyle w:val="Compact"/>
        <w:numPr>
          <w:ilvl w:val="0"/>
          <w:numId w:val="1018"/>
        </w:numPr>
      </w:pPr>
      <w:r>
        <w:t xml:space="preserve">Hermans S, Boulle A, Caldwell J, et al. Temporal trends in TB notification rates during ART scale-up in Cape Town: an ecological analysis.</w:t>
      </w:r>
      <w:r>
        <w:t xml:space="preserve"> </w:t>
      </w:r>
      <w:r>
        <w:rPr>
          <w:i/>
          <w:iCs/>
        </w:rPr>
        <w:t xml:space="preserve">J Int AIDS Soc</w:t>
      </w:r>
      <w:r>
        <w:t xml:space="preserve"> </w:t>
      </w:r>
      <w:r>
        <w:t xml:space="preserve">2015;18(1):20240. doi:10.7448/IAS.18.1.20240. PMID 26411694</w:t>
      </w:r>
    </w:p>
    <w:p>
      <w:pPr>
        <w:pStyle w:val="Compact"/>
        <w:numPr>
          <w:ilvl w:val="0"/>
          <w:numId w:val="1018"/>
        </w:numPr>
      </w:pPr>
      <w:r>
        <w:t xml:space="preserve">Hudson SM, Hudson C. Is GP practice bowel, breast and cervical cancer screening coverage correlated with GP practice list inflation?</w:t>
      </w:r>
      <w:r>
        <w:t xml:space="preserve"> </w:t>
      </w:r>
      <w:r>
        <w:rPr>
          <w:i/>
          <w:iCs/>
        </w:rPr>
        <w:t xml:space="preserve">J Med Screen</w:t>
      </w:r>
      <w:r>
        <w:t xml:space="preserve"> </w:t>
      </w:r>
      <w:r>
        <w:t xml:space="preserve">2026;33(1):1–8 (epub 17 June 2025). doi:10.1177/09691413251347408. PMID 40525516</w:t>
      </w:r>
    </w:p>
    <w:p>
      <w:pPr>
        <w:pStyle w:val="Compact"/>
        <w:numPr>
          <w:ilvl w:val="0"/>
          <w:numId w:val="1018"/>
        </w:numPr>
      </w:pPr>
      <w:r>
        <w:t xml:space="preserve">Jick SS, Lieberman ES, Rahman MU, Choi HK. Glucocorticoid use, other associated factors, and the risk of tuberculosis.</w:t>
      </w:r>
      <w:r>
        <w:t xml:space="preserve"> </w:t>
      </w:r>
      <w:r>
        <w:rPr>
          <w:i/>
          <w:iCs/>
        </w:rPr>
        <w:t xml:space="preserve">Arthritis Rheum</w:t>
      </w:r>
      <w:r>
        <w:t xml:space="preserve"> </w:t>
      </w:r>
      <w:r>
        <w:t xml:space="preserve">2006;55(1):19–26. doi:10.1002/art.21705. PMID 16463407</w:t>
      </w:r>
    </w:p>
    <w:p>
      <w:pPr>
        <w:pStyle w:val="Compact"/>
        <w:numPr>
          <w:ilvl w:val="0"/>
          <w:numId w:val="1018"/>
        </w:numPr>
      </w:pPr>
      <w:r>
        <w:t xml:space="preserve">Keane J, Gershon S, Wise RP, et al. Tuberculosis associated with infliximab, a tumor necrosis factor α-neutralizing agent.</w:t>
      </w:r>
      <w:r>
        <w:t xml:space="preserve"> </w:t>
      </w:r>
      <w:r>
        <w:rPr>
          <w:i/>
          <w:iCs/>
        </w:rPr>
        <w:t xml:space="preserve">N Engl J Med</w:t>
      </w:r>
      <w:r>
        <w:t xml:space="preserve"> </w:t>
      </w:r>
      <w:r>
        <w:t xml:space="preserve">2001;345(15):1098–104. doi:10.1056/NEJMoa011110. PMID 11596589</w:t>
      </w:r>
    </w:p>
    <w:p>
      <w:pPr>
        <w:pStyle w:val="Compact"/>
        <w:numPr>
          <w:ilvl w:val="0"/>
          <w:numId w:val="1018"/>
        </w:numPr>
      </w:pPr>
      <w:r>
        <w:t xml:space="preserve">Költringer FA, et al. The social determinants of national tuberculosis incidence rates in 116 countries: a longitudinal ecological study between 2005–2015.</w:t>
      </w:r>
      <w:r>
        <w:t xml:space="preserve"> </w:t>
      </w:r>
      <w:r>
        <w:rPr>
          <w:i/>
          <w:iCs/>
        </w:rPr>
        <w:t xml:space="preserve">BMC Public Health</w:t>
      </w:r>
      <w:r>
        <w:t xml:space="preserve"> </w:t>
      </w:r>
      <w:r>
        <w:t xml:space="preserve">2023;23:337. doi:10.1186/s12889-023-15213-w. PMID 36793018</w:t>
      </w:r>
    </w:p>
    <w:p>
      <w:pPr>
        <w:pStyle w:val="Compact"/>
        <w:numPr>
          <w:ilvl w:val="0"/>
          <w:numId w:val="1018"/>
        </w:numPr>
      </w:pPr>
      <w:r>
        <w:t xml:space="preserve">Li X, Sheng L, Lou L. Statin use may be associated with reduced active tuberculosis infection: a meta-analysis of observational studies.</w:t>
      </w:r>
      <w:r>
        <w:t xml:space="preserve"> </w:t>
      </w:r>
      <w:r>
        <w:rPr>
          <w:i/>
          <w:iCs/>
        </w:rPr>
        <w:t xml:space="preserve">Front Med (Lausanne)</w:t>
      </w:r>
      <w:r>
        <w:t xml:space="preserve"> </w:t>
      </w:r>
      <w:r>
        <w:t xml:space="preserve">2020;7:121. doi:10.3389/fmed.2020.00121. PMID 32391364</w:t>
      </w:r>
    </w:p>
    <w:p>
      <w:pPr>
        <w:pStyle w:val="Compact"/>
        <w:numPr>
          <w:ilvl w:val="0"/>
          <w:numId w:val="1018"/>
        </w:numPr>
      </w:pPr>
      <w:r>
        <w:t xml:space="preserve">Lipsitch M, Tchetgen Tchetgen E, Cohen T. Negative controls: a tool for detecting confounding and bias in observational studies.</w:t>
      </w:r>
      <w:r>
        <w:t xml:space="preserve"> </w:t>
      </w:r>
      <w:r>
        <w:rPr>
          <w:i/>
          <w:iCs/>
        </w:rPr>
        <w:t xml:space="preserve">Epidemiology</w:t>
      </w:r>
      <w:r>
        <w:t xml:space="preserve"> </w:t>
      </w:r>
      <w:r>
        <w:t xml:space="preserve">2010;21(3):383–8. doi:10.1097/EDE.0b013e3181d61eeb. PMID 20335814</w:t>
      </w:r>
    </w:p>
    <w:p>
      <w:pPr>
        <w:pStyle w:val="Compact"/>
        <w:numPr>
          <w:ilvl w:val="0"/>
          <w:numId w:val="1018"/>
        </w:numPr>
      </w:pPr>
      <w:r>
        <w:t xml:space="preserve">Loutet MG, Burman M, Jayasekera N, et al. National roll-out of latent tuberculosis testing and treatment for new migrants in England: a retrospective evaluation in a high-incidence area.</w:t>
      </w:r>
      <w:r>
        <w:t xml:space="preserve"> </w:t>
      </w:r>
      <w:r>
        <w:rPr>
          <w:i/>
          <w:iCs/>
        </w:rPr>
        <w:t xml:space="preserve">Eur Respir J</w:t>
      </w:r>
      <w:r>
        <w:t xml:space="preserve"> </w:t>
      </w:r>
      <w:r>
        <w:t xml:space="preserve">2018;51(1):1701226. doi:10.1183/13993003.01226-2017. PMID 29326327</w:t>
      </w:r>
    </w:p>
    <w:p>
      <w:pPr>
        <w:pStyle w:val="Compact"/>
        <w:numPr>
          <w:ilvl w:val="0"/>
          <w:numId w:val="1018"/>
        </w:numPr>
      </w:pPr>
      <w:r>
        <w:t xml:space="preserve">Morgenstern H. Ecologic studies in epidemiology: concepts, principles, and methods.</w:t>
      </w:r>
      <w:r>
        <w:t xml:space="preserve"> </w:t>
      </w:r>
      <w:r>
        <w:rPr>
          <w:i/>
          <w:iCs/>
        </w:rPr>
        <w:t xml:space="preserve">Annu Rev Public Health</w:t>
      </w:r>
      <w:r>
        <w:t xml:space="preserve"> </w:t>
      </w:r>
      <w:r>
        <w:t xml:space="preserve">1995;16:61–81. doi:10.1146/annurev.pu.16.050195.000425. PMID 7639884</w:t>
      </w:r>
    </w:p>
    <w:p>
      <w:pPr>
        <w:pStyle w:val="Compact"/>
        <w:numPr>
          <w:ilvl w:val="0"/>
          <w:numId w:val="1018"/>
        </w:numPr>
      </w:pPr>
      <w:r>
        <w:t xml:space="preserve">Morrison H, et al. Impact of COVID-19 on NHS tuberculosis services: results of a UK-wide survey.</w:t>
      </w:r>
      <w:r>
        <w:t xml:space="preserve"> </w:t>
      </w:r>
      <w:r>
        <w:rPr>
          <w:i/>
          <w:iCs/>
        </w:rPr>
        <w:t xml:space="preserve">J Infect</w:t>
      </w:r>
      <w:r>
        <w:t xml:space="preserve"> </w:t>
      </w:r>
      <w:r>
        <w:t xml:space="preserve">2023;87(1):59–61. doi:10.1016/j.jinf.2023.04.004. PMID 37044162</w:t>
      </w:r>
    </w:p>
    <w:p>
      <w:pPr>
        <w:pStyle w:val="Compact"/>
        <w:numPr>
          <w:ilvl w:val="0"/>
          <w:numId w:val="1018"/>
        </w:numPr>
      </w:pPr>
      <w:r>
        <w:t xml:space="preserve">National Institute for Health and Care Excellence. Tuberculosis. NICE guideline [NG33]. London: NICE; published 13 January 2016, last updated 16 February 2024. https://www.nice.org.uk/guidance/ng33 [dates confirmed from search results only; nice.org.uk returned HTTP 403 to automated access. The wording of the LTBI testing recommendation still needs checking by hand against the current text.]</w:t>
      </w:r>
    </w:p>
    <w:p>
      <w:pPr>
        <w:pStyle w:val="Compact"/>
        <w:numPr>
          <w:ilvl w:val="0"/>
          <w:numId w:val="1018"/>
        </w:numPr>
      </w:pPr>
      <w:r>
        <w:t xml:space="preserve">OpenPrescribing.net, Bennett Institute for Applied Data Science, University of Oxford. Frequently asked questions. 2026. https://openprescribing.net/faq/ [accessed date to be added; the FAQ asks academic users to cite</w:t>
      </w:r>
      <w:r>
        <w:t xml:space="preserve"> </w:t>
      </w:r>
      <w:r>
        <w:t xml:space="preserve">“</w:t>
      </w:r>
      <w:r>
        <w:t xml:space="preserve">OpenPrescribing.net, Bennett Institute for Applied Data Science, University of Oxford, 2026</w:t>
      </w:r>
      <w:r>
        <w:t xml:space="preserve">”</w:t>
      </w:r>
      <w:r>
        <w:t xml:space="preserve">, confirmed via search results because a direct fetch failed]</w:t>
      </w:r>
    </w:p>
    <w:p>
      <w:pPr>
        <w:pStyle w:val="Compact"/>
        <w:numPr>
          <w:ilvl w:val="0"/>
          <w:numId w:val="1018"/>
        </w:numPr>
      </w:pPr>
      <w:r>
        <w:t xml:space="preserve">Pealing L, Wing K, Mathur R, et al. Risk of tuberculosis in patients with diabetes: population based cohort study using the UK Clinical Practice Research Datalink.</w:t>
      </w:r>
      <w:r>
        <w:t xml:space="preserve"> </w:t>
      </w:r>
      <w:r>
        <w:rPr>
          <w:i/>
          <w:iCs/>
        </w:rPr>
        <w:t xml:space="preserve">BMC Med</w:t>
      </w:r>
      <w:r>
        <w:t xml:space="preserve"> </w:t>
      </w:r>
      <w:r>
        <w:t xml:space="preserve">2015;13:135. doi:10.1186/s12916-015-0381-9. PMID 26048371</w:t>
      </w:r>
    </w:p>
    <w:p>
      <w:pPr>
        <w:pStyle w:val="Compact"/>
        <w:numPr>
          <w:ilvl w:val="0"/>
          <w:numId w:val="1018"/>
        </w:numPr>
      </w:pPr>
      <w:r>
        <w:t xml:space="preserve">Prasad V, Jena AB. Prespecified falsification end points: can they validate true observational associations?</w:t>
      </w:r>
      <w:r>
        <w:t xml:space="preserve"> </w:t>
      </w:r>
      <w:r>
        <w:rPr>
          <w:i/>
          <w:iCs/>
        </w:rPr>
        <w:t xml:space="preserve">JAMA</w:t>
      </w:r>
      <w:r>
        <w:t xml:space="preserve"> </w:t>
      </w:r>
      <w:r>
        <w:t xml:space="preserve">2013;309(3):241–2. doi:10.1001/jama.2012.96867. PMID 23321761</w:t>
      </w:r>
    </w:p>
    <w:p>
      <w:pPr>
        <w:pStyle w:val="Compact"/>
        <w:numPr>
          <w:ilvl w:val="0"/>
          <w:numId w:val="1018"/>
        </w:numPr>
      </w:pPr>
      <w:r>
        <w:t xml:space="preserve">RECOVERY Collaborative Group; Horby P, Lim WS, Emberson JR, et al. Dexamethasone in hospitalized patients with Covid-19.</w:t>
      </w:r>
      <w:r>
        <w:t xml:space="preserve"> </w:t>
      </w:r>
      <w:r>
        <w:rPr>
          <w:i/>
          <w:iCs/>
        </w:rPr>
        <w:t xml:space="preserve">N Engl J Med</w:t>
      </w:r>
      <w:r>
        <w:t xml:space="preserve"> </w:t>
      </w:r>
      <w:r>
        <w:t xml:space="preserve">2021;384(8):693–704. doi:10.1056/NEJMoa2021436. PMID 32678530</w:t>
      </w:r>
    </w:p>
    <w:p>
      <w:pPr>
        <w:pStyle w:val="Compact"/>
        <w:numPr>
          <w:ilvl w:val="0"/>
          <w:numId w:val="1018"/>
        </w:numPr>
      </w:pPr>
      <w:r>
        <w:t xml:space="preserve">Richards TC, et al. Using OpenPrescribing.net to evaluate neighbourhood-level prescribing of inhalers for asthma and COPD.</w:t>
      </w:r>
      <w:r>
        <w:t xml:space="preserve"> </w:t>
      </w:r>
      <w:r>
        <w:rPr>
          <w:i/>
          <w:iCs/>
        </w:rPr>
        <w:t xml:space="preserve">Sci Rep</w:t>
      </w:r>
      <w:r>
        <w:t xml:space="preserve"> </w:t>
      </w:r>
      <w:r>
        <w:t xml:space="preserve">2025;15:18089. doi:10.1038/s41598-025-02969-x. PMID 40413267</w:t>
      </w:r>
    </w:p>
    <w:p>
      <w:pPr>
        <w:pStyle w:val="Compact"/>
        <w:numPr>
          <w:ilvl w:val="0"/>
          <w:numId w:val="1018"/>
        </w:numPr>
      </w:pPr>
      <w:r>
        <w:t xml:space="preserve">Santos Silva JMC, Tenreyro S. The log of gravity.</w:t>
      </w:r>
      <w:r>
        <w:t xml:space="preserve"> </w:t>
      </w:r>
      <w:r>
        <w:rPr>
          <w:i/>
          <w:iCs/>
        </w:rPr>
        <w:t xml:space="preserve">Rev Econ Stat</w:t>
      </w:r>
      <w:r>
        <w:t xml:space="preserve"> </w:t>
      </w:r>
      <w:r>
        <w:t xml:space="preserve">2006;88(4):641–58. doi:10.1162/rest.88.4.641 (not indexed in PubMed)</w:t>
      </w:r>
    </w:p>
    <w:p>
      <w:pPr>
        <w:pStyle w:val="Compact"/>
        <w:numPr>
          <w:ilvl w:val="0"/>
          <w:numId w:val="1018"/>
        </w:numPr>
      </w:pPr>
      <w:r>
        <w:t xml:space="preserve">Sheppard L, Prentice RL, Rossing MA. Design considerations for estimation of exposure effects on disease risk, using aggregate data studies.</w:t>
      </w:r>
      <w:r>
        <w:t xml:space="preserve"> </w:t>
      </w:r>
      <w:r>
        <w:rPr>
          <w:i/>
          <w:iCs/>
        </w:rPr>
        <w:t xml:space="preserve">Stat Med</w:t>
      </w:r>
      <w:r>
        <w:t xml:space="preserve"> </w:t>
      </w:r>
      <w:r>
        <w:t xml:space="preserve">1996;15(17-18):1849–58. doi:10.1002/(SICI)1097-0258(19960915)15:17&lt;1849::AID-SIM396&gt;3.0.CO;2-4. PMID 8888477</w:t>
      </w:r>
    </w:p>
    <w:p>
      <w:pPr>
        <w:pStyle w:val="Compact"/>
        <w:numPr>
          <w:ilvl w:val="0"/>
          <w:numId w:val="1018"/>
        </w:numPr>
      </w:pPr>
      <w:r>
        <w:t xml:space="preserve">Song HJ, Park H, Park S, Kwon JW. The association between proton pump inhibitor use and the risk of tuberculosis: a case-control study.</w:t>
      </w:r>
      <w:r>
        <w:t xml:space="preserve"> </w:t>
      </w:r>
      <w:r>
        <w:rPr>
          <w:i/>
          <w:iCs/>
        </w:rPr>
        <w:t xml:space="preserve">Pharmacoepidemiol Drug Saf</w:t>
      </w:r>
      <w:r>
        <w:t xml:space="preserve"> </w:t>
      </w:r>
      <w:r>
        <w:t xml:space="preserve">2019;28(6):830–9. doi:10.1002/pds.4773. PMID 30920070</w:t>
      </w:r>
    </w:p>
    <w:p>
      <w:pPr>
        <w:pStyle w:val="Compact"/>
        <w:numPr>
          <w:ilvl w:val="0"/>
          <w:numId w:val="1018"/>
        </w:numPr>
      </w:pPr>
      <w:r>
        <w:t xml:space="preserve">Thomas HL, Harris RJ, Muzyamba MC, et al. Reduction in tuberculosis incidence in the UK from 2011 to 2015: a population-based study.</w:t>
      </w:r>
      <w:r>
        <w:t xml:space="preserve"> </w:t>
      </w:r>
      <w:r>
        <w:rPr>
          <w:i/>
          <w:iCs/>
        </w:rPr>
        <w:t xml:space="preserve">Thorax</w:t>
      </w:r>
      <w:r>
        <w:t xml:space="preserve"> </w:t>
      </w:r>
      <w:r>
        <w:t xml:space="preserve">2018;73(8):769–75. doi:10.1136/thoraxjnl-2017-211074. PMID 29674389</w:t>
      </w:r>
    </w:p>
    <w:p>
      <w:pPr>
        <w:pStyle w:val="Compact"/>
        <w:numPr>
          <w:ilvl w:val="0"/>
          <w:numId w:val="1018"/>
        </w:numPr>
      </w:pPr>
      <w:r>
        <w:t xml:space="preserve">Thwaites GE, Nguyen DB, Nguyen HD, et al. Dexamethasone for the treatment of tuberculous meningitis in adolescents and adults.</w:t>
      </w:r>
      <w:r>
        <w:t xml:space="preserve"> </w:t>
      </w:r>
      <w:r>
        <w:rPr>
          <w:i/>
          <w:iCs/>
        </w:rPr>
        <w:t xml:space="preserve">N Engl J Med</w:t>
      </w:r>
      <w:r>
        <w:t xml:space="preserve"> </w:t>
      </w:r>
      <w:r>
        <w:t xml:space="preserve">2004;351(17):1741–51. doi:10.1056/NEJMoa040573. PMID 15496623</w:t>
      </w:r>
    </w:p>
    <w:p>
      <w:pPr>
        <w:pStyle w:val="Compact"/>
        <w:numPr>
          <w:ilvl w:val="0"/>
          <w:numId w:val="1018"/>
        </w:numPr>
      </w:pPr>
      <w:r>
        <w:t xml:space="preserve">UK Health Security Agency. Tuberculosis in England: 2021 report (presenting data to end of 2020). London: UKHSA; 2021 (added to GOV.UK 28 October 2021; corrected PDF 30 March 2022). https://assets.publishing.service.gov.uk/media/62441310e90e075f124018e8/TB_annual-report-2021.pdf [The PDF reports</w:t>
      </w:r>
      <w:r>
        <w:t xml:space="preserve"> </w:t>
      </w:r>
      <w:r>
        <w:t xml:space="preserve">“</w:t>
      </w:r>
      <w:r>
        <w:t xml:space="preserve">In 2020, 4,125 people were notified with TB in England, with a rate of 7.3 per 100,000 population</w:t>
      </w:r>
      <w:r>
        <w:t xml:space="preserve">”</w:t>
      </w:r>
      <w:r>
        <w:t xml:space="preserve">. Its suggested citation is</w:t>
      </w:r>
      <w:r>
        <w:t xml:space="preserve"> </w:t>
      </w:r>
      <w:r>
        <w:t xml:space="preserve">“</w:t>
      </w:r>
      <w:r>
        <w:t xml:space="preserve">UK Health Security Agency. (2021) Tuberculosis in England: 2020. UK Health Security Agency, London.</w:t>
      </w:r>
      <w:r>
        <w:t xml:space="preserve">”</w:t>
      </w:r>
      <w:r>
        <w:t xml:space="preserve">]</w:t>
      </w:r>
    </w:p>
    <w:p>
      <w:pPr>
        <w:pStyle w:val="Compact"/>
        <w:numPr>
          <w:ilvl w:val="0"/>
          <w:numId w:val="1018"/>
        </w:numPr>
      </w:pPr>
      <w:r>
        <w:t xml:space="preserve">UK Health Security Agency. Tuberculosis in England: 2025 report (data up to end of 2024), chapter 1 and supplementary tables 5, 12 and 22; and TB regional reports 2024, supplementary data. London: UKHSA; first published 8 October 2025 (GOV.UK change history; the content API timestamp reads 9 October 2025 BST), last updated 15 July 2026. https://www.gov.uk/government/publications/tuberculosis-in-england-2025-report [the GOV.UK page title reads</w:t>
      </w:r>
      <w:r>
        <w:t xml:space="preserve"> </w:t>
      </w:r>
      <w:r>
        <w:t xml:space="preserve">“</w:t>
      </w:r>
      <w:r>
        <w:t xml:space="preserve">Tuberculosis in England, 2025 report</w:t>
      </w:r>
      <w:r>
        <w:t xml:space="preserve">”</w:t>
      </w:r>
      <w:r>
        <w:t xml:space="preserve">. The specific supplementary table numbers and the regional reports publication were not individually checked.]</w:t>
      </w:r>
    </w:p>
    <w:p>
      <w:pPr>
        <w:pStyle w:val="Compact"/>
        <w:numPr>
          <w:ilvl w:val="0"/>
          <w:numId w:val="1018"/>
        </w:numPr>
      </w:pPr>
      <w:r>
        <w:t xml:space="preserve">UK Health Security Agency. Tuberculosis notifications in England stabilise in 2025. News story, 29 January 2026. https://www.gov.uk/government/news/tuberculosis-notifications-in-england-stabilise-in-2025 [confirmed:</w:t>
      </w:r>
      <w:r>
        <w:t xml:space="preserve"> </w:t>
      </w:r>
      <w:r>
        <w:t xml:space="preserve">“</w:t>
      </w:r>
      <w:r>
        <w:t xml:space="preserve">5,424 people notified compared to 5,487 in 2024 – a decrease of 1.1%</w:t>
      </w:r>
      <w:r>
        <w:t xml:space="preserve">”</w:t>
      </w:r>
      <w:r>
        <w:t xml:space="preserve">; rate 9.4 per 100,000]</w:t>
      </w:r>
    </w:p>
    <w:p>
      <w:pPr>
        <w:pStyle w:val="Compact"/>
        <w:numPr>
          <w:ilvl w:val="0"/>
          <w:numId w:val="1018"/>
        </w:numPr>
      </w:pPr>
      <w:r>
        <w:t xml:space="preserve">van Staa TP, Leufkens HG, Abenhaim L, et al. Use of oral corticosteroids in the United Kingdom.</w:t>
      </w:r>
      <w:r>
        <w:t xml:space="preserve"> </w:t>
      </w:r>
      <w:r>
        <w:rPr>
          <w:i/>
          <w:iCs/>
        </w:rPr>
        <w:t xml:space="preserve">QJM</w:t>
      </w:r>
      <w:r>
        <w:t xml:space="preserve"> </w:t>
      </w:r>
      <w:r>
        <w:t xml:space="preserve">2000;93(2):105–11. doi:10.1093/qjmed/93.2.105. PMID 10700481</w:t>
      </w:r>
    </w:p>
    <w:p>
      <w:pPr>
        <w:pStyle w:val="Compact"/>
        <w:numPr>
          <w:ilvl w:val="0"/>
          <w:numId w:val="1018"/>
        </w:numPr>
      </w:pPr>
      <w:r>
        <w:t xml:space="preserve">Venkatesan S, et al. Correcting for the inflated adult population denominator in an English nationwide health care cohort: database analysis study.</w:t>
      </w:r>
      <w:r>
        <w:t xml:space="preserve"> </w:t>
      </w:r>
      <w:r>
        <w:rPr>
          <w:i/>
          <w:iCs/>
        </w:rPr>
        <w:t xml:space="preserve">JMIR Public Health Surveill</w:t>
      </w:r>
      <w:r>
        <w:t xml:space="preserve"> </w:t>
      </w:r>
      <w:r>
        <w:t xml:space="preserve">2025;11:e64788. doi:10.2196/64788. PMID 41144579</w:t>
      </w:r>
    </w:p>
    <w:p>
      <w:pPr>
        <w:pStyle w:val="Compact"/>
        <w:numPr>
          <w:ilvl w:val="0"/>
          <w:numId w:val="1018"/>
        </w:numPr>
      </w:pPr>
      <w:r>
        <w:t xml:space="preserve">Zhang M, He JQ. Impacts of metformin on tuberculosis incidence and clinical outcomes in patients with diabetes: a systematic review and meta-analysis.</w:t>
      </w:r>
      <w:r>
        <w:t xml:space="preserve"> </w:t>
      </w:r>
      <w:r>
        <w:rPr>
          <w:i/>
          <w:iCs/>
        </w:rPr>
        <w:t xml:space="preserve">Eur J Clin Pharmacol</w:t>
      </w:r>
      <w:r>
        <w:t xml:space="preserve"> </w:t>
      </w:r>
      <w:r>
        <w:t xml:space="preserve">2020;76(2):149–59. doi:10.1007/s00228-019-02786-y. PMID 31786617</w:t>
      </w:r>
    </w:p>
    <w:bookmarkEnd w:id="64"/>
    <w:bookmarkStart w:id="65" w:name="supplementary-tables"/>
    <w:p>
      <w:pPr>
        <w:pStyle w:val="Heading2"/>
      </w:pPr>
      <w:r>
        <w:t xml:space="preserve">Supplementary tables</w:t>
      </w:r>
    </w:p>
    <w:p>
      <w:pPr>
        <w:pStyle w:val="FirstParagraph"/>
      </w:pPr>
      <w:r>
        <w:rPr>
          <w:b/>
          <w:bCs/>
        </w:rPr>
        <w:t xml:space="preserve">Table S1. Sensitivity analyses, LTLA panel (residence apportionment): IRR per 10% increase (95% CI)</w:t>
      </w:r>
    </w:p>
    <w:tbl>
      <w:tblPr>
        <w:tblStyle w:val="Table"/>
        <w:tblW w:type="pct" w:w="5000"/>
        <w:jc w:val="left"/>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Drug group</w:t>
            </w:r>
          </w:p>
        </w:tc>
        <w:tc>
          <w:tcPr/>
          <w:p>
            <w:pPr>
              <w:pStyle w:val="Compact"/>
              <w:jc w:val="right"/>
            </w:pPr>
            <w:r>
              <w:t xml:space="preserve">primary (t-1)</w:t>
            </w:r>
          </w:p>
        </w:tc>
        <w:tc>
          <w:tcPr/>
          <w:p>
            <w:pPr>
              <w:pStyle w:val="Compact"/>
              <w:jc w:val="right"/>
            </w:pPr>
            <w:r>
              <w:t xml:space="preserve">FE only (t-1)</w:t>
            </w:r>
          </w:p>
        </w:tc>
        <w:tc>
          <w:tcPr/>
          <w:p>
            <w:pPr>
              <w:pStyle w:val="Compact"/>
              <w:jc w:val="right"/>
            </w:pPr>
            <w:r>
              <w:t xml:space="preserve">prior 3 years (t-3..t-1)</w:t>
            </w:r>
          </w:p>
        </w:tc>
        <w:tc>
          <w:tcPr/>
          <w:p>
            <w:pPr>
              <w:pStyle w:val="Compact"/>
              <w:jc w:val="right"/>
            </w:pPr>
            <w:r>
              <w:t xml:space="preserve">+ area trends (t-1)</w:t>
            </w:r>
          </w:p>
        </w:tc>
        <w:tc>
          <w:tcPr/>
          <w:p>
            <w:pPr>
              <w:pStyle w:val="Compact"/>
              <w:jc w:val="right"/>
            </w:pPr>
            <w:r>
              <w:t xml:space="preserve">population covariate (t-1)</w:t>
            </w:r>
          </w:p>
        </w:tc>
        <w:tc>
          <w:tcPr/>
          <w:p>
            <w:pPr>
              <w:pStyle w:val="Compact"/>
              <w:jc w:val="right"/>
            </w:pPr>
            <w:r>
              <w:t xml:space="preserve">+ LTBI programme (t-1)</w:t>
            </w:r>
          </w:p>
        </w:tc>
        <w:tc>
          <w:tcPr/>
          <w:p>
            <w:pPr>
              <w:pStyle w:val="Compact"/>
              <w:jc w:val="right"/>
            </w:pPr>
            <w:r>
              <w:t xml:space="preserve">+ asylum support (t-1)</w:t>
            </w:r>
          </w:p>
        </w:tc>
        <w:tc>
          <w:tcPr/>
          <w:p>
            <w:pPr>
              <w:pStyle w:val="Compact"/>
              <w:jc w:val="right"/>
            </w:pPr>
            <w:r>
              <w:t xml:space="preserve">exclude COVID years (t-1)</w:t>
            </w:r>
          </w:p>
        </w:tc>
        <w:tc>
          <w:tcPr/>
          <w:p>
            <w:pPr>
              <w:pStyle w:val="Compact"/>
              <w:jc w:val="right"/>
            </w:pPr>
            <w:r>
              <w:t xml:space="preserve">outcome years 2018-2024 (t-1)</w:t>
            </w:r>
          </w:p>
        </w:tc>
        <w:tc>
          <w:tcPr/>
          <w:p>
            <w:pPr>
              <w:pStyle w:val="Compact"/>
              <w:jc w:val="right"/>
            </w:pPr>
            <w:r>
              <w:t xml:space="preserve">EPD exposure only (t-1)</w:t>
            </w:r>
          </w:p>
        </w:tc>
        <w:tc>
          <w:tcPr/>
          <w:p>
            <w:pPr>
              <w:pStyle w:val="Compact"/>
              <w:jc w:val="right"/>
            </w:pPr>
            <w:r>
              <w:t xml:space="preserve">ADQ measure (t-1)</w:t>
            </w:r>
          </w:p>
        </w:tc>
      </w:tr>
      <w:tr>
        <w:tc>
          <w:tcPr/>
          <w:p>
            <w:pPr>
              <w:pStyle w:val="Compact"/>
              <w:jc w:val="left"/>
            </w:pPr>
            <w:r>
              <w:t xml:space="preserve">Antituberculosis (descriptive)</w:t>
            </w:r>
          </w:p>
        </w:tc>
        <w:tc>
          <w:tcPr/>
          <w:p>
            <w:pPr>
              <w:pStyle w:val="Compact"/>
              <w:jc w:val="right"/>
            </w:pPr>
            <w:r>
              <w:t xml:space="preserve">1.000 (0.997–1.003)</w:t>
            </w:r>
          </w:p>
        </w:tc>
        <w:tc>
          <w:tcPr/>
          <w:p>
            <w:pPr>
              <w:pStyle w:val="Compact"/>
              <w:jc w:val="right"/>
            </w:pPr>
            <w:r>
              <w:t xml:space="preserve">1.001 (0.998–1.005)</w:t>
            </w:r>
          </w:p>
        </w:tc>
        <w:tc>
          <w:tcPr/>
          <w:p>
            <w:pPr>
              <w:pStyle w:val="Compact"/>
              <w:jc w:val="right"/>
            </w:pPr>
            <w:r>
              <w:t xml:space="preserve">1.001 (0.997–1.006)</w:t>
            </w:r>
          </w:p>
        </w:tc>
        <w:tc>
          <w:tcPr/>
          <w:p>
            <w:pPr>
              <w:pStyle w:val="Compact"/>
              <w:jc w:val="right"/>
            </w:pPr>
            <w:r>
              <w:t xml:space="preserve">0.999 (0.996–1.003)</w:t>
            </w:r>
          </w:p>
        </w:tc>
        <w:tc>
          <w:tcPr/>
          <w:p>
            <w:pPr>
              <w:pStyle w:val="Compact"/>
              <w:jc w:val="right"/>
            </w:pPr>
            <w:r>
              <w:t xml:space="preserve">1.000 (0.997–1.004)</w:t>
            </w:r>
          </w:p>
        </w:tc>
        <w:tc>
          <w:tcPr/>
          <w:p>
            <w:pPr>
              <w:pStyle w:val="Compact"/>
              <w:jc w:val="right"/>
            </w:pPr>
            <w:r>
              <w:t xml:space="preserve">1.000 (0.997–1.003)</w:t>
            </w:r>
          </w:p>
        </w:tc>
        <w:tc>
          <w:tcPr/>
          <w:p>
            <w:pPr>
              <w:pStyle w:val="Compact"/>
              <w:jc w:val="right"/>
            </w:pPr>
            <w:r>
              <w:t xml:space="preserve">1.001 (0.997–1.004)</w:t>
            </w:r>
          </w:p>
        </w:tc>
        <w:tc>
          <w:tcPr/>
          <w:p>
            <w:pPr>
              <w:pStyle w:val="Compact"/>
              <w:jc w:val="right"/>
            </w:pPr>
            <w:r>
              <w:t xml:space="preserve">1.000 (0.996–1.004)</w:t>
            </w:r>
          </w:p>
        </w:tc>
        <w:tc>
          <w:tcPr/>
          <w:p>
            <w:pPr>
              <w:pStyle w:val="Compact"/>
              <w:jc w:val="right"/>
            </w:pPr>
            <w:r>
              <w:t xml:space="preserve">1.001 (0.998–1.005)</w:t>
            </w:r>
          </w:p>
        </w:tc>
        <w:tc>
          <w:tcPr/>
          <w:p>
            <w:pPr>
              <w:pStyle w:val="Compact"/>
              <w:jc w:val="right"/>
            </w:pPr>
            <w:r>
              <w:t xml:space="preserve">1.001 (0.997–1.004)</w:t>
            </w:r>
          </w:p>
        </w:tc>
        <w:tc>
          <w:tcPr/>
          <w:p>
            <w:pPr>
              <w:pStyle w:val="Compact"/>
              <w:jc w:val="right"/>
            </w:pPr>
            <w:r>
              <w:t xml:space="preserve">—</w:t>
            </w:r>
          </w:p>
        </w:tc>
      </w:tr>
      <w:tr>
        <w:tc>
          <w:tcPr/>
          <w:p>
            <w:pPr>
              <w:pStyle w:val="Compact"/>
              <w:jc w:val="left"/>
            </w:pPr>
            <w:r>
              <w:t xml:space="preserve">Systemic oral glucocorticoids</w:t>
            </w:r>
          </w:p>
        </w:tc>
        <w:tc>
          <w:tcPr/>
          <w:p>
            <w:pPr>
              <w:pStyle w:val="Compact"/>
              <w:jc w:val="right"/>
            </w:pPr>
            <w:r>
              <w:t xml:space="preserve">0.969 (0.929–1.012)</w:t>
            </w:r>
          </w:p>
        </w:tc>
        <w:tc>
          <w:tcPr/>
          <w:p>
            <w:pPr>
              <w:pStyle w:val="Compact"/>
              <w:jc w:val="right"/>
            </w:pPr>
            <w:r>
              <w:t xml:space="preserve">0.964 (0.917–1.014)</w:t>
            </w:r>
          </w:p>
        </w:tc>
        <w:tc>
          <w:tcPr/>
          <w:p>
            <w:pPr>
              <w:pStyle w:val="Compact"/>
              <w:jc w:val="right"/>
            </w:pPr>
            <w:r>
              <w:t xml:space="preserve">0.976 (0.930–1.025)</w:t>
            </w:r>
          </w:p>
        </w:tc>
        <w:tc>
          <w:tcPr/>
          <w:p>
            <w:pPr>
              <w:pStyle w:val="Compact"/>
              <w:jc w:val="right"/>
            </w:pPr>
            <w:r>
              <w:t xml:space="preserve">0.985 (0.932–1.042)</w:t>
            </w:r>
          </w:p>
        </w:tc>
        <w:tc>
          <w:tcPr/>
          <w:p>
            <w:pPr>
              <w:pStyle w:val="Compact"/>
              <w:jc w:val="right"/>
            </w:pPr>
            <w:r>
              <w:t xml:space="preserve">0.972 (0.931–1.014)</w:t>
            </w:r>
          </w:p>
        </w:tc>
        <w:tc>
          <w:tcPr/>
          <w:p>
            <w:pPr>
              <w:pStyle w:val="Compact"/>
              <w:jc w:val="right"/>
            </w:pPr>
            <w:r>
              <w:t xml:space="preserve">0.971 (0.929–1.015)</w:t>
            </w:r>
          </w:p>
        </w:tc>
        <w:tc>
          <w:tcPr/>
          <w:p>
            <w:pPr>
              <w:pStyle w:val="Compact"/>
              <w:jc w:val="right"/>
            </w:pPr>
            <w:r>
              <w:t xml:space="preserve">0.982 (0.938–1.028)</w:t>
            </w:r>
          </w:p>
        </w:tc>
        <w:tc>
          <w:tcPr/>
          <w:p>
            <w:pPr>
              <w:pStyle w:val="Compact"/>
              <w:jc w:val="right"/>
            </w:pPr>
            <w:r>
              <w:t xml:space="preserve">0.974 (0.932–1.018)</w:t>
            </w:r>
          </w:p>
        </w:tc>
        <w:tc>
          <w:tcPr/>
          <w:p>
            <w:pPr>
              <w:pStyle w:val="Compact"/>
              <w:jc w:val="right"/>
            </w:pPr>
            <w:r>
              <w:t xml:space="preserve">0.983 (0.941–1.028)</w:t>
            </w:r>
          </w:p>
        </w:tc>
        <w:tc>
          <w:tcPr/>
          <w:p>
            <w:pPr>
              <w:pStyle w:val="Compact"/>
              <w:jc w:val="right"/>
            </w:pPr>
            <w:r>
              <w:t xml:space="preserve">0.979 (0.939–1.021)</w:t>
            </w:r>
          </w:p>
        </w:tc>
        <w:tc>
          <w:tcPr/>
          <w:p>
            <w:pPr>
              <w:pStyle w:val="Compact"/>
              <w:jc w:val="right"/>
            </w:pPr>
            <w:r>
              <w:t xml:space="preserve">—</w:t>
            </w:r>
          </w:p>
        </w:tc>
      </w:tr>
      <w:tr>
        <w:tc>
          <w:tcPr/>
          <w:p>
            <w:pPr>
              <w:pStyle w:val="Compact"/>
              <w:jc w:val="left"/>
            </w:pPr>
            <w:r>
              <w:t xml:space="preserve">Oral hydrocortisone</w:t>
            </w:r>
          </w:p>
        </w:tc>
        <w:tc>
          <w:tcPr/>
          <w:p>
            <w:pPr>
              <w:pStyle w:val="Compact"/>
              <w:jc w:val="right"/>
            </w:pPr>
            <w:r>
              <w:t xml:space="preserve">0.998 (0.985–1.011)</w:t>
            </w:r>
          </w:p>
        </w:tc>
        <w:tc>
          <w:tcPr/>
          <w:p>
            <w:pPr>
              <w:pStyle w:val="Compact"/>
              <w:jc w:val="right"/>
            </w:pPr>
            <w:r>
              <w:t xml:space="preserve">0.995 (0.980–1.010)</w:t>
            </w:r>
          </w:p>
        </w:tc>
        <w:tc>
          <w:tcPr/>
          <w:p>
            <w:pPr>
              <w:pStyle w:val="Compact"/>
              <w:jc w:val="right"/>
            </w:pPr>
            <w:r>
              <w:t xml:space="preserve">0.995 (0.979–1.012)</w:t>
            </w:r>
          </w:p>
        </w:tc>
        <w:tc>
          <w:tcPr/>
          <w:p>
            <w:pPr>
              <w:pStyle w:val="Compact"/>
              <w:jc w:val="right"/>
            </w:pPr>
            <w:r>
              <w:t xml:space="preserve">0.999 (0.982–1.017)</w:t>
            </w:r>
          </w:p>
        </w:tc>
        <w:tc>
          <w:tcPr/>
          <w:p>
            <w:pPr>
              <w:pStyle w:val="Compact"/>
              <w:jc w:val="right"/>
            </w:pPr>
            <w:r>
              <w:t xml:space="preserve">1.000 (0.987–1.012)</w:t>
            </w:r>
          </w:p>
        </w:tc>
        <w:tc>
          <w:tcPr/>
          <w:p>
            <w:pPr>
              <w:pStyle w:val="Compact"/>
              <w:jc w:val="right"/>
            </w:pPr>
            <w:r>
              <w:t xml:space="preserve">0.998 (0.986–1.011)</w:t>
            </w:r>
          </w:p>
        </w:tc>
        <w:tc>
          <w:tcPr/>
          <w:p>
            <w:pPr>
              <w:pStyle w:val="Compact"/>
              <w:jc w:val="right"/>
            </w:pPr>
            <w:r>
              <w:t xml:space="preserve">0.992 (0.979–1.006)</w:t>
            </w:r>
          </w:p>
        </w:tc>
        <w:tc>
          <w:tcPr/>
          <w:p>
            <w:pPr>
              <w:pStyle w:val="Compact"/>
              <w:jc w:val="right"/>
            </w:pPr>
            <w:r>
              <w:t xml:space="preserve">0.997 (0.982–1.012)</w:t>
            </w:r>
          </w:p>
        </w:tc>
        <w:tc>
          <w:tcPr/>
          <w:p>
            <w:pPr>
              <w:pStyle w:val="Compact"/>
              <w:jc w:val="right"/>
            </w:pPr>
            <w:r>
              <w:t xml:space="preserve">0.994 (0.978–1.011)</w:t>
            </w:r>
          </w:p>
        </w:tc>
        <w:tc>
          <w:tcPr/>
          <w:p>
            <w:pPr>
              <w:pStyle w:val="Compact"/>
              <w:jc w:val="right"/>
            </w:pPr>
            <w:r>
              <w:t xml:space="preserve">0.994 (0.982–1.006)</w:t>
            </w:r>
          </w:p>
        </w:tc>
        <w:tc>
          <w:tcPr/>
          <w:p>
            <w:pPr>
              <w:pStyle w:val="Compact"/>
              <w:jc w:val="right"/>
            </w:pPr>
            <w:r>
              <w:t xml:space="preserve">—</w:t>
            </w:r>
          </w:p>
        </w:tc>
      </w:tr>
      <w:tr>
        <w:tc>
          <w:tcPr/>
          <w:p>
            <w:pPr>
              <w:pStyle w:val="Compact"/>
              <w:jc w:val="left"/>
            </w:pPr>
            <w:r>
              <w:t xml:space="preserve">Oral dexamethasone</w:t>
            </w:r>
          </w:p>
        </w:tc>
        <w:tc>
          <w:tcPr/>
          <w:p>
            <w:pPr>
              <w:pStyle w:val="Compact"/>
              <w:jc w:val="right"/>
            </w:pPr>
            <w:r>
              <w:t xml:space="preserve">1.003 (0.992–1.014)</w:t>
            </w:r>
          </w:p>
        </w:tc>
        <w:tc>
          <w:tcPr/>
          <w:p>
            <w:pPr>
              <w:pStyle w:val="Compact"/>
              <w:jc w:val="right"/>
            </w:pPr>
            <w:r>
              <w:t xml:space="preserve">1.005 (0.993–1.018)</w:t>
            </w:r>
          </w:p>
        </w:tc>
        <w:tc>
          <w:tcPr/>
          <w:p>
            <w:pPr>
              <w:pStyle w:val="Compact"/>
              <w:jc w:val="right"/>
            </w:pPr>
            <w:r>
              <w:t xml:space="preserve">1.007 (0.992–1.022)</w:t>
            </w:r>
          </w:p>
        </w:tc>
        <w:tc>
          <w:tcPr/>
          <w:p>
            <w:pPr>
              <w:pStyle w:val="Compact"/>
              <w:jc w:val="right"/>
            </w:pPr>
            <w:r>
              <w:t xml:space="preserve">0.995 (0.985–1.005)</w:t>
            </w:r>
          </w:p>
        </w:tc>
        <w:tc>
          <w:tcPr/>
          <w:p>
            <w:pPr>
              <w:pStyle w:val="Compact"/>
              <w:jc w:val="right"/>
            </w:pPr>
            <w:r>
              <w:t xml:space="preserve">1.003 (0.992–1.014)</w:t>
            </w:r>
          </w:p>
        </w:tc>
        <w:tc>
          <w:tcPr/>
          <w:p>
            <w:pPr>
              <w:pStyle w:val="Compact"/>
              <w:jc w:val="right"/>
            </w:pPr>
            <w:r>
              <w:t xml:space="preserve">1.003 (0.993–1.014)</w:t>
            </w:r>
          </w:p>
        </w:tc>
        <w:tc>
          <w:tcPr/>
          <w:p>
            <w:pPr>
              <w:pStyle w:val="Compact"/>
              <w:jc w:val="right"/>
            </w:pPr>
            <w:r>
              <w:t xml:space="preserve">1.002 (0.991–1.014)</w:t>
            </w:r>
          </w:p>
        </w:tc>
        <w:tc>
          <w:tcPr/>
          <w:p>
            <w:pPr>
              <w:pStyle w:val="Compact"/>
              <w:jc w:val="right"/>
            </w:pPr>
            <w:r>
              <w:t xml:space="preserve">1.007 (0.996–1.018)</w:t>
            </w:r>
          </w:p>
        </w:tc>
        <w:tc>
          <w:tcPr/>
          <w:p>
            <w:pPr>
              <w:pStyle w:val="Compact"/>
              <w:jc w:val="right"/>
            </w:pPr>
            <w:r>
              <w:t xml:space="preserve">0.998 (0.986–1.010)</w:t>
            </w:r>
          </w:p>
        </w:tc>
        <w:tc>
          <w:tcPr/>
          <w:p>
            <w:pPr>
              <w:pStyle w:val="Compact"/>
              <w:jc w:val="right"/>
            </w:pPr>
            <w:r>
              <w:t xml:space="preserve">1.003 (0.992–1.013)</w:t>
            </w:r>
          </w:p>
        </w:tc>
        <w:tc>
          <w:tcPr/>
          <w:p>
            <w:pPr>
              <w:pStyle w:val="Compact"/>
              <w:jc w:val="right"/>
            </w:pPr>
            <w:r>
              <w:t xml:space="preserve">—</w:t>
            </w:r>
          </w:p>
        </w:tc>
      </w:tr>
      <w:tr>
        <w:tc>
          <w:tcPr/>
          <w:p>
            <w:pPr>
              <w:pStyle w:val="Compact"/>
              <w:jc w:val="left"/>
            </w:pPr>
            <w:r>
              <w:t xml:space="preserve">Inhaled corticosteroids</w:t>
            </w:r>
          </w:p>
        </w:tc>
        <w:tc>
          <w:tcPr/>
          <w:p>
            <w:pPr>
              <w:pStyle w:val="Compact"/>
              <w:jc w:val="right"/>
            </w:pPr>
            <w:r>
              <w:t xml:space="preserve">0.966 (0.920–1.014)</w:t>
            </w:r>
          </w:p>
        </w:tc>
        <w:tc>
          <w:tcPr/>
          <w:p>
            <w:pPr>
              <w:pStyle w:val="Compact"/>
              <w:jc w:val="right"/>
            </w:pPr>
            <w:r>
              <w:t xml:space="preserve">0.940 (0.892–0.990)</w:t>
            </w:r>
          </w:p>
        </w:tc>
        <w:tc>
          <w:tcPr/>
          <w:p>
            <w:pPr>
              <w:pStyle w:val="Compact"/>
              <w:jc w:val="right"/>
            </w:pPr>
            <w:r>
              <w:t xml:space="preserve">0.983 (0.929–1.039)</w:t>
            </w:r>
          </w:p>
        </w:tc>
        <w:tc>
          <w:tcPr/>
          <w:p>
            <w:pPr>
              <w:pStyle w:val="Compact"/>
              <w:jc w:val="right"/>
            </w:pPr>
            <w:r>
              <w:t xml:space="preserve">1.033 (0.981–1.087)</w:t>
            </w:r>
          </w:p>
        </w:tc>
        <w:tc>
          <w:tcPr/>
          <w:p>
            <w:pPr>
              <w:pStyle w:val="Compact"/>
              <w:jc w:val="right"/>
            </w:pPr>
            <w:r>
              <w:t xml:space="preserve">0.969 (0.922–1.018)</w:t>
            </w:r>
          </w:p>
        </w:tc>
        <w:tc>
          <w:tcPr/>
          <w:p>
            <w:pPr>
              <w:pStyle w:val="Compact"/>
              <w:jc w:val="right"/>
            </w:pPr>
            <w:r>
              <w:t xml:space="preserve">0.967 (0.921–1.016)</w:t>
            </w:r>
          </w:p>
        </w:tc>
        <w:tc>
          <w:tcPr/>
          <w:p>
            <w:pPr>
              <w:pStyle w:val="Compact"/>
              <w:jc w:val="right"/>
            </w:pPr>
            <w:r>
              <w:t xml:space="preserve">0.948 (0.905–0.993)</w:t>
            </w:r>
          </w:p>
        </w:tc>
        <w:tc>
          <w:tcPr/>
          <w:p>
            <w:pPr>
              <w:pStyle w:val="Compact"/>
              <w:jc w:val="right"/>
            </w:pPr>
            <w:r>
              <w:t xml:space="preserve">0.961 (0.916–1.009)</w:t>
            </w:r>
          </w:p>
        </w:tc>
        <w:tc>
          <w:tcPr/>
          <w:p>
            <w:pPr>
              <w:pStyle w:val="Compact"/>
              <w:jc w:val="right"/>
            </w:pPr>
            <w:r>
              <w:t xml:space="preserve">0.938 (0.892–0.985)</w:t>
            </w:r>
          </w:p>
        </w:tc>
        <w:tc>
          <w:tcPr/>
          <w:p>
            <w:pPr>
              <w:pStyle w:val="Compact"/>
              <w:jc w:val="right"/>
            </w:pPr>
            <w:r>
              <w:t xml:space="preserve">0.954 (0.912–0.997)</w:t>
            </w:r>
          </w:p>
        </w:tc>
        <w:tc>
          <w:tcPr/>
          <w:p>
            <w:pPr>
              <w:pStyle w:val="Compact"/>
              <w:jc w:val="right"/>
            </w:pPr>
            <w:r>
              <w:t xml:space="preserve">0.972 (0.951–0.993)</w:t>
            </w:r>
          </w:p>
        </w:tc>
      </w:tr>
      <w:tr>
        <w:tc>
          <w:tcPr/>
          <w:p>
            <w:pPr>
              <w:pStyle w:val="Compact"/>
              <w:jc w:val="left"/>
            </w:pPr>
            <w:r>
              <w:t xml:space="preserve">Conventional DMARDs</w:t>
            </w:r>
          </w:p>
        </w:tc>
        <w:tc>
          <w:tcPr/>
          <w:p>
            <w:pPr>
              <w:pStyle w:val="Compact"/>
              <w:jc w:val="right"/>
            </w:pPr>
            <w:r>
              <w:t xml:space="preserve">1.002 (0.983–1.021)</w:t>
            </w:r>
          </w:p>
        </w:tc>
        <w:tc>
          <w:tcPr/>
          <w:p>
            <w:pPr>
              <w:pStyle w:val="Compact"/>
              <w:jc w:val="right"/>
            </w:pPr>
            <w:r>
              <w:t xml:space="preserve">1.004 (0.983–1.024)</w:t>
            </w:r>
          </w:p>
        </w:tc>
        <w:tc>
          <w:tcPr/>
          <w:p>
            <w:pPr>
              <w:pStyle w:val="Compact"/>
              <w:jc w:val="right"/>
            </w:pPr>
            <w:r>
              <w:t xml:space="preserve">1.003 (0.982–1.024)</w:t>
            </w:r>
          </w:p>
        </w:tc>
        <w:tc>
          <w:tcPr/>
          <w:p>
            <w:pPr>
              <w:pStyle w:val="Compact"/>
              <w:jc w:val="right"/>
            </w:pPr>
            <w:r>
              <w:t xml:space="preserve">1.015 (0.979–1.053)</w:t>
            </w:r>
          </w:p>
        </w:tc>
        <w:tc>
          <w:tcPr/>
          <w:p>
            <w:pPr>
              <w:pStyle w:val="Compact"/>
              <w:jc w:val="right"/>
            </w:pPr>
            <w:r>
              <w:t xml:space="preserve">1.001 (0.982–1.020)</w:t>
            </w:r>
          </w:p>
        </w:tc>
        <w:tc>
          <w:tcPr/>
          <w:p>
            <w:pPr>
              <w:pStyle w:val="Compact"/>
              <w:jc w:val="right"/>
            </w:pPr>
            <w:r>
              <w:t xml:space="preserve">1.001 (0.983–1.021)</w:t>
            </w:r>
          </w:p>
        </w:tc>
        <w:tc>
          <w:tcPr/>
          <w:p>
            <w:pPr>
              <w:pStyle w:val="Compact"/>
              <w:jc w:val="right"/>
            </w:pPr>
            <w:r>
              <w:t xml:space="preserve">0.996 (0.979–1.014)</w:t>
            </w:r>
          </w:p>
        </w:tc>
        <w:tc>
          <w:tcPr/>
          <w:p>
            <w:pPr>
              <w:pStyle w:val="Compact"/>
              <w:jc w:val="right"/>
            </w:pPr>
            <w:r>
              <w:t xml:space="preserve">1.004 (0.985–1.023)</w:t>
            </w:r>
          </w:p>
        </w:tc>
        <w:tc>
          <w:tcPr/>
          <w:p>
            <w:pPr>
              <w:pStyle w:val="Compact"/>
              <w:jc w:val="right"/>
            </w:pPr>
            <w:r>
              <w:t xml:space="preserve">1.003 (0.979–1.026)</w:t>
            </w:r>
          </w:p>
        </w:tc>
        <w:tc>
          <w:tcPr/>
          <w:p>
            <w:pPr>
              <w:pStyle w:val="Compact"/>
              <w:jc w:val="right"/>
            </w:pPr>
            <w:r>
              <w:t xml:space="preserve">1.000 (0.983–1.016)</w:t>
            </w:r>
          </w:p>
        </w:tc>
        <w:tc>
          <w:tcPr/>
          <w:p>
            <w:pPr>
              <w:pStyle w:val="Compact"/>
              <w:jc w:val="right"/>
            </w:pPr>
            <w:r>
              <w:t xml:space="preserve">—</w:t>
            </w:r>
          </w:p>
        </w:tc>
      </w:tr>
      <w:tr>
        <w:tc>
          <w:tcPr/>
          <w:p>
            <w:pPr>
              <w:pStyle w:val="Compact"/>
              <w:jc w:val="left"/>
            </w:pPr>
            <w:r>
              <w:t xml:space="preserve">Transplant immunosuppressants</w:t>
            </w:r>
          </w:p>
        </w:tc>
        <w:tc>
          <w:tcPr/>
          <w:p>
            <w:pPr>
              <w:pStyle w:val="Compact"/>
              <w:jc w:val="right"/>
            </w:pPr>
            <w:r>
              <w:t xml:space="preserve">0.999 (0.993–1.005)</w:t>
            </w:r>
          </w:p>
        </w:tc>
        <w:tc>
          <w:tcPr/>
          <w:p>
            <w:pPr>
              <w:pStyle w:val="Compact"/>
              <w:jc w:val="right"/>
            </w:pPr>
            <w:r>
              <w:t xml:space="preserve">0.997 (0.991–1.003)</w:t>
            </w:r>
          </w:p>
        </w:tc>
        <w:tc>
          <w:tcPr/>
          <w:p>
            <w:pPr>
              <w:pStyle w:val="Compact"/>
              <w:jc w:val="right"/>
            </w:pPr>
            <w:r>
              <w:t xml:space="preserve">1.000 (0.993–1.007)</w:t>
            </w:r>
          </w:p>
        </w:tc>
        <w:tc>
          <w:tcPr/>
          <w:p>
            <w:pPr>
              <w:pStyle w:val="Compact"/>
              <w:jc w:val="right"/>
            </w:pPr>
            <w:r>
              <w:t xml:space="preserve">1.000 (0.993–1.008)</w:t>
            </w:r>
          </w:p>
        </w:tc>
        <w:tc>
          <w:tcPr/>
          <w:p>
            <w:pPr>
              <w:pStyle w:val="Compact"/>
              <w:jc w:val="right"/>
            </w:pPr>
            <w:r>
              <w:t xml:space="preserve">0.999 (0.993–1.005)</w:t>
            </w:r>
          </w:p>
        </w:tc>
        <w:tc>
          <w:tcPr/>
          <w:p>
            <w:pPr>
              <w:pStyle w:val="Compact"/>
              <w:jc w:val="right"/>
            </w:pPr>
            <w:r>
              <w:t xml:space="preserve">0.998 (0.993–1.004)</w:t>
            </w:r>
          </w:p>
        </w:tc>
        <w:tc>
          <w:tcPr/>
          <w:p>
            <w:pPr>
              <w:pStyle w:val="Compact"/>
              <w:jc w:val="right"/>
            </w:pPr>
            <w:r>
              <w:t xml:space="preserve">0.999 (0.993–1.005)</w:t>
            </w:r>
          </w:p>
        </w:tc>
        <w:tc>
          <w:tcPr/>
          <w:p>
            <w:pPr>
              <w:pStyle w:val="Compact"/>
              <w:jc w:val="right"/>
            </w:pPr>
            <w:r>
              <w:t xml:space="preserve">1.001 (0.994–1.007)</w:t>
            </w:r>
          </w:p>
        </w:tc>
        <w:tc>
          <w:tcPr/>
          <w:p>
            <w:pPr>
              <w:pStyle w:val="Compact"/>
              <w:jc w:val="right"/>
            </w:pPr>
            <w:r>
              <w:t xml:space="preserve">1.001 (0.994–1.008)</w:t>
            </w:r>
          </w:p>
        </w:tc>
        <w:tc>
          <w:tcPr/>
          <w:p>
            <w:pPr>
              <w:pStyle w:val="Compact"/>
              <w:jc w:val="right"/>
            </w:pPr>
            <w:r>
              <w:t xml:space="preserve">1.000 (0.994–1.006)</w:t>
            </w:r>
          </w:p>
        </w:tc>
        <w:tc>
          <w:tcPr/>
          <w:p>
            <w:pPr>
              <w:pStyle w:val="Compact"/>
              <w:jc w:val="right"/>
            </w:pPr>
            <w:r>
              <w:t xml:space="preserve">—</w:t>
            </w:r>
          </w:p>
        </w:tc>
      </w:tr>
      <w:tr>
        <w:tc>
          <w:tcPr/>
          <w:p>
            <w:pPr>
              <w:pStyle w:val="Compact"/>
              <w:jc w:val="left"/>
            </w:pPr>
            <w:r>
              <w:t xml:space="preserve">Proton pump inhibitors</w:t>
            </w:r>
          </w:p>
        </w:tc>
        <w:tc>
          <w:tcPr/>
          <w:p>
            <w:pPr>
              <w:pStyle w:val="Compact"/>
              <w:jc w:val="right"/>
            </w:pPr>
            <w:r>
              <w:t xml:space="preserve">0.996 (0.955–1.039)</w:t>
            </w:r>
          </w:p>
        </w:tc>
        <w:tc>
          <w:tcPr/>
          <w:p>
            <w:pPr>
              <w:pStyle w:val="Compact"/>
              <w:jc w:val="right"/>
            </w:pPr>
            <w:r>
              <w:t xml:space="preserve">0.968 (0.921–1.018)</w:t>
            </w:r>
          </w:p>
        </w:tc>
        <w:tc>
          <w:tcPr/>
          <w:p>
            <w:pPr>
              <w:pStyle w:val="Compact"/>
              <w:jc w:val="right"/>
            </w:pPr>
            <w:r>
              <w:t xml:space="preserve">0.997 (0.954–1.042)</w:t>
            </w:r>
          </w:p>
        </w:tc>
        <w:tc>
          <w:tcPr/>
          <w:p>
            <w:pPr>
              <w:pStyle w:val="Compact"/>
              <w:jc w:val="right"/>
            </w:pPr>
            <w:r>
              <w:t xml:space="preserve">0.962 (0.903–1.024)</w:t>
            </w:r>
          </w:p>
        </w:tc>
        <w:tc>
          <w:tcPr/>
          <w:p>
            <w:pPr>
              <w:pStyle w:val="Compact"/>
              <w:jc w:val="right"/>
            </w:pPr>
            <w:r>
              <w:t xml:space="preserve">0.998 (0.955–1.042)</w:t>
            </w:r>
          </w:p>
        </w:tc>
        <w:tc>
          <w:tcPr/>
          <w:p>
            <w:pPr>
              <w:pStyle w:val="Compact"/>
              <w:jc w:val="right"/>
            </w:pPr>
            <w:r>
              <w:t xml:space="preserve">1.002 (0.960–1.046)</w:t>
            </w:r>
          </w:p>
        </w:tc>
        <w:tc>
          <w:tcPr/>
          <w:p>
            <w:pPr>
              <w:pStyle w:val="Compact"/>
              <w:jc w:val="right"/>
            </w:pPr>
            <w:r>
              <w:t xml:space="preserve">0.982 (0.939–1.027)</w:t>
            </w:r>
          </w:p>
        </w:tc>
        <w:tc>
          <w:tcPr/>
          <w:p>
            <w:pPr>
              <w:pStyle w:val="Compact"/>
              <w:jc w:val="right"/>
            </w:pPr>
            <w:r>
              <w:t xml:space="preserve">0.992 (0.952–1.035)</w:t>
            </w:r>
          </w:p>
        </w:tc>
        <w:tc>
          <w:tcPr/>
          <w:p>
            <w:pPr>
              <w:pStyle w:val="Compact"/>
              <w:jc w:val="right"/>
            </w:pPr>
            <w:r>
              <w:t xml:space="preserve">0.936 (0.885–0.991)</w:t>
            </w:r>
          </w:p>
        </w:tc>
        <w:tc>
          <w:tcPr/>
          <w:p>
            <w:pPr>
              <w:pStyle w:val="Compact"/>
              <w:jc w:val="right"/>
            </w:pPr>
            <w:r>
              <w:t xml:space="preserve">0.984 (0.943–1.028)</w:t>
            </w:r>
          </w:p>
        </w:tc>
        <w:tc>
          <w:tcPr/>
          <w:p>
            <w:pPr>
              <w:pStyle w:val="Compact"/>
              <w:jc w:val="right"/>
            </w:pPr>
            <w:r>
              <w:t xml:space="preserve">0.980 (0.917–1.047)</w:t>
            </w:r>
          </w:p>
        </w:tc>
      </w:tr>
      <w:tr>
        <w:tc>
          <w:tcPr/>
          <w:p>
            <w:pPr>
              <w:pStyle w:val="Compact"/>
              <w:jc w:val="left"/>
            </w:pPr>
            <w:r>
              <w:t xml:space="preserve">Statins</w:t>
            </w:r>
          </w:p>
        </w:tc>
        <w:tc>
          <w:tcPr/>
          <w:p>
            <w:pPr>
              <w:pStyle w:val="Compact"/>
              <w:jc w:val="right"/>
            </w:pPr>
            <w:r>
              <w:t xml:space="preserve">0.992 (0.952–1.034)</w:t>
            </w:r>
          </w:p>
        </w:tc>
        <w:tc>
          <w:tcPr/>
          <w:p>
            <w:pPr>
              <w:pStyle w:val="Compact"/>
              <w:jc w:val="right"/>
            </w:pPr>
            <w:r>
              <w:t xml:space="preserve">0.968 (0.924–1.013)</w:t>
            </w:r>
          </w:p>
        </w:tc>
        <w:tc>
          <w:tcPr/>
          <w:p>
            <w:pPr>
              <w:pStyle w:val="Compact"/>
              <w:jc w:val="right"/>
            </w:pPr>
            <w:r>
              <w:t xml:space="preserve">0.993 (0.950–1.037)</w:t>
            </w:r>
          </w:p>
        </w:tc>
        <w:tc>
          <w:tcPr/>
          <w:p>
            <w:pPr>
              <w:pStyle w:val="Compact"/>
              <w:jc w:val="right"/>
            </w:pPr>
            <w:r>
              <w:t xml:space="preserve">0.973 (0.919–1.029)</w:t>
            </w:r>
          </w:p>
        </w:tc>
        <w:tc>
          <w:tcPr/>
          <w:p>
            <w:pPr>
              <w:pStyle w:val="Compact"/>
              <w:jc w:val="right"/>
            </w:pPr>
            <w:r>
              <w:t xml:space="preserve">0.991 (0.951–1.033)</w:t>
            </w:r>
          </w:p>
        </w:tc>
        <w:tc>
          <w:tcPr/>
          <w:p>
            <w:pPr>
              <w:pStyle w:val="Compact"/>
              <w:jc w:val="right"/>
            </w:pPr>
            <w:r>
              <w:t xml:space="preserve">0.998 (0.957–1.040)</w:t>
            </w:r>
          </w:p>
        </w:tc>
        <w:tc>
          <w:tcPr/>
          <w:p>
            <w:pPr>
              <w:pStyle w:val="Compact"/>
              <w:jc w:val="right"/>
            </w:pPr>
            <w:r>
              <w:t xml:space="preserve">1.000 (0.956–1.045)</w:t>
            </w:r>
          </w:p>
        </w:tc>
        <w:tc>
          <w:tcPr/>
          <w:p>
            <w:pPr>
              <w:pStyle w:val="Compact"/>
              <w:jc w:val="right"/>
            </w:pPr>
            <w:r>
              <w:t xml:space="preserve">0.983 (0.944–1.024)</w:t>
            </w:r>
          </w:p>
        </w:tc>
        <w:tc>
          <w:tcPr/>
          <w:p>
            <w:pPr>
              <w:pStyle w:val="Compact"/>
              <w:jc w:val="right"/>
            </w:pPr>
            <w:r>
              <w:t xml:space="preserve">0.986 (0.929–1.047)</w:t>
            </w:r>
          </w:p>
        </w:tc>
        <w:tc>
          <w:tcPr/>
          <w:p>
            <w:pPr>
              <w:pStyle w:val="Compact"/>
              <w:jc w:val="right"/>
            </w:pPr>
            <w:r>
              <w:t xml:space="preserve">0.999 (0.958–1.041)</w:t>
            </w:r>
          </w:p>
        </w:tc>
        <w:tc>
          <w:tcPr/>
          <w:p>
            <w:pPr>
              <w:pStyle w:val="Compact"/>
              <w:jc w:val="right"/>
            </w:pPr>
            <w:r>
              <w:t xml:space="preserve">0.983 (0.946–1.023)</w:t>
            </w:r>
          </w:p>
        </w:tc>
      </w:tr>
      <w:tr>
        <w:tc>
          <w:tcPr/>
          <w:p>
            <w:pPr>
              <w:pStyle w:val="Compact"/>
              <w:jc w:val="left"/>
            </w:pPr>
            <w:r>
              <w:t xml:space="preserve">Metformin</w:t>
            </w:r>
          </w:p>
        </w:tc>
        <w:tc>
          <w:tcPr/>
          <w:p>
            <w:pPr>
              <w:pStyle w:val="Compact"/>
              <w:jc w:val="right"/>
            </w:pPr>
            <w:r>
              <w:t xml:space="preserve">0.966 (0.934–0.998)</w:t>
            </w:r>
          </w:p>
        </w:tc>
        <w:tc>
          <w:tcPr/>
          <w:p>
            <w:pPr>
              <w:pStyle w:val="Compact"/>
              <w:jc w:val="right"/>
            </w:pPr>
            <w:r>
              <w:t xml:space="preserve">0.947 (0.914–0.981)</w:t>
            </w:r>
          </w:p>
        </w:tc>
        <w:tc>
          <w:tcPr/>
          <w:p>
            <w:pPr>
              <w:pStyle w:val="Compact"/>
              <w:jc w:val="right"/>
            </w:pPr>
            <w:r>
              <w:t xml:space="preserve">0.970 (0.934–1.007)</w:t>
            </w:r>
          </w:p>
        </w:tc>
        <w:tc>
          <w:tcPr/>
          <w:p>
            <w:pPr>
              <w:pStyle w:val="Compact"/>
              <w:jc w:val="right"/>
            </w:pPr>
            <w:r>
              <w:t xml:space="preserve">0.947 (0.906–0.990)</w:t>
            </w:r>
          </w:p>
        </w:tc>
        <w:tc>
          <w:tcPr/>
          <w:p>
            <w:pPr>
              <w:pStyle w:val="Compact"/>
              <w:jc w:val="right"/>
            </w:pPr>
            <w:r>
              <w:t xml:space="preserve">0.967 (0.935–0.999)</w:t>
            </w:r>
          </w:p>
        </w:tc>
        <w:tc>
          <w:tcPr/>
          <w:p>
            <w:pPr>
              <w:pStyle w:val="Compact"/>
              <w:jc w:val="right"/>
            </w:pPr>
            <w:r>
              <w:t xml:space="preserve">0.971 (0.938–1.005)</w:t>
            </w:r>
          </w:p>
        </w:tc>
        <w:tc>
          <w:tcPr/>
          <w:p>
            <w:pPr>
              <w:pStyle w:val="Compact"/>
              <w:jc w:val="right"/>
            </w:pPr>
            <w:r>
              <w:t xml:space="preserve">0.971 (0.935–1.009)</w:t>
            </w:r>
          </w:p>
        </w:tc>
        <w:tc>
          <w:tcPr/>
          <w:p>
            <w:pPr>
              <w:pStyle w:val="Compact"/>
              <w:jc w:val="right"/>
            </w:pPr>
            <w:r>
              <w:t xml:space="preserve">0.963 (0.932–0.994)</w:t>
            </w:r>
          </w:p>
        </w:tc>
        <w:tc>
          <w:tcPr/>
          <w:p>
            <w:pPr>
              <w:pStyle w:val="Compact"/>
              <w:jc w:val="right"/>
            </w:pPr>
            <w:r>
              <w:t xml:space="preserve">0.975 (0.926–1.027)</w:t>
            </w:r>
          </w:p>
        </w:tc>
        <w:tc>
          <w:tcPr/>
          <w:p>
            <w:pPr>
              <w:pStyle w:val="Compact"/>
              <w:jc w:val="right"/>
            </w:pPr>
            <w:r>
              <w:t xml:space="preserve">0.970 (0.937–1.005)</w:t>
            </w:r>
          </w:p>
        </w:tc>
        <w:tc>
          <w:tcPr/>
          <w:p>
            <w:pPr>
              <w:pStyle w:val="Compact"/>
              <w:jc w:val="right"/>
            </w:pPr>
            <w:r>
              <w:t xml:space="preserve">0.982 (0.931–1.037)</w:t>
            </w:r>
          </w:p>
        </w:tc>
      </w:tr>
      <w:tr>
        <w:tc>
          <w:tcPr/>
          <w:p>
            <w:pPr>
              <w:pStyle w:val="Compact"/>
              <w:jc w:val="left"/>
            </w:pPr>
            <w:r>
              <w:t xml:space="preserve">Insulins</w:t>
            </w:r>
          </w:p>
        </w:tc>
        <w:tc>
          <w:tcPr/>
          <w:p>
            <w:pPr>
              <w:pStyle w:val="Compact"/>
              <w:jc w:val="right"/>
            </w:pPr>
            <w:r>
              <w:t xml:space="preserve">0.966 (0.929–1.005)</w:t>
            </w:r>
          </w:p>
        </w:tc>
        <w:tc>
          <w:tcPr/>
          <w:p>
            <w:pPr>
              <w:pStyle w:val="Compact"/>
              <w:jc w:val="right"/>
            </w:pPr>
            <w:r>
              <w:t xml:space="preserve">0.964 (0.923–1.007)</w:t>
            </w:r>
          </w:p>
        </w:tc>
        <w:tc>
          <w:tcPr/>
          <w:p>
            <w:pPr>
              <w:pStyle w:val="Compact"/>
              <w:jc w:val="right"/>
            </w:pPr>
            <w:r>
              <w:t xml:space="preserve">0.974 (0.931–1.018)</w:t>
            </w:r>
          </w:p>
        </w:tc>
        <w:tc>
          <w:tcPr/>
          <w:p>
            <w:pPr>
              <w:pStyle w:val="Compact"/>
              <w:jc w:val="right"/>
            </w:pPr>
            <w:r>
              <w:t xml:space="preserve">1.016 (0.945–1.093)</w:t>
            </w:r>
          </w:p>
        </w:tc>
        <w:tc>
          <w:tcPr/>
          <w:p>
            <w:pPr>
              <w:pStyle w:val="Compact"/>
              <w:jc w:val="right"/>
            </w:pPr>
            <w:r>
              <w:t xml:space="preserve">0.971 (0.931–1.013)</w:t>
            </w:r>
          </w:p>
        </w:tc>
        <w:tc>
          <w:tcPr/>
          <w:p>
            <w:pPr>
              <w:pStyle w:val="Compact"/>
              <w:jc w:val="right"/>
            </w:pPr>
            <w:r>
              <w:t xml:space="preserve">0.969 (0.930–1.008)</w:t>
            </w:r>
          </w:p>
        </w:tc>
        <w:tc>
          <w:tcPr/>
          <w:p>
            <w:pPr>
              <w:pStyle w:val="Compact"/>
              <w:jc w:val="right"/>
            </w:pPr>
            <w:r>
              <w:t xml:space="preserve">0.968 (0.921–1.017)</w:t>
            </w:r>
          </w:p>
        </w:tc>
        <w:tc>
          <w:tcPr/>
          <w:p>
            <w:pPr>
              <w:pStyle w:val="Compact"/>
              <w:jc w:val="right"/>
            </w:pPr>
            <w:r>
              <w:t xml:space="preserve">0.962 (0.923–1.002)</w:t>
            </w:r>
          </w:p>
        </w:tc>
        <w:tc>
          <w:tcPr/>
          <w:p>
            <w:pPr>
              <w:pStyle w:val="Compact"/>
              <w:jc w:val="right"/>
            </w:pPr>
            <w:r>
              <w:t xml:space="preserve">0.979 (0.912–1.051)</w:t>
            </w:r>
          </w:p>
        </w:tc>
        <w:tc>
          <w:tcPr/>
          <w:p>
            <w:pPr>
              <w:pStyle w:val="Compact"/>
              <w:jc w:val="right"/>
            </w:pPr>
            <w:r>
              <w:t xml:space="preserve">0.973 (0.930–1.017)</w:t>
            </w:r>
          </w:p>
        </w:tc>
        <w:tc>
          <w:tcPr/>
          <w:p>
            <w:pPr>
              <w:pStyle w:val="Compact"/>
              <w:jc w:val="right"/>
            </w:pPr>
            <w:r>
              <w:t xml:space="preserve">—</w:t>
            </w:r>
          </w:p>
        </w:tc>
      </w:tr>
      <w:tr>
        <w:tc>
          <w:tcPr/>
          <w:p>
            <w:pPr>
              <w:pStyle w:val="Compact"/>
              <w:jc w:val="left"/>
            </w:pPr>
            <w:r>
              <w:t xml:space="preserve">Fluoroquinolones</w:t>
            </w:r>
          </w:p>
        </w:tc>
        <w:tc>
          <w:tcPr/>
          <w:p>
            <w:pPr>
              <w:pStyle w:val="Compact"/>
              <w:jc w:val="right"/>
            </w:pPr>
            <w:r>
              <w:t xml:space="preserve">1.005 (0.992–1.017)</w:t>
            </w:r>
          </w:p>
        </w:tc>
        <w:tc>
          <w:tcPr/>
          <w:p>
            <w:pPr>
              <w:pStyle w:val="Compact"/>
              <w:jc w:val="right"/>
            </w:pPr>
            <w:r>
              <w:t xml:space="preserve">1.008 (0.994–1.023)</w:t>
            </w:r>
          </w:p>
        </w:tc>
        <w:tc>
          <w:tcPr/>
          <w:p>
            <w:pPr>
              <w:pStyle w:val="Compact"/>
              <w:jc w:val="right"/>
            </w:pPr>
            <w:r>
              <w:t xml:space="preserve">1.007 (0.993–1.020)</w:t>
            </w:r>
          </w:p>
        </w:tc>
        <w:tc>
          <w:tcPr/>
          <w:p>
            <w:pPr>
              <w:pStyle w:val="Compact"/>
              <w:jc w:val="right"/>
            </w:pPr>
            <w:r>
              <w:t xml:space="preserve">1.006 (0.991–1.020)</w:t>
            </w:r>
          </w:p>
        </w:tc>
        <w:tc>
          <w:tcPr/>
          <w:p>
            <w:pPr>
              <w:pStyle w:val="Compact"/>
              <w:jc w:val="right"/>
            </w:pPr>
            <w:r>
              <w:t xml:space="preserve">1.006 (0.993–1.019)</w:t>
            </w:r>
          </w:p>
        </w:tc>
        <w:tc>
          <w:tcPr/>
          <w:p>
            <w:pPr>
              <w:pStyle w:val="Compact"/>
              <w:jc w:val="right"/>
            </w:pPr>
            <w:r>
              <w:t xml:space="preserve">1.004 (0.992–1.017)</w:t>
            </w:r>
          </w:p>
        </w:tc>
        <w:tc>
          <w:tcPr/>
          <w:p>
            <w:pPr>
              <w:pStyle w:val="Compact"/>
              <w:jc w:val="right"/>
            </w:pPr>
            <w:r>
              <w:t xml:space="preserve">1.003 (0.990–1.017)</w:t>
            </w:r>
          </w:p>
        </w:tc>
        <w:tc>
          <w:tcPr/>
          <w:p>
            <w:pPr>
              <w:pStyle w:val="Compact"/>
              <w:jc w:val="right"/>
            </w:pPr>
            <w:r>
              <w:t xml:space="preserve">1.000 (0.987–1.013)</w:t>
            </w:r>
          </w:p>
        </w:tc>
        <w:tc>
          <w:tcPr/>
          <w:p>
            <w:pPr>
              <w:pStyle w:val="Compact"/>
              <w:jc w:val="right"/>
            </w:pPr>
            <w:r>
              <w:t xml:space="preserve">0.993 (0.973–1.012)</w:t>
            </w:r>
          </w:p>
        </w:tc>
        <w:tc>
          <w:tcPr/>
          <w:p>
            <w:pPr>
              <w:pStyle w:val="Compact"/>
              <w:jc w:val="right"/>
            </w:pPr>
            <w:r>
              <w:t xml:space="preserve">1.002 (0.989–1.015)</w:t>
            </w:r>
          </w:p>
        </w:tc>
        <w:tc>
          <w:tcPr/>
          <w:p>
            <w:pPr>
              <w:pStyle w:val="Compact"/>
              <w:jc w:val="right"/>
            </w:pPr>
            <w:r>
              <w:t xml:space="preserve">1.001 (0.988–1.013)</w:t>
            </w:r>
          </w:p>
        </w:tc>
      </w:tr>
      <w:tr>
        <w:tc>
          <w:tcPr/>
          <w:p>
            <w:pPr>
              <w:pStyle w:val="Compact"/>
              <w:jc w:val="left"/>
            </w:pPr>
            <w:r>
              <w:t xml:space="preserve">All antibacterials</w:t>
            </w:r>
          </w:p>
        </w:tc>
        <w:tc>
          <w:tcPr/>
          <w:p>
            <w:pPr>
              <w:pStyle w:val="Compact"/>
              <w:jc w:val="right"/>
            </w:pPr>
            <w:r>
              <w:t xml:space="preserve">0.996 (0.955–1.039)</w:t>
            </w:r>
          </w:p>
        </w:tc>
        <w:tc>
          <w:tcPr/>
          <w:p>
            <w:pPr>
              <w:pStyle w:val="Compact"/>
              <w:jc w:val="right"/>
            </w:pPr>
            <w:r>
              <w:t xml:space="preserve">1.001 (0.952–1.052)</w:t>
            </w:r>
          </w:p>
        </w:tc>
        <w:tc>
          <w:tcPr/>
          <w:p>
            <w:pPr>
              <w:pStyle w:val="Compact"/>
              <w:jc w:val="right"/>
            </w:pPr>
            <w:r>
              <w:t xml:space="preserve">1.009 (0.963–1.058)</w:t>
            </w:r>
          </w:p>
        </w:tc>
        <w:tc>
          <w:tcPr/>
          <w:p>
            <w:pPr>
              <w:pStyle w:val="Compact"/>
              <w:jc w:val="right"/>
            </w:pPr>
            <w:r>
              <w:t xml:space="preserve">0.979 (0.940–1.020)</w:t>
            </w:r>
          </w:p>
        </w:tc>
        <w:tc>
          <w:tcPr/>
          <w:p>
            <w:pPr>
              <w:pStyle w:val="Compact"/>
              <w:jc w:val="right"/>
            </w:pPr>
            <w:r>
              <w:t xml:space="preserve">1.000 (0.959–1.041)</w:t>
            </w:r>
          </w:p>
        </w:tc>
        <w:tc>
          <w:tcPr/>
          <w:p>
            <w:pPr>
              <w:pStyle w:val="Compact"/>
              <w:jc w:val="right"/>
            </w:pPr>
            <w:r>
              <w:t xml:space="preserve">0.993 (0.950–1.037)</w:t>
            </w:r>
          </w:p>
        </w:tc>
        <w:tc>
          <w:tcPr/>
          <w:p>
            <w:pPr>
              <w:pStyle w:val="Compact"/>
              <w:jc w:val="right"/>
            </w:pPr>
            <w:r>
              <w:t xml:space="preserve">0.990 (0.950–1.033)</w:t>
            </w:r>
          </w:p>
        </w:tc>
        <w:tc>
          <w:tcPr/>
          <w:p>
            <w:pPr>
              <w:pStyle w:val="Compact"/>
              <w:jc w:val="right"/>
            </w:pPr>
            <w:r>
              <w:t xml:space="preserve">1.011 (0.965–1.059)</w:t>
            </w:r>
          </w:p>
        </w:tc>
        <w:tc>
          <w:tcPr/>
          <w:p>
            <w:pPr>
              <w:pStyle w:val="Compact"/>
              <w:jc w:val="right"/>
            </w:pPr>
            <w:r>
              <w:t xml:space="preserve">0.951 (0.909–0.995)</w:t>
            </w:r>
          </w:p>
        </w:tc>
        <w:tc>
          <w:tcPr/>
          <w:p>
            <w:pPr>
              <w:pStyle w:val="Compact"/>
              <w:jc w:val="right"/>
            </w:pPr>
            <w:r>
              <w:t xml:space="preserve">0.992 (0.953–1.033)</w:t>
            </w:r>
          </w:p>
        </w:tc>
        <w:tc>
          <w:tcPr/>
          <w:p>
            <w:pPr>
              <w:pStyle w:val="Compact"/>
              <w:jc w:val="right"/>
            </w:pPr>
            <w:r>
              <w:t xml:space="preserve">0.990 (0.952–1.029)</w:t>
            </w:r>
          </w:p>
        </w:tc>
      </w:tr>
      <w:tr>
        <w:tc>
          <w:tcPr/>
          <w:p>
            <w:pPr>
              <w:pStyle w:val="Compact"/>
              <w:jc w:val="left"/>
            </w:pPr>
            <w:r>
              <w:t xml:space="preserve">Vitamin D</w:t>
            </w:r>
          </w:p>
        </w:tc>
        <w:tc>
          <w:tcPr/>
          <w:p>
            <w:pPr>
              <w:pStyle w:val="Compact"/>
              <w:jc w:val="right"/>
            </w:pPr>
            <w:r>
              <w:t xml:space="preserve">1.007 (0.987–1.027)</w:t>
            </w:r>
          </w:p>
        </w:tc>
        <w:tc>
          <w:tcPr/>
          <w:p>
            <w:pPr>
              <w:pStyle w:val="Compact"/>
              <w:jc w:val="right"/>
            </w:pPr>
            <w:r>
              <w:t xml:space="preserve">1.010 (0.988–1.033)</w:t>
            </w:r>
          </w:p>
        </w:tc>
        <w:tc>
          <w:tcPr/>
          <w:p>
            <w:pPr>
              <w:pStyle w:val="Compact"/>
              <w:jc w:val="right"/>
            </w:pPr>
            <w:r>
              <w:t xml:space="preserve">1.008 (0.987–1.029)</w:t>
            </w:r>
          </w:p>
        </w:tc>
        <w:tc>
          <w:tcPr/>
          <w:p>
            <w:pPr>
              <w:pStyle w:val="Compact"/>
              <w:jc w:val="right"/>
            </w:pPr>
            <w:r>
              <w:t xml:space="preserve">0.983 (0.959–1.007)</w:t>
            </w:r>
          </w:p>
        </w:tc>
        <w:tc>
          <w:tcPr/>
          <w:p>
            <w:pPr>
              <w:pStyle w:val="Compact"/>
              <w:jc w:val="right"/>
            </w:pPr>
            <w:r>
              <w:t xml:space="preserve">1.009 (0.990–1.029)</w:t>
            </w:r>
          </w:p>
        </w:tc>
        <w:tc>
          <w:tcPr/>
          <w:p>
            <w:pPr>
              <w:pStyle w:val="Compact"/>
              <w:jc w:val="right"/>
            </w:pPr>
            <w:r>
              <w:t xml:space="preserve">1.004 (0.984–1.025)</w:t>
            </w:r>
          </w:p>
        </w:tc>
        <w:tc>
          <w:tcPr/>
          <w:p>
            <w:pPr>
              <w:pStyle w:val="Compact"/>
              <w:jc w:val="right"/>
            </w:pPr>
            <w:r>
              <w:t xml:space="preserve">1.006 (0.983–1.030)</w:t>
            </w:r>
          </w:p>
        </w:tc>
        <w:tc>
          <w:tcPr/>
          <w:p>
            <w:pPr>
              <w:pStyle w:val="Compact"/>
              <w:jc w:val="right"/>
            </w:pPr>
            <w:r>
              <w:t xml:space="preserve">1.016 (0.995–1.037)</w:t>
            </w:r>
          </w:p>
        </w:tc>
        <w:tc>
          <w:tcPr/>
          <w:p>
            <w:pPr>
              <w:pStyle w:val="Compact"/>
              <w:jc w:val="right"/>
            </w:pPr>
            <w:r>
              <w:t xml:space="preserve">0.990 (0.959–1.021)</w:t>
            </w:r>
          </w:p>
        </w:tc>
        <w:tc>
          <w:tcPr/>
          <w:p>
            <w:pPr>
              <w:pStyle w:val="Compact"/>
              <w:jc w:val="right"/>
            </w:pPr>
            <w:r>
              <w:t xml:space="preserve">1.005 (0.985–1.026)</w:t>
            </w:r>
          </w:p>
        </w:tc>
        <w:tc>
          <w:tcPr/>
          <w:p>
            <w:pPr>
              <w:pStyle w:val="Compact"/>
              <w:jc w:val="right"/>
            </w:pPr>
            <w:r>
              <w:t xml:space="preserve">—</w:t>
            </w:r>
          </w:p>
        </w:tc>
      </w:tr>
      <w:tr>
        <w:tc>
          <w:tcPr/>
          <w:p>
            <w:pPr>
              <w:pStyle w:val="Compact"/>
              <w:jc w:val="left"/>
            </w:pPr>
            <w:r>
              <w:t xml:space="preserve">Levothyroxine (negative control)</w:t>
            </w:r>
          </w:p>
        </w:tc>
        <w:tc>
          <w:tcPr/>
          <w:p>
            <w:pPr>
              <w:pStyle w:val="Compact"/>
              <w:jc w:val="right"/>
            </w:pPr>
            <w:r>
              <w:t xml:space="preserve">0.962 (0.933–0.992)</w:t>
            </w:r>
          </w:p>
        </w:tc>
        <w:tc>
          <w:tcPr/>
          <w:p>
            <w:pPr>
              <w:pStyle w:val="Compact"/>
              <w:jc w:val="right"/>
            </w:pPr>
            <w:r>
              <w:t xml:space="preserve">0.943 (0.914–0.973)</w:t>
            </w:r>
          </w:p>
        </w:tc>
        <w:tc>
          <w:tcPr/>
          <w:p>
            <w:pPr>
              <w:pStyle w:val="Compact"/>
              <w:jc w:val="right"/>
            </w:pPr>
            <w:r>
              <w:t xml:space="preserve">0.963 (0.933–0.995)</w:t>
            </w:r>
          </w:p>
        </w:tc>
        <w:tc>
          <w:tcPr/>
          <w:p>
            <w:pPr>
              <w:pStyle w:val="Compact"/>
              <w:jc w:val="right"/>
            </w:pPr>
            <w:r>
              <w:t xml:space="preserve">0.954 (0.902–1.009)</w:t>
            </w:r>
          </w:p>
        </w:tc>
        <w:tc>
          <w:tcPr/>
          <w:p>
            <w:pPr>
              <w:pStyle w:val="Compact"/>
              <w:jc w:val="right"/>
            </w:pPr>
            <w:r>
              <w:t xml:space="preserve">0.960 (0.930–0.990)</w:t>
            </w:r>
          </w:p>
        </w:tc>
        <w:tc>
          <w:tcPr/>
          <w:p>
            <w:pPr>
              <w:pStyle w:val="Compact"/>
              <w:jc w:val="right"/>
            </w:pPr>
            <w:r>
              <w:t xml:space="preserve">0.967 (0.936–1.000)</w:t>
            </w:r>
          </w:p>
        </w:tc>
        <w:tc>
          <w:tcPr/>
          <w:p>
            <w:pPr>
              <w:pStyle w:val="Compact"/>
              <w:jc w:val="right"/>
            </w:pPr>
            <w:r>
              <w:t xml:space="preserve">0.968 (0.935–1.002)</w:t>
            </w:r>
          </w:p>
        </w:tc>
        <w:tc>
          <w:tcPr/>
          <w:p>
            <w:pPr>
              <w:pStyle w:val="Compact"/>
              <w:jc w:val="right"/>
            </w:pPr>
            <w:r>
              <w:t xml:space="preserve">0.961 (0.928–0.994)</w:t>
            </w:r>
          </w:p>
        </w:tc>
        <w:tc>
          <w:tcPr/>
          <w:p>
            <w:pPr>
              <w:pStyle w:val="Compact"/>
              <w:jc w:val="right"/>
            </w:pPr>
            <w:r>
              <w:t xml:space="preserve">0.968 (0.924–1.014)</w:t>
            </w:r>
          </w:p>
        </w:tc>
        <w:tc>
          <w:tcPr/>
          <w:p>
            <w:pPr>
              <w:pStyle w:val="Compact"/>
              <w:jc w:val="right"/>
            </w:pPr>
            <w:r>
              <w:t xml:space="preserve">0.968 (0.936–1.001)</w:t>
            </w:r>
          </w:p>
        </w:tc>
        <w:tc>
          <w:tcPr/>
          <w:p>
            <w:pPr>
              <w:pStyle w:val="Compact"/>
              <w:jc w:val="right"/>
            </w:pPr>
            <w:r>
              <w:t xml:space="preserve">0.950 (0.909–0.994)</w:t>
            </w:r>
          </w:p>
        </w:tc>
      </w:tr>
    </w:tbl>
    <w:p>
      <w:pPr>
        <w:pStyle w:val="BodyText"/>
      </w:pPr>
      <w:r>
        <w:rPr>
          <w:b/>
          <w:bCs/>
        </w:rPr>
        <w:t xml:space="preserve">Table S2. Distributed lag model (t, t−1, t−2 in one model), LTLA residence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Drug group</w:t>
            </w:r>
          </w:p>
        </w:tc>
        <w:tc>
          <w:tcPr/>
          <w:p>
            <w:pPr>
              <w:pStyle w:val="Compact"/>
              <w:jc w:val="right"/>
            </w:pPr>
            <w:r>
              <w:t xml:space="preserve">t (same year)</w:t>
            </w:r>
          </w:p>
        </w:tc>
        <w:tc>
          <w:tcPr/>
          <w:p>
            <w:pPr>
              <w:pStyle w:val="Compact"/>
              <w:jc w:val="right"/>
            </w:pPr>
            <w:r>
              <w:t xml:space="preserve">t−1</w:t>
            </w:r>
          </w:p>
        </w:tc>
        <w:tc>
          <w:tcPr/>
          <w:p>
            <w:pPr>
              <w:pStyle w:val="Compact"/>
              <w:jc w:val="right"/>
            </w:pPr>
            <w:r>
              <w:t xml:space="preserve">t−2</w:t>
            </w:r>
          </w:p>
        </w:tc>
      </w:tr>
      <w:tr>
        <w:tc>
          <w:tcPr/>
          <w:p>
            <w:pPr>
              <w:pStyle w:val="Compact"/>
              <w:jc w:val="left"/>
            </w:pPr>
            <w:r>
              <w:t xml:space="preserve">Antituberculosis (descriptive)</w:t>
            </w:r>
          </w:p>
        </w:tc>
        <w:tc>
          <w:tcPr/>
          <w:p>
            <w:pPr>
              <w:pStyle w:val="Compact"/>
              <w:jc w:val="right"/>
            </w:pPr>
            <w:r>
              <w:t xml:space="preserve">0.999 (0.996–1.003)</w:t>
            </w:r>
          </w:p>
        </w:tc>
        <w:tc>
          <w:tcPr/>
          <w:p>
            <w:pPr>
              <w:pStyle w:val="Compact"/>
              <w:jc w:val="right"/>
            </w:pPr>
            <w:r>
              <w:t xml:space="preserve">1.001 (0.997–1.004)</w:t>
            </w:r>
          </w:p>
        </w:tc>
        <w:tc>
          <w:tcPr/>
          <w:p>
            <w:pPr>
              <w:pStyle w:val="Compact"/>
              <w:jc w:val="right"/>
            </w:pPr>
            <w:r>
              <w:t xml:space="preserve">1.000 (0.997–1.003)</w:t>
            </w:r>
          </w:p>
        </w:tc>
      </w:tr>
      <w:tr>
        <w:tc>
          <w:tcPr/>
          <w:p>
            <w:pPr>
              <w:pStyle w:val="Compact"/>
              <w:jc w:val="left"/>
            </w:pPr>
            <w:r>
              <w:t xml:space="preserve">Systemic oral glucocorticoids</w:t>
            </w:r>
          </w:p>
        </w:tc>
        <w:tc>
          <w:tcPr/>
          <w:p>
            <w:pPr>
              <w:pStyle w:val="Compact"/>
              <w:jc w:val="right"/>
            </w:pPr>
            <w:r>
              <w:t xml:space="preserve">0.974 (0.933–1.016)</w:t>
            </w:r>
          </w:p>
        </w:tc>
        <w:tc>
          <w:tcPr/>
          <w:p>
            <w:pPr>
              <w:pStyle w:val="Compact"/>
              <w:jc w:val="right"/>
            </w:pPr>
            <w:r>
              <w:t xml:space="preserve">0.984 (0.933–1.038)</w:t>
            </w:r>
          </w:p>
        </w:tc>
        <w:tc>
          <w:tcPr/>
          <w:p>
            <w:pPr>
              <w:pStyle w:val="Compact"/>
              <w:jc w:val="right"/>
            </w:pPr>
            <w:r>
              <w:t xml:space="preserve">1.006 (0.961–1.053)</w:t>
            </w:r>
          </w:p>
        </w:tc>
      </w:tr>
      <w:tr>
        <w:tc>
          <w:tcPr/>
          <w:p>
            <w:pPr>
              <w:pStyle w:val="Compact"/>
              <w:jc w:val="left"/>
            </w:pPr>
            <w:r>
              <w:t xml:space="preserve">Oral hydrocortisone</w:t>
            </w:r>
          </w:p>
        </w:tc>
        <w:tc>
          <w:tcPr/>
          <w:p>
            <w:pPr>
              <w:pStyle w:val="Compact"/>
              <w:jc w:val="right"/>
            </w:pPr>
            <w:r>
              <w:t xml:space="preserve">1.009 (0.993–1.026)</w:t>
            </w:r>
          </w:p>
        </w:tc>
        <w:tc>
          <w:tcPr/>
          <w:p>
            <w:pPr>
              <w:pStyle w:val="Compact"/>
              <w:jc w:val="right"/>
            </w:pPr>
            <w:r>
              <w:t xml:space="preserve">0.990 (0.970–1.010)</w:t>
            </w:r>
          </w:p>
        </w:tc>
        <w:tc>
          <w:tcPr/>
          <w:p>
            <w:pPr>
              <w:pStyle w:val="Compact"/>
              <w:jc w:val="right"/>
            </w:pPr>
            <w:r>
              <w:t xml:space="preserve">1.001 (0.982–1.019)</w:t>
            </w:r>
          </w:p>
        </w:tc>
      </w:tr>
      <w:tr>
        <w:tc>
          <w:tcPr/>
          <w:p>
            <w:pPr>
              <w:pStyle w:val="Compact"/>
              <w:jc w:val="left"/>
            </w:pPr>
            <w:r>
              <w:t xml:space="preserve">Oral dexamethasone</w:t>
            </w:r>
          </w:p>
        </w:tc>
        <w:tc>
          <w:tcPr/>
          <w:p>
            <w:pPr>
              <w:pStyle w:val="Compact"/>
              <w:jc w:val="right"/>
            </w:pPr>
            <w:r>
              <w:t xml:space="preserve">1.000 (0.991–1.009)</w:t>
            </w:r>
          </w:p>
        </w:tc>
        <w:tc>
          <w:tcPr/>
          <w:p>
            <w:pPr>
              <w:pStyle w:val="Compact"/>
              <w:jc w:val="right"/>
            </w:pPr>
            <w:r>
              <w:t xml:space="preserve">1.003 (0.993–1.013)</w:t>
            </w:r>
          </w:p>
        </w:tc>
        <w:tc>
          <w:tcPr/>
          <w:p>
            <w:pPr>
              <w:pStyle w:val="Compact"/>
              <w:jc w:val="right"/>
            </w:pPr>
            <w:r>
              <w:t xml:space="preserve">1.000 (0.990–1.010)</w:t>
            </w:r>
          </w:p>
        </w:tc>
      </w:tr>
      <w:tr>
        <w:tc>
          <w:tcPr/>
          <w:p>
            <w:pPr>
              <w:pStyle w:val="Compact"/>
              <w:jc w:val="left"/>
            </w:pPr>
            <w:r>
              <w:t xml:space="preserve">Inhaled corticosteroids</w:t>
            </w:r>
          </w:p>
        </w:tc>
        <w:tc>
          <w:tcPr/>
          <w:p>
            <w:pPr>
              <w:pStyle w:val="Compact"/>
              <w:jc w:val="right"/>
            </w:pPr>
            <w:r>
              <w:t xml:space="preserve">0.922 (0.874–0.973)</w:t>
            </w:r>
          </w:p>
        </w:tc>
        <w:tc>
          <w:tcPr/>
          <w:p>
            <w:pPr>
              <w:pStyle w:val="Compact"/>
              <w:jc w:val="right"/>
            </w:pPr>
            <w:r>
              <w:t xml:space="preserve">1.001 (0.927–1.082)</w:t>
            </w:r>
          </w:p>
        </w:tc>
        <w:tc>
          <w:tcPr/>
          <w:p>
            <w:pPr>
              <w:pStyle w:val="Compact"/>
              <w:jc w:val="right"/>
            </w:pPr>
            <w:r>
              <w:t xml:space="preserve">1.037 (0.962–1.118)</w:t>
            </w:r>
          </w:p>
        </w:tc>
      </w:tr>
      <w:tr>
        <w:tc>
          <w:tcPr/>
          <w:p>
            <w:pPr>
              <w:pStyle w:val="Compact"/>
              <w:jc w:val="left"/>
            </w:pPr>
            <w:r>
              <w:t xml:space="preserve">Conventional DMARDs</w:t>
            </w:r>
          </w:p>
        </w:tc>
        <w:tc>
          <w:tcPr/>
          <w:p>
            <w:pPr>
              <w:pStyle w:val="Compact"/>
              <w:jc w:val="right"/>
            </w:pPr>
            <w:r>
              <w:t xml:space="preserve">1.015 (0.978–1.053)</w:t>
            </w:r>
          </w:p>
        </w:tc>
        <w:tc>
          <w:tcPr/>
          <w:p>
            <w:pPr>
              <w:pStyle w:val="Compact"/>
              <w:jc w:val="right"/>
            </w:pPr>
            <w:r>
              <w:t xml:space="preserve">0.981 (0.924–1.041)</w:t>
            </w:r>
          </w:p>
        </w:tc>
        <w:tc>
          <w:tcPr/>
          <w:p>
            <w:pPr>
              <w:pStyle w:val="Compact"/>
              <w:jc w:val="right"/>
            </w:pPr>
            <w:r>
              <w:t xml:space="preserve">1.009 (0.966–1.054)</w:t>
            </w:r>
          </w:p>
        </w:tc>
      </w:tr>
      <w:tr>
        <w:tc>
          <w:tcPr/>
          <w:p>
            <w:pPr>
              <w:pStyle w:val="Compact"/>
              <w:jc w:val="left"/>
            </w:pPr>
            <w:r>
              <w:t xml:space="preserve">Transplant immunosuppressants</w:t>
            </w:r>
          </w:p>
        </w:tc>
        <w:tc>
          <w:tcPr/>
          <w:p>
            <w:pPr>
              <w:pStyle w:val="Compact"/>
              <w:jc w:val="right"/>
            </w:pPr>
            <w:r>
              <w:t xml:space="preserve">1.001 (0.990–1.011)</w:t>
            </w:r>
          </w:p>
        </w:tc>
        <w:tc>
          <w:tcPr/>
          <w:p>
            <w:pPr>
              <w:pStyle w:val="Compact"/>
              <w:jc w:val="right"/>
            </w:pPr>
            <w:r>
              <w:t xml:space="preserve">0.995 (0.983–1.008)</w:t>
            </w:r>
          </w:p>
        </w:tc>
        <w:tc>
          <w:tcPr/>
          <w:p>
            <w:pPr>
              <w:pStyle w:val="Compact"/>
              <w:jc w:val="right"/>
            </w:pPr>
            <w:r>
              <w:t xml:space="preserve">1.004 (0.995–1.013)</w:t>
            </w:r>
          </w:p>
        </w:tc>
      </w:tr>
      <w:tr>
        <w:tc>
          <w:tcPr/>
          <w:p>
            <w:pPr>
              <w:pStyle w:val="Compact"/>
              <w:jc w:val="left"/>
            </w:pPr>
            <w:r>
              <w:t xml:space="preserve">Proton pump inhibitors</w:t>
            </w:r>
          </w:p>
        </w:tc>
        <w:tc>
          <w:tcPr/>
          <w:p>
            <w:pPr>
              <w:pStyle w:val="Compact"/>
              <w:jc w:val="right"/>
            </w:pPr>
            <w:r>
              <w:t xml:space="preserve">1.002 (0.926–1.084)</w:t>
            </w:r>
          </w:p>
        </w:tc>
        <w:tc>
          <w:tcPr/>
          <w:p>
            <w:pPr>
              <w:pStyle w:val="Compact"/>
              <w:jc w:val="right"/>
            </w:pPr>
            <w:r>
              <w:t xml:space="preserve">1.012 (0.928–1.103)</w:t>
            </w:r>
          </w:p>
        </w:tc>
        <w:tc>
          <w:tcPr/>
          <w:p>
            <w:pPr>
              <w:pStyle w:val="Compact"/>
              <w:jc w:val="right"/>
            </w:pPr>
            <w:r>
              <w:t xml:space="preserve">0.981 (0.905–1.063)</w:t>
            </w:r>
          </w:p>
        </w:tc>
      </w:tr>
      <w:tr>
        <w:tc>
          <w:tcPr/>
          <w:p>
            <w:pPr>
              <w:pStyle w:val="Compact"/>
              <w:jc w:val="left"/>
            </w:pPr>
            <w:r>
              <w:t xml:space="preserve">Statins</w:t>
            </w:r>
          </w:p>
        </w:tc>
        <w:tc>
          <w:tcPr/>
          <w:p>
            <w:pPr>
              <w:pStyle w:val="Compact"/>
              <w:jc w:val="right"/>
            </w:pPr>
            <w:r>
              <w:t xml:space="preserve">1.028 (0.946–1.118)</w:t>
            </w:r>
          </w:p>
        </w:tc>
        <w:tc>
          <w:tcPr/>
          <w:p>
            <w:pPr>
              <w:pStyle w:val="Compact"/>
              <w:jc w:val="right"/>
            </w:pPr>
            <w:r>
              <w:t xml:space="preserve">0.978 (0.892–1.073)</w:t>
            </w:r>
          </w:p>
        </w:tc>
        <w:tc>
          <w:tcPr/>
          <w:p>
            <w:pPr>
              <w:pStyle w:val="Compact"/>
              <w:jc w:val="right"/>
            </w:pPr>
            <w:r>
              <w:t xml:space="preserve">0.989 (0.920–1.064)</w:t>
            </w:r>
          </w:p>
        </w:tc>
      </w:tr>
      <w:tr>
        <w:tc>
          <w:tcPr/>
          <w:p>
            <w:pPr>
              <w:pStyle w:val="Compact"/>
              <w:jc w:val="left"/>
            </w:pPr>
            <w:r>
              <w:t xml:space="preserve">Metformin</w:t>
            </w:r>
          </w:p>
        </w:tc>
        <w:tc>
          <w:tcPr/>
          <w:p>
            <w:pPr>
              <w:pStyle w:val="Compact"/>
              <w:jc w:val="right"/>
            </w:pPr>
            <w:r>
              <w:t xml:space="preserve">1.021 (0.952–1.096)</w:t>
            </w:r>
          </w:p>
        </w:tc>
        <w:tc>
          <w:tcPr/>
          <w:p>
            <w:pPr>
              <w:pStyle w:val="Compact"/>
              <w:jc w:val="right"/>
            </w:pPr>
            <w:r>
              <w:t xml:space="preserve">0.955 (0.885–1.031)</w:t>
            </w:r>
          </w:p>
        </w:tc>
        <w:tc>
          <w:tcPr/>
          <w:p>
            <w:pPr>
              <w:pStyle w:val="Compact"/>
              <w:jc w:val="right"/>
            </w:pPr>
            <w:r>
              <w:t xml:space="preserve">0.993 (0.940–1.049)</w:t>
            </w:r>
          </w:p>
        </w:tc>
      </w:tr>
      <w:tr>
        <w:tc>
          <w:tcPr/>
          <w:p>
            <w:pPr>
              <w:pStyle w:val="Compact"/>
              <w:jc w:val="left"/>
            </w:pPr>
            <w:r>
              <w:t xml:space="preserve">Insulins</w:t>
            </w:r>
          </w:p>
        </w:tc>
        <w:tc>
          <w:tcPr/>
          <w:p>
            <w:pPr>
              <w:pStyle w:val="Compact"/>
              <w:jc w:val="right"/>
            </w:pPr>
            <w:r>
              <w:t xml:space="preserve">0.966 (0.901–1.035)</w:t>
            </w:r>
          </w:p>
        </w:tc>
        <w:tc>
          <w:tcPr/>
          <w:p>
            <w:pPr>
              <w:pStyle w:val="Compact"/>
              <w:jc w:val="right"/>
            </w:pPr>
            <w:r>
              <w:t xml:space="preserve">0.988 (0.907–1.076)</w:t>
            </w:r>
          </w:p>
        </w:tc>
        <w:tc>
          <w:tcPr/>
          <w:p>
            <w:pPr>
              <w:pStyle w:val="Compact"/>
              <w:jc w:val="right"/>
            </w:pPr>
            <w:r>
              <w:t xml:space="preserve">1.007 (0.943–1.076)</w:t>
            </w:r>
          </w:p>
        </w:tc>
      </w:tr>
      <w:tr>
        <w:tc>
          <w:tcPr/>
          <w:p>
            <w:pPr>
              <w:pStyle w:val="Compact"/>
              <w:jc w:val="left"/>
            </w:pPr>
            <w:r>
              <w:t xml:space="preserve">Fluoroquinolones</w:t>
            </w:r>
          </w:p>
        </w:tc>
        <w:tc>
          <w:tcPr/>
          <w:p>
            <w:pPr>
              <w:pStyle w:val="Compact"/>
              <w:jc w:val="right"/>
            </w:pPr>
            <w:r>
              <w:t xml:space="preserve">1.002 (0.986–1.019)</w:t>
            </w:r>
          </w:p>
        </w:tc>
        <w:tc>
          <w:tcPr/>
          <w:p>
            <w:pPr>
              <w:pStyle w:val="Compact"/>
              <w:jc w:val="right"/>
            </w:pPr>
            <w:r>
              <w:t xml:space="preserve">0.998 (0.981–1.016)</w:t>
            </w:r>
          </w:p>
        </w:tc>
        <w:tc>
          <w:tcPr/>
          <w:p>
            <w:pPr>
              <w:pStyle w:val="Compact"/>
              <w:jc w:val="right"/>
            </w:pPr>
            <w:r>
              <w:t xml:space="preserve">1.005 (0.990–1.020)</w:t>
            </w:r>
          </w:p>
        </w:tc>
      </w:tr>
      <w:tr>
        <w:tc>
          <w:tcPr/>
          <w:p>
            <w:pPr>
              <w:pStyle w:val="Compact"/>
              <w:jc w:val="left"/>
            </w:pPr>
            <w:r>
              <w:t xml:space="preserve">All antibacterials</w:t>
            </w:r>
          </w:p>
        </w:tc>
        <w:tc>
          <w:tcPr/>
          <w:p>
            <w:pPr>
              <w:pStyle w:val="Compact"/>
              <w:jc w:val="right"/>
            </w:pPr>
            <w:r>
              <w:t xml:space="preserve">1.032 (0.998–1.066)</w:t>
            </w:r>
          </w:p>
        </w:tc>
        <w:tc>
          <w:tcPr/>
          <w:p>
            <w:pPr>
              <w:pStyle w:val="Compact"/>
              <w:jc w:val="right"/>
            </w:pPr>
            <w:r>
              <w:t xml:space="preserve">0.950 (0.908–0.994)</w:t>
            </w:r>
          </w:p>
        </w:tc>
        <w:tc>
          <w:tcPr/>
          <w:p>
            <w:pPr>
              <w:pStyle w:val="Compact"/>
              <w:jc w:val="right"/>
            </w:pPr>
            <w:r>
              <w:t xml:space="preserve">1.030 (0.982–1.080)</w:t>
            </w:r>
          </w:p>
        </w:tc>
      </w:tr>
      <w:tr>
        <w:tc>
          <w:tcPr/>
          <w:p>
            <w:pPr>
              <w:pStyle w:val="Compact"/>
              <w:jc w:val="left"/>
            </w:pPr>
            <w:r>
              <w:t xml:space="preserve">Vitamin D</w:t>
            </w:r>
          </w:p>
        </w:tc>
        <w:tc>
          <w:tcPr/>
          <w:p>
            <w:pPr>
              <w:pStyle w:val="Compact"/>
              <w:jc w:val="right"/>
            </w:pPr>
            <w:r>
              <w:t xml:space="preserve">1.017 (0.981–1.054)</w:t>
            </w:r>
          </w:p>
        </w:tc>
        <w:tc>
          <w:tcPr/>
          <w:p>
            <w:pPr>
              <w:pStyle w:val="Compact"/>
              <w:jc w:val="right"/>
            </w:pPr>
            <w:r>
              <w:t xml:space="preserve">0.982 (0.937–1.030)</w:t>
            </w:r>
          </w:p>
        </w:tc>
        <w:tc>
          <w:tcPr/>
          <w:p>
            <w:pPr>
              <w:pStyle w:val="Compact"/>
              <w:jc w:val="right"/>
            </w:pPr>
            <w:r>
              <w:t xml:space="preserve">1.011 (0.979–1.044)</w:t>
            </w:r>
          </w:p>
        </w:tc>
      </w:tr>
      <w:tr>
        <w:tc>
          <w:tcPr/>
          <w:p>
            <w:pPr>
              <w:pStyle w:val="Compact"/>
              <w:jc w:val="left"/>
            </w:pPr>
            <w:r>
              <w:t xml:space="preserve">Levothyroxine (negative control)</w:t>
            </w:r>
          </w:p>
        </w:tc>
        <w:tc>
          <w:tcPr/>
          <w:p>
            <w:pPr>
              <w:pStyle w:val="Compact"/>
              <w:jc w:val="right"/>
            </w:pPr>
            <w:r>
              <w:t xml:space="preserve">1.006 (0.934–1.084)</w:t>
            </w:r>
          </w:p>
        </w:tc>
        <w:tc>
          <w:tcPr/>
          <w:p>
            <w:pPr>
              <w:pStyle w:val="Compact"/>
              <w:jc w:val="right"/>
            </w:pPr>
            <w:r>
              <w:t xml:space="preserve">0.979 (0.894–1.072)</w:t>
            </w:r>
          </w:p>
        </w:tc>
        <w:tc>
          <w:tcPr/>
          <w:p>
            <w:pPr>
              <w:pStyle w:val="Compact"/>
              <w:jc w:val="right"/>
            </w:pPr>
            <w:r>
              <w:t xml:space="preserve">0.976 (0.905–1.053)</w:t>
            </w:r>
          </w:p>
        </w:tc>
      </w:tr>
    </w:tbl>
    <w:p>
      <w:pPr>
        <w:pStyle w:val="BodyText"/>
      </w:pPr>
      <w:r>
        <w:rPr>
          <w:b/>
          <w:bCs/>
        </w:rPr>
        <w:t xml:space="preserve">Table S3. Hospital medicines: minimum detectable effects (previous-year exposure) versus illustrative expected effects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Level</w:t>
            </w:r>
          </w:p>
        </w:tc>
        <w:tc>
          <w:tcPr/>
          <w:p>
            <w:pPr>
              <w:pStyle w:val="Compact"/>
              <w:jc w:val="right"/>
            </w:pPr>
            <w:r>
              <w:t xml:space="preserve">Drug group</w:t>
            </w:r>
          </w:p>
        </w:tc>
        <w:tc>
          <w:tcPr/>
          <w:p>
            <w:pPr>
              <w:pStyle w:val="Compact"/>
              <w:jc w:val="right"/>
            </w:pPr>
            <w:r>
              <w:t xml:space="preserve">Scenario (illustrative RR)</w:t>
            </w:r>
          </w:p>
        </w:tc>
        <w:tc>
          <w:tcPr/>
          <w:p>
            <w:pPr>
              <w:pStyle w:val="Compact"/>
              <w:jc w:val="right"/>
            </w:pPr>
            <w:r>
              <w:t xml:space="preserve">Prevalence (SCMD DDD-years per resident)</w:t>
            </w:r>
          </w:p>
        </w:tc>
        <w:tc>
          <w:tcPr/>
          <w:p>
            <w:pPr>
              <w:pStyle w:val="Compact"/>
              <w:jc w:val="right"/>
            </w:pPr>
            <w:r>
              <w:t xml:space="preserve">Expected change per 10%</w:t>
            </w:r>
          </w:p>
        </w:tc>
        <w:tc>
          <w:tcPr/>
          <w:p>
            <w:pPr>
              <w:pStyle w:val="Compact"/>
              <w:jc w:val="right"/>
            </w:pPr>
            <w:r>
              <w:t xml:space="preserve">MDE</w:t>
            </w:r>
          </w:p>
        </w:tc>
        <w:tc>
          <w:tcPr/>
          <w:p>
            <w:pPr>
              <w:pStyle w:val="Compact"/>
              <w:jc w:val="right"/>
            </w:pPr>
            <w:r>
              <w:t xml:space="preserve">MDE ÷ expected</w:t>
            </w:r>
          </w:p>
        </w:tc>
        <w:tc>
          <w:tcPr/>
          <w:p>
            <w:pPr>
              <w:pStyle w:val="Compact"/>
              <w:jc w:val="right"/>
            </w:pPr>
            <w:r>
              <w:t xml:space="preserve">MDE ÷ expected, attenuated by positive-control elasticity</w:t>
            </w:r>
          </w:p>
        </w:tc>
      </w:tr>
      <w:tr>
        <w:tc>
          <w:tcPr/>
          <w:p>
            <w:pPr>
              <w:pStyle w:val="Compact"/>
              <w:jc w:val="left"/>
            </w:pPr>
            <w:r>
              <w:t xml:space="preserve">UTLA</w:t>
            </w:r>
          </w:p>
        </w:tc>
        <w:tc>
          <w:tcPr/>
          <w:p>
            <w:pPr>
              <w:pStyle w:val="Compact"/>
              <w:jc w:val="right"/>
            </w:pPr>
            <w:r>
              <w:t xml:space="preserve">TNF inhibitors</w:t>
            </w:r>
          </w:p>
        </w:tc>
        <w:tc>
          <w:tcPr/>
          <w:p>
            <w:pPr>
              <w:pStyle w:val="Compact"/>
              <w:jc w:val="right"/>
            </w:pPr>
            <w:r>
              <w:t xml:space="preserve">RR 4 (illustrative, before LTBI screening)</w:t>
            </w:r>
          </w:p>
        </w:tc>
        <w:tc>
          <w:tcPr/>
          <w:p>
            <w:pPr>
              <w:pStyle w:val="Compact"/>
              <w:jc w:val="right"/>
            </w:pPr>
            <w:r>
              <w:t xml:space="preserve">0.34%</w:t>
            </w:r>
          </w:p>
        </w:tc>
        <w:tc>
          <w:tcPr/>
          <w:p>
            <w:pPr>
              <w:pStyle w:val="Compact"/>
              <w:jc w:val="right"/>
            </w:pPr>
            <w:r>
              <w:t xml:space="preserve">0.100%</w:t>
            </w:r>
          </w:p>
        </w:tc>
        <w:tc>
          <w:tcPr/>
          <w:p>
            <w:pPr>
              <w:pStyle w:val="Compact"/>
              <w:jc w:val="right"/>
            </w:pPr>
            <w:r>
              <w:t xml:space="preserve">2.6%</w:t>
            </w:r>
          </w:p>
        </w:tc>
        <w:tc>
          <w:tcPr/>
          <w:p>
            <w:pPr>
              <w:pStyle w:val="Compact"/>
              <w:jc w:val="right"/>
            </w:pPr>
            <w:r>
              <w:t xml:space="preserve">26</w:t>
            </w:r>
          </w:p>
        </w:tc>
        <w:tc>
          <w:tcPr/>
          <w:p>
            <w:pPr>
              <w:pStyle w:val="Compact"/>
              <w:jc w:val="right"/>
            </w:pPr>
            <w:r>
              <w:t xml:space="preserve">72</w:t>
            </w:r>
          </w:p>
        </w:tc>
      </w:tr>
      <w:tr>
        <w:tc>
          <w:tcPr/>
          <w:p>
            <w:pPr>
              <w:pStyle w:val="Compact"/>
              <w:jc w:val="left"/>
            </w:pPr>
            <w:r>
              <w:t xml:space="preserve">UTLA</w:t>
            </w:r>
          </w:p>
        </w:tc>
        <w:tc>
          <w:tcPr/>
          <w:p>
            <w:pPr>
              <w:pStyle w:val="Compact"/>
              <w:jc w:val="right"/>
            </w:pPr>
            <w:r>
              <w:t xml:space="preserve">TNF inhibitors</w:t>
            </w:r>
          </w:p>
        </w:tc>
        <w:tc>
          <w:tcPr/>
          <w:p>
            <w:pPr>
              <w:pStyle w:val="Compact"/>
              <w:jc w:val="right"/>
            </w:pPr>
            <w:r>
              <w:t xml:space="preserve">RR 1.5 (illustrative, with LTBI screening; probably nearer 1, so favours detection)</w:t>
            </w:r>
          </w:p>
        </w:tc>
        <w:tc>
          <w:tcPr/>
          <w:p>
            <w:pPr>
              <w:pStyle w:val="Compact"/>
              <w:jc w:val="right"/>
            </w:pPr>
            <w:r>
              <w:t xml:space="preserve">0.34%</w:t>
            </w:r>
          </w:p>
        </w:tc>
        <w:tc>
          <w:tcPr/>
          <w:p>
            <w:pPr>
              <w:pStyle w:val="Compact"/>
              <w:jc w:val="right"/>
            </w:pPr>
            <w:r>
              <w:t xml:space="preserve">0.017%</w:t>
            </w:r>
          </w:p>
        </w:tc>
        <w:tc>
          <w:tcPr/>
          <w:p>
            <w:pPr>
              <w:pStyle w:val="Compact"/>
              <w:jc w:val="right"/>
            </w:pPr>
            <w:r>
              <w:t xml:space="preserve">2.6%</w:t>
            </w:r>
          </w:p>
        </w:tc>
        <w:tc>
          <w:tcPr/>
          <w:p>
            <w:pPr>
              <w:pStyle w:val="Compact"/>
              <w:jc w:val="right"/>
            </w:pPr>
            <w:r>
              <w:t xml:space="preserve">154</w:t>
            </w:r>
          </w:p>
        </w:tc>
        <w:tc>
          <w:tcPr/>
          <w:p>
            <w:pPr>
              <w:pStyle w:val="Compact"/>
              <w:jc w:val="right"/>
            </w:pPr>
            <w:r>
              <w:t xml:space="preserve">426</w:t>
            </w:r>
          </w:p>
        </w:tc>
      </w:tr>
      <w:tr>
        <w:tc>
          <w:tcPr/>
          <w:p>
            <w:pPr>
              <w:pStyle w:val="Compact"/>
              <w:jc w:val="left"/>
            </w:pPr>
            <w:r>
              <w:t xml:space="preserve">UTLA</w:t>
            </w:r>
          </w:p>
        </w:tc>
        <w:tc>
          <w:tcPr/>
          <w:p>
            <w:pPr>
              <w:pStyle w:val="Compact"/>
              <w:jc w:val="right"/>
            </w:pPr>
            <w:r>
              <w:t xml:space="preserve">IL-6 inhibitors and abatacept</w:t>
            </w:r>
          </w:p>
        </w:tc>
        <w:tc>
          <w:tcPr/>
          <w:p>
            <w:pPr>
              <w:pStyle w:val="Compact"/>
              <w:jc w:val="right"/>
            </w:pPr>
            <w:r>
              <w:t xml:space="preserve">RR 2</w:t>
            </w:r>
          </w:p>
        </w:tc>
        <w:tc>
          <w:tcPr/>
          <w:p>
            <w:pPr>
              <w:pStyle w:val="Compact"/>
              <w:jc w:val="right"/>
            </w:pPr>
            <w:r>
              <w:t xml:space="preserve">0.02%</w:t>
            </w:r>
          </w:p>
        </w:tc>
        <w:tc>
          <w:tcPr/>
          <w:p>
            <w:pPr>
              <w:pStyle w:val="Compact"/>
              <w:jc w:val="right"/>
            </w:pPr>
            <w:r>
              <w:t xml:space="preserve">0.002%</w:t>
            </w:r>
          </w:p>
        </w:tc>
        <w:tc>
          <w:tcPr/>
          <w:p>
            <w:pPr>
              <w:pStyle w:val="Compact"/>
              <w:jc w:val="right"/>
            </w:pPr>
            <w:r>
              <w:t xml:space="preserve">1.2%</w:t>
            </w:r>
          </w:p>
        </w:tc>
        <w:tc>
          <w:tcPr/>
          <w:p>
            <w:pPr>
              <w:pStyle w:val="Compact"/>
              <w:jc w:val="right"/>
            </w:pPr>
            <w:r>
              <w:t xml:space="preserve">520</w:t>
            </w:r>
          </w:p>
        </w:tc>
        <w:tc>
          <w:tcPr/>
          <w:p>
            <w:pPr>
              <w:pStyle w:val="Compact"/>
              <w:jc w:val="right"/>
            </w:pPr>
            <w:r>
              <w:t xml:space="preserve">1443</w:t>
            </w:r>
          </w:p>
        </w:tc>
      </w:tr>
      <w:tr>
        <w:tc>
          <w:tcPr/>
          <w:p>
            <w:pPr>
              <w:pStyle w:val="Compact"/>
              <w:jc w:val="left"/>
            </w:pPr>
            <w:r>
              <w:t xml:space="preserve">UTLA</w:t>
            </w:r>
          </w:p>
        </w:tc>
        <w:tc>
          <w:tcPr/>
          <w:p>
            <w:pPr>
              <w:pStyle w:val="Compact"/>
              <w:jc w:val="right"/>
            </w:pPr>
            <w:r>
              <w:t xml:space="preserve">JAK inhibitors (rheumatology)</w:t>
            </w:r>
          </w:p>
        </w:tc>
        <w:tc>
          <w:tcPr/>
          <w:p>
            <w:pPr>
              <w:pStyle w:val="Compact"/>
              <w:jc w:val="right"/>
            </w:pPr>
            <w:r>
              <w:t xml:space="preserve">RR 2</w:t>
            </w:r>
          </w:p>
        </w:tc>
        <w:tc>
          <w:tcPr/>
          <w:p>
            <w:pPr>
              <w:pStyle w:val="Compact"/>
              <w:jc w:val="right"/>
            </w:pPr>
            <w:r>
              <w:t xml:space="preserve">0.04%</w:t>
            </w:r>
          </w:p>
        </w:tc>
        <w:tc>
          <w:tcPr/>
          <w:p>
            <w:pPr>
              <w:pStyle w:val="Compact"/>
              <w:jc w:val="right"/>
            </w:pPr>
            <w:r>
              <w:t xml:space="preserve">0.004%</w:t>
            </w:r>
          </w:p>
        </w:tc>
        <w:tc>
          <w:tcPr/>
          <w:p>
            <w:pPr>
              <w:pStyle w:val="Compact"/>
              <w:jc w:val="right"/>
            </w:pPr>
            <w:r>
              <w:t xml:space="preserve">1.0%</w:t>
            </w:r>
          </w:p>
        </w:tc>
        <w:tc>
          <w:tcPr/>
          <w:p>
            <w:pPr>
              <w:pStyle w:val="Compact"/>
              <w:jc w:val="right"/>
            </w:pPr>
            <w:r>
              <w:t xml:space="preserve">235</w:t>
            </w:r>
          </w:p>
        </w:tc>
        <w:tc>
          <w:tcPr/>
          <w:p>
            <w:pPr>
              <w:pStyle w:val="Compact"/>
              <w:jc w:val="right"/>
            </w:pPr>
            <w:r>
              <w:t xml:space="preserve">652</w:t>
            </w:r>
          </w:p>
        </w:tc>
      </w:tr>
      <w:tr>
        <w:tc>
          <w:tcPr/>
          <w:p>
            <w:pPr>
              <w:pStyle w:val="Compact"/>
              <w:jc w:val="left"/>
            </w:pPr>
            <w:r>
              <w:t xml:space="preserve">UTLA</w:t>
            </w:r>
          </w:p>
        </w:tc>
        <w:tc>
          <w:tcPr/>
          <w:p>
            <w:pPr>
              <w:pStyle w:val="Compact"/>
              <w:jc w:val="right"/>
            </w:pPr>
            <w:r>
              <w:t xml:space="preserve">Rituximab</w:t>
            </w:r>
          </w:p>
        </w:tc>
        <w:tc>
          <w:tcPr/>
          <w:p>
            <w:pPr>
              <w:pStyle w:val="Compact"/>
              <w:jc w:val="right"/>
            </w:pPr>
            <w:r>
              <w:t xml:space="preserve">RR 1.5</w:t>
            </w:r>
          </w:p>
        </w:tc>
        <w:tc>
          <w:tcPr/>
          <w:p>
            <w:pPr>
              <w:pStyle w:val="Compact"/>
              <w:jc w:val="right"/>
            </w:pPr>
            <w:r>
              <w:t xml:space="preserve">0.09%</w:t>
            </w:r>
          </w:p>
        </w:tc>
        <w:tc>
          <w:tcPr/>
          <w:p>
            <w:pPr>
              <w:pStyle w:val="Compact"/>
              <w:jc w:val="right"/>
            </w:pPr>
            <w:r>
              <w:t xml:space="preserve">0.005%</w:t>
            </w:r>
          </w:p>
        </w:tc>
        <w:tc>
          <w:tcPr/>
          <w:p>
            <w:pPr>
              <w:pStyle w:val="Compact"/>
              <w:jc w:val="right"/>
            </w:pPr>
            <w:r>
              <w:t xml:space="preserve">2.0%</w:t>
            </w:r>
          </w:p>
        </w:tc>
        <w:tc>
          <w:tcPr/>
          <w:p>
            <w:pPr>
              <w:pStyle w:val="Compact"/>
              <w:jc w:val="right"/>
            </w:pPr>
            <w:r>
              <w:t xml:space="preserve">420</w:t>
            </w:r>
          </w:p>
        </w:tc>
        <w:tc>
          <w:tcPr/>
          <w:p>
            <w:pPr>
              <w:pStyle w:val="Compact"/>
              <w:jc w:val="right"/>
            </w:pPr>
            <w:r>
              <w:t xml:space="preserve">1165</w:t>
            </w:r>
          </w:p>
        </w:tc>
      </w:tr>
      <w:tr>
        <w:tc>
          <w:tcPr/>
          <w:p>
            <w:pPr>
              <w:pStyle w:val="Compact"/>
              <w:jc w:val="left"/>
            </w:pPr>
            <w:r>
              <w:t xml:space="preserve">UTLA</w:t>
            </w:r>
          </w:p>
        </w:tc>
        <w:tc>
          <w:tcPr/>
          <w:p>
            <w:pPr>
              <w:pStyle w:val="Compact"/>
              <w:jc w:val="right"/>
            </w:pPr>
            <w:r>
              <w:t xml:space="preserve">Calcineurin/mTOR inhibitors</w:t>
            </w:r>
          </w:p>
        </w:tc>
        <w:tc>
          <w:tcPr/>
          <w:p>
            <w:pPr>
              <w:pStyle w:val="Compact"/>
              <w:jc w:val="right"/>
            </w:pPr>
            <w:r>
              <w:t xml:space="preserve">RR 10 (solid organ transplant)</w:t>
            </w:r>
          </w:p>
        </w:tc>
        <w:tc>
          <w:tcPr/>
          <w:p>
            <w:pPr>
              <w:pStyle w:val="Compact"/>
              <w:jc w:val="right"/>
            </w:pPr>
            <w:r>
              <w:t xml:space="preserve">0.07%</w:t>
            </w:r>
          </w:p>
        </w:tc>
        <w:tc>
          <w:tcPr/>
          <w:p>
            <w:pPr>
              <w:pStyle w:val="Compact"/>
              <w:jc w:val="right"/>
            </w:pPr>
            <w:r>
              <w:t xml:space="preserve">0.066%</w:t>
            </w:r>
          </w:p>
        </w:tc>
        <w:tc>
          <w:tcPr/>
          <w:p>
            <w:pPr>
              <w:pStyle w:val="Compact"/>
              <w:jc w:val="right"/>
            </w:pPr>
            <w:r>
              <w:t xml:space="preserve">1.7%</w:t>
            </w:r>
          </w:p>
        </w:tc>
        <w:tc>
          <w:tcPr/>
          <w:p>
            <w:pPr>
              <w:pStyle w:val="Compact"/>
              <w:jc w:val="right"/>
            </w:pPr>
            <w:r>
              <w:t xml:space="preserve">26</w:t>
            </w:r>
          </w:p>
        </w:tc>
        <w:tc>
          <w:tcPr/>
          <w:p>
            <w:pPr>
              <w:pStyle w:val="Compact"/>
              <w:jc w:val="right"/>
            </w:pPr>
            <w:r>
              <w:t xml:space="preserve">72</w:t>
            </w:r>
          </w:p>
        </w:tc>
      </w:tr>
      <w:tr>
        <w:tc>
          <w:tcPr/>
          <w:p>
            <w:pPr>
              <w:pStyle w:val="Compact"/>
              <w:jc w:val="left"/>
            </w:pPr>
            <w:r>
              <w:t xml:space="preserve">UTLA</w:t>
            </w:r>
          </w:p>
        </w:tc>
        <w:tc>
          <w:tcPr/>
          <w:p>
            <w:pPr>
              <w:pStyle w:val="Compact"/>
              <w:jc w:val="right"/>
            </w:pPr>
            <w:r>
              <w:t xml:space="preserve">Antiproliferatives</w:t>
            </w:r>
          </w:p>
        </w:tc>
        <w:tc>
          <w:tcPr/>
          <w:p>
            <w:pPr>
              <w:pStyle w:val="Compact"/>
              <w:jc w:val="right"/>
            </w:pPr>
            <w:r>
              <w:t xml:space="preserve">RR 2</w:t>
            </w:r>
          </w:p>
        </w:tc>
        <w:tc>
          <w:tcPr/>
          <w:p>
            <w:pPr>
              <w:pStyle w:val="Compact"/>
              <w:jc w:val="right"/>
            </w:pPr>
            <w:r>
              <w:t xml:space="preserve">0.16%</w:t>
            </w:r>
          </w:p>
        </w:tc>
        <w:tc>
          <w:tcPr/>
          <w:p>
            <w:pPr>
              <w:pStyle w:val="Compact"/>
              <w:jc w:val="right"/>
            </w:pPr>
            <w:r>
              <w:t xml:space="preserve">0.016%</w:t>
            </w:r>
          </w:p>
        </w:tc>
        <w:tc>
          <w:tcPr/>
          <w:p>
            <w:pPr>
              <w:pStyle w:val="Compact"/>
              <w:jc w:val="right"/>
            </w:pPr>
            <w:r>
              <w:t xml:space="preserve">2.6%</w:t>
            </w:r>
          </w:p>
        </w:tc>
        <w:tc>
          <w:tcPr/>
          <w:p>
            <w:pPr>
              <w:pStyle w:val="Compact"/>
              <w:jc w:val="right"/>
            </w:pPr>
            <w:r>
              <w:t xml:space="preserve">158</w:t>
            </w:r>
          </w:p>
        </w:tc>
        <w:tc>
          <w:tcPr/>
          <w:p>
            <w:pPr>
              <w:pStyle w:val="Compact"/>
              <w:jc w:val="right"/>
            </w:pPr>
            <w:r>
              <w:t xml:space="preserve">439</w:t>
            </w:r>
          </w:p>
        </w:tc>
      </w:tr>
      <w:tr>
        <w:tc>
          <w:tcPr/>
          <w:p>
            <w:pPr>
              <w:pStyle w:val="Compact"/>
              <w:jc w:val="left"/>
            </w:pPr>
            <w:r>
              <w:t xml:space="preserve">LTLA</w:t>
            </w:r>
          </w:p>
        </w:tc>
        <w:tc>
          <w:tcPr/>
          <w:p>
            <w:pPr>
              <w:pStyle w:val="Compact"/>
              <w:jc w:val="right"/>
            </w:pPr>
            <w:r>
              <w:t xml:space="preserve">TNF inhibitors</w:t>
            </w:r>
          </w:p>
        </w:tc>
        <w:tc>
          <w:tcPr/>
          <w:p>
            <w:pPr>
              <w:pStyle w:val="Compact"/>
              <w:jc w:val="right"/>
            </w:pPr>
            <w:r>
              <w:t xml:space="preserve">RR 4 (illustrative, before LTBI screening)</w:t>
            </w:r>
          </w:p>
        </w:tc>
        <w:tc>
          <w:tcPr/>
          <w:p>
            <w:pPr>
              <w:pStyle w:val="Compact"/>
              <w:jc w:val="right"/>
            </w:pPr>
            <w:r>
              <w:t xml:space="preserve">0.34%</w:t>
            </w:r>
          </w:p>
        </w:tc>
        <w:tc>
          <w:tcPr/>
          <w:p>
            <w:pPr>
              <w:pStyle w:val="Compact"/>
              <w:jc w:val="right"/>
            </w:pPr>
            <w:r>
              <w:t xml:space="preserve">0.100%</w:t>
            </w:r>
          </w:p>
        </w:tc>
        <w:tc>
          <w:tcPr/>
          <w:p>
            <w:pPr>
              <w:pStyle w:val="Compact"/>
              <w:jc w:val="right"/>
            </w:pPr>
            <w:r>
              <w:t xml:space="preserve">2.3%</w:t>
            </w:r>
          </w:p>
        </w:tc>
        <w:tc>
          <w:tcPr/>
          <w:p>
            <w:pPr>
              <w:pStyle w:val="Compact"/>
              <w:jc w:val="right"/>
            </w:pPr>
            <w:r>
              <w:t xml:space="preserve">23</w:t>
            </w:r>
          </w:p>
        </w:tc>
        <w:tc>
          <w:tcPr/>
          <w:p>
            <w:pPr>
              <w:pStyle w:val="Compact"/>
              <w:jc w:val="right"/>
            </w:pPr>
            <w:r>
              <w:t xml:space="preserve">58</w:t>
            </w:r>
          </w:p>
        </w:tc>
      </w:tr>
      <w:tr>
        <w:tc>
          <w:tcPr/>
          <w:p>
            <w:pPr>
              <w:pStyle w:val="Compact"/>
              <w:jc w:val="left"/>
            </w:pPr>
            <w:r>
              <w:t xml:space="preserve">LTLA</w:t>
            </w:r>
          </w:p>
        </w:tc>
        <w:tc>
          <w:tcPr/>
          <w:p>
            <w:pPr>
              <w:pStyle w:val="Compact"/>
              <w:jc w:val="right"/>
            </w:pPr>
            <w:r>
              <w:t xml:space="preserve">TNF inhibitors</w:t>
            </w:r>
          </w:p>
        </w:tc>
        <w:tc>
          <w:tcPr/>
          <w:p>
            <w:pPr>
              <w:pStyle w:val="Compact"/>
              <w:jc w:val="right"/>
            </w:pPr>
            <w:r>
              <w:t xml:space="preserve">RR 1.5 (illustrative, with LTBI screening; probably nearer 1, so favours detection)</w:t>
            </w:r>
          </w:p>
        </w:tc>
        <w:tc>
          <w:tcPr/>
          <w:p>
            <w:pPr>
              <w:pStyle w:val="Compact"/>
              <w:jc w:val="right"/>
            </w:pPr>
            <w:r>
              <w:t xml:space="preserve">0.34%</w:t>
            </w:r>
          </w:p>
        </w:tc>
        <w:tc>
          <w:tcPr/>
          <w:p>
            <w:pPr>
              <w:pStyle w:val="Compact"/>
              <w:jc w:val="right"/>
            </w:pPr>
            <w:r>
              <w:t xml:space="preserve">0.017%</w:t>
            </w:r>
          </w:p>
        </w:tc>
        <w:tc>
          <w:tcPr/>
          <w:p>
            <w:pPr>
              <w:pStyle w:val="Compact"/>
              <w:jc w:val="right"/>
            </w:pPr>
            <w:r>
              <w:t xml:space="preserve">2.3%</w:t>
            </w:r>
          </w:p>
        </w:tc>
        <w:tc>
          <w:tcPr/>
          <w:p>
            <w:pPr>
              <w:pStyle w:val="Compact"/>
              <w:jc w:val="right"/>
            </w:pPr>
            <w:r>
              <w:t xml:space="preserve">137</w:t>
            </w:r>
          </w:p>
        </w:tc>
        <w:tc>
          <w:tcPr/>
          <w:p>
            <w:pPr>
              <w:pStyle w:val="Compact"/>
              <w:jc w:val="right"/>
            </w:pPr>
            <w:r>
              <w:t xml:space="preserve">343</w:t>
            </w:r>
          </w:p>
        </w:tc>
      </w:tr>
      <w:tr>
        <w:tc>
          <w:tcPr/>
          <w:p>
            <w:pPr>
              <w:pStyle w:val="Compact"/>
              <w:jc w:val="left"/>
            </w:pPr>
            <w:r>
              <w:t xml:space="preserve">LTLA</w:t>
            </w:r>
          </w:p>
        </w:tc>
        <w:tc>
          <w:tcPr/>
          <w:p>
            <w:pPr>
              <w:pStyle w:val="Compact"/>
              <w:jc w:val="right"/>
            </w:pPr>
            <w:r>
              <w:t xml:space="preserve">IL-6 inhibitors and abatacept</w:t>
            </w:r>
          </w:p>
        </w:tc>
        <w:tc>
          <w:tcPr/>
          <w:p>
            <w:pPr>
              <w:pStyle w:val="Compact"/>
              <w:jc w:val="right"/>
            </w:pPr>
            <w:r>
              <w:t xml:space="preserve">RR 2</w:t>
            </w:r>
          </w:p>
        </w:tc>
        <w:tc>
          <w:tcPr/>
          <w:p>
            <w:pPr>
              <w:pStyle w:val="Compact"/>
              <w:jc w:val="right"/>
            </w:pPr>
            <w:r>
              <w:t xml:space="preserve">0.02%</w:t>
            </w:r>
          </w:p>
        </w:tc>
        <w:tc>
          <w:tcPr/>
          <w:p>
            <w:pPr>
              <w:pStyle w:val="Compact"/>
              <w:jc w:val="right"/>
            </w:pPr>
            <w:r>
              <w:t xml:space="preserve">0.002%</w:t>
            </w:r>
          </w:p>
        </w:tc>
        <w:tc>
          <w:tcPr/>
          <w:p>
            <w:pPr>
              <w:pStyle w:val="Compact"/>
              <w:jc w:val="right"/>
            </w:pPr>
            <w:r>
              <w:t xml:space="preserve">1.2%</w:t>
            </w:r>
          </w:p>
        </w:tc>
        <w:tc>
          <w:tcPr/>
          <w:p>
            <w:pPr>
              <w:pStyle w:val="Compact"/>
              <w:jc w:val="right"/>
            </w:pPr>
            <w:r>
              <w:t xml:space="preserve">522</w:t>
            </w:r>
          </w:p>
        </w:tc>
        <w:tc>
          <w:tcPr/>
          <w:p>
            <w:pPr>
              <w:pStyle w:val="Compact"/>
              <w:jc w:val="right"/>
            </w:pPr>
            <w:r>
              <w:t xml:space="preserve">1305</w:t>
            </w:r>
          </w:p>
        </w:tc>
      </w:tr>
      <w:tr>
        <w:tc>
          <w:tcPr/>
          <w:p>
            <w:pPr>
              <w:pStyle w:val="Compact"/>
              <w:jc w:val="left"/>
            </w:pPr>
            <w:r>
              <w:t xml:space="preserve">LTLA</w:t>
            </w:r>
          </w:p>
        </w:tc>
        <w:tc>
          <w:tcPr/>
          <w:p>
            <w:pPr>
              <w:pStyle w:val="Compact"/>
              <w:jc w:val="right"/>
            </w:pPr>
            <w:r>
              <w:t xml:space="preserve">JAK inhibitors (rheumatology)</w:t>
            </w:r>
          </w:p>
        </w:tc>
        <w:tc>
          <w:tcPr/>
          <w:p>
            <w:pPr>
              <w:pStyle w:val="Compact"/>
              <w:jc w:val="right"/>
            </w:pPr>
            <w:r>
              <w:t xml:space="preserve">RR 2</w:t>
            </w:r>
          </w:p>
        </w:tc>
        <w:tc>
          <w:tcPr/>
          <w:p>
            <w:pPr>
              <w:pStyle w:val="Compact"/>
              <w:jc w:val="right"/>
            </w:pPr>
            <w:r>
              <w:t xml:space="preserve">0.04%</w:t>
            </w:r>
          </w:p>
        </w:tc>
        <w:tc>
          <w:tcPr/>
          <w:p>
            <w:pPr>
              <w:pStyle w:val="Compact"/>
              <w:jc w:val="right"/>
            </w:pPr>
            <w:r>
              <w:t xml:space="preserve">0.004%</w:t>
            </w:r>
          </w:p>
        </w:tc>
        <w:tc>
          <w:tcPr/>
          <w:p>
            <w:pPr>
              <w:pStyle w:val="Compact"/>
              <w:jc w:val="right"/>
            </w:pPr>
            <w:r>
              <w:t xml:space="preserve">1.0%</w:t>
            </w:r>
          </w:p>
        </w:tc>
        <w:tc>
          <w:tcPr/>
          <w:p>
            <w:pPr>
              <w:pStyle w:val="Compact"/>
              <w:jc w:val="right"/>
            </w:pPr>
            <w:r>
              <w:t xml:space="preserve">218</w:t>
            </w:r>
          </w:p>
        </w:tc>
        <w:tc>
          <w:tcPr/>
          <w:p>
            <w:pPr>
              <w:pStyle w:val="Compact"/>
              <w:jc w:val="right"/>
            </w:pPr>
            <w:r>
              <w:t xml:space="preserve">544</w:t>
            </w:r>
          </w:p>
        </w:tc>
      </w:tr>
      <w:tr>
        <w:tc>
          <w:tcPr/>
          <w:p>
            <w:pPr>
              <w:pStyle w:val="Compact"/>
              <w:jc w:val="left"/>
            </w:pPr>
            <w:r>
              <w:t xml:space="preserve">LTLA</w:t>
            </w:r>
          </w:p>
        </w:tc>
        <w:tc>
          <w:tcPr/>
          <w:p>
            <w:pPr>
              <w:pStyle w:val="Compact"/>
              <w:jc w:val="right"/>
            </w:pPr>
            <w:r>
              <w:t xml:space="preserve">Rituximab</w:t>
            </w:r>
          </w:p>
        </w:tc>
        <w:tc>
          <w:tcPr/>
          <w:p>
            <w:pPr>
              <w:pStyle w:val="Compact"/>
              <w:jc w:val="right"/>
            </w:pPr>
            <w:r>
              <w:t xml:space="preserve">RR 1.5</w:t>
            </w:r>
          </w:p>
        </w:tc>
        <w:tc>
          <w:tcPr/>
          <w:p>
            <w:pPr>
              <w:pStyle w:val="Compact"/>
              <w:jc w:val="right"/>
            </w:pPr>
            <w:r>
              <w:t xml:space="preserve">0.09%</w:t>
            </w:r>
          </w:p>
        </w:tc>
        <w:tc>
          <w:tcPr/>
          <w:p>
            <w:pPr>
              <w:pStyle w:val="Compact"/>
              <w:jc w:val="right"/>
            </w:pPr>
            <w:r>
              <w:t xml:space="preserve">0.005%</w:t>
            </w:r>
          </w:p>
        </w:tc>
        <w:tc>
          <w:tcPr/>
          <w:p>
            <w:pPr>
              <w:pStyle w:val="Compact"/>
              <w:jc w:val="right"/>
            </w:pPr>
            <w:r>
              <w:t xml:space="preserve">2.2%</w:t>
            </w:r>
          </w:p>
        </w:tc>
        <w:tc>
          <w:tcPr/>
          <w:p>
            <w:pPr>
              <w:pStyle w:val="Compact"/>
              <w:jc w:val="right"/>
            </w:pPr>
            <w:r>
              <w:t xml:space="preserve">470</w:t>
            </w:r>
          </w:p>
        </w:tc>
        <w:tc>
          <w:tcPr/>
          <w:p>
            <w:pPr>
              <w:pStyle w:val="Compact"/>
              <w:jc w:val="right"/>
            </w:pPr>
            <w:r>
              <w:t xml:space="preserve">1174</w:t>
            </w:r>
          </w:p>
        </w:tc>
      </w:tr>
      <w:tr>
        <w:tc>
          <w:tcPr/>
          <w:p>
            <w:pPr>
              <w:pStyle w:val="Compact"/>
              <w:jc w:val="left"/>
            </w:pPr>
            <w:r>
              <w:t xml:space="preserve">LTLA</w:t>
            </w:r>
          </w:p>
        </w:tc>
        <w:tc>
          <w:tcPr/>
          <w:p>
            <w:pPr>
              <w:pStyle w:val="Compact"/>
              <w:jc w:val="right"/>
            </w:pPr>
            <w:r>
              <w:t xml:space="preserve">Calcineurin/mTOR inhibitors</w:t>
            </w:r>
          </w:p>
        </w:tc>
        <w:tc>
          <w:tcPr/>
          <w:p>
            <w:pPr>
              <w:pStyle w:val="Compact"/>
              <w:jc w:val="right"/>
            </w:pPr>
            <w:r>
              <w:t xml:space="preserve">RR 10 (solid organ transplant)</w:t>
            </w:r>
          </w:p>
        </w:tc>
        <w:tc>
          <w:tcPr/>
          <w:p>
            <w:pPr>
              <w:pStyle w:val="Compact"/>
              <w:jc w:val="right"/>
            </w:pPr>
            <w:r>
              <w:t xml:space="preserve">0.07%</w:t>
            </w:r>
          </w:p>
        </w:tc>
        <w:tc>
          <w:tcPr/>
          <w:p>
            <w:pPr>
              <w:pStyle w:val="Compact"/>
              <w:jc w:val="right"/>
            </w:pPr>
            <w:r>
              <w:t xml:space="preserve">0.066%</w:t>
            </w:r>
          </w:p>
        </w:tc>
        <w:tc>
          <w:tcPr/>
          <w:p>
            <w:pPr>
              <w:pStyle w:val="Compact"/>
              <w:jc w:val="right"/>
            </w:pPr>
            <w:r>
              <w:t xml:space="preserve">1.6%</w:t>
            </w:r>
          </w:p>
        </w:tc>
        <w:tc>
          <w:tcPr/>
          <w:p>
            <w:pPr>
              <w:pStyle w:val="Compact"/>
              <w:jc w:val="right"/>
            </w:pPr>
            <w:r>
              <w:t xml:space="preserve">25</w:t>
            </w:r>
          </w:p>
        </w:tc>
        <w:tc>
          <w:tcPr/>
          <w:p>
            <w:pPr>
              <w:pStyle w:val="Compact"/>
              <w:jc w:val="right"/>
            </w:pPr>
            <w:r>
              <w:t xml:space="preserve">61</w:t>
            </w:r>
          </w:p>
        </w:tc>
      </w:tr>
      <w:tr>
        <w:tc>
          <w:tcPr/>
          <w:p>
            <w:pPr>
              <w:pStyle w:val="Compact"/>
              <w:jc w:val="left"/>
            </w:pPr>
            <w:r>
              <w:t xml:space="preserve">LTLA</w:t>
            </w:r>
          </w:p>
        </w:tc>
        <w:tc>
          <w:tcPr/>
          <w:p>
            <w:pPr>
              <w:pStyle w:val="Compact"/>
              <w:jc w:val="right"/>
            </w:pPr>
            <w:r>
              <w:t xml:space="preserve">Antiproliferatives</w:t>
            </w:r>
          </w:p>
        </w:tc>
        <w:tc>
          <w:tcPr/>
          <w:p>
            <w:pPr>
              <w:pStyle w:val="Compact"/>
              <w:jc w:val="right"/>
            </w:pPr>
            <w:r>
              <w:t xml:space="preserve">RR 2</w:t>
            </w:r>
          </w:p>
        </w:tc>
        <w:tc>
          <w:tcPr/>
          <w:p>
            <w:pPr>
              <w:pStyle w:val="Compact"/>
              <w:jc w:val="right"/>
            </w:pPr>
            <w:r>
              <w:t xml:space="preserve">0.16%</w:t>
            </w:r>
          </w:p>
        </w:tc>
        <w:tc>
          <w:tcPr/>
          <w:p>
            <w:pPr>
              <w:pStyle w:val="Compact"/>
              <w:jc w:val="right"/>
            </w:pPr>
            <w:r>
              <w:t xml:space="preserve">0.016%</w:t>
            </w:r>
          </w:p>
        </w:tc>
        <w:tc>
          <w:tcPr/>
          <w:p>
            <w:pPr>
              <w:pStyle w:val="Compact"/>
              <w:jc w:val="right"/>
            </w:pPr>
            <w:r>
              <w:t xml:space="preserve">2.2%</w:t>
            </w:r>
          </w:p>
        </w:tc>
        <w:tc>
          <w:tcPr/>
          <w:p>
            <w:pPr>
              <w:pStyle w:val="Compact"/>
              <w:jc w:val="right"/>
            </w:pPr>
            <w:r>
              <w:t xml:space="preserve">138</w:t>
            </w:r>
          </w:p>
        </w:tc>
        <w:tc>
          <w:tcPr/>
          <w:p>
            <w:pPr>
              <w:pStyle w:val="Compact"/>
              <w:jc w:val="right"/>
            </w:pPr>
            <w:r>
              <w:t xml:space="preserve">345</w:t>
            </w:r>
          </w:p>
        </w:tc>
      </w:tr>
    </w:tbl>
    <w:p>
      <w:pPr>
        <w:pStyle w:val="BodyText"/>
      </w:pPr>
      <w:r>
        <w:t xml:space="preserve">Relative risks are illustrative values, not estimates. DDD-years per resident approximate the proportion treated only for continuous maintenance therapy. The attenuated column divides the expected effect by the positive control’s same-year elasticity (UTLA 0.36, 95% CI 0.10–0.62; LTLA 0.40, 95% CI 0.14–0.66). This assumes the same linkage attenuation for previous-year exposure and for drugs with other supply routes (homecare, specialist centres), and the elasticity also reflects variation in drug volume per person treated, so the attenuated ratios are illustrative.</w:t>
      </w:r>
    </w:p>
    <w:p>
      <w:pPr>
        <w:pStyle w:val="BodyText"/>
      </w:pPr>
      <w:r>
        <w:rPr>
          <w:b/>
          <w:bCs/>
        </w:rPr>
        <w:t xml:space="preserve">Table S4. Permutation-based power simulation (systemic oral glucocorticoids, exposure t−1)</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Level</w:t>
            </w:r>
          </w:p>
        </w:tc>
        <w:tc>
          <w:tcPr/>
          <w:p>
            <w:pPr>
              <w:pStyle w:val="Compact"/>
              <w:jc w:val="right"/>
            </w:pPr>
            <w:r>
              <w:t xml:space="preserve">Scenario</w:t>
            </w:r>
          </w:p>
        </w:tc>
        <w:tc>
          <w:tcPr/>
          <w:p>
            <w:pPr>
              <w:pStyle w:val="Compact"/>
              <w:jc w:val="right"/>
            </w:pPr>
            <w:r>
              <w:t xml:space="preserve">Replicates</w:t>
            </w:r>
          </w:p>
        </w:tc>
        <w:tc>
          <w:tcPr/>
          <w:p>
            <w:pPr>
              <w:pStyle w:val="Compact"/>
              <w:jc w:val="right"/>
            </w:pPr>
            <w:r>
              <w:t xml:space="preserve">Two-sided rejection</w:t>
            </w:r>
          </w:p>
        </w:tc>
        <w:tc>
          <w:tcPr/>
          <w:p>
            <w:pPr>
              <w:pStyle w:val="Compact"/>
              <w:jc w:val="right"/>
            </w:pPr>
            <w:r>
              <w:t xml:space="preserve">Power, correct direction (95% MC interval)</w:t>
            </w:r>
          </w:p>
        </w:tc>
        <w:tc>
          <w:tcPr/>
          <w:p>
            <w:pPr>
              <w:pStyle w:val="Compact"/>
              <w:jc w:val="right"/>
            </w:pPr>
            <w:r>
              <w:t xml:space="preserve">Analytic power at real-data SE</w:t>
            </w:r>
          </w:p>
        </w:tc>
        <w:tc>
          <w:tcPr/>
          <w:p>
            <w:pPr>
              <w:pStyle w:val="Compact"/>
              <w:jc w:val="right"/>
            </w:pPr>
            <w:r>
              <w:t xml:space="preserve">Median estimated IRR per 10%</w:t>
            </w:r>
          </w:p>
        </w:tc>
        <w:tc>
          <w:tcPr/>
          <w:p>
            <w:pPr>
              <w:pStyle w:val="Compact"/>
              <w:jc w:val="right"/>
            </w:pPr>
            <w:r>
              <w:t xml:space="preserve">Median replicate SE</w:t>
            </w:r>
          </w:p>
        </w:tc>
        <w:tc>
          <w:tcPr/>
          <w:p>
            <w:pPr>
              <w:pStyle w:val="Compact"/>
              <w:jc w:val="right"/>
            </w:pPr>
            <w:r>
              <w:t xml:space="preserve">Null empirical SD</w:t>
            </w:r>
          </w:p>
        </w:tc>
        <w:tc>
          <w:tcPr/>
          <w:p>
            <w:pPr>
              <w:pStyle w:val="Compact"/>
              <w:jc w:val="right"/>
            </w:pPr>
            <w:r>
              <w:t xml:space="preserve">Real-data SE</w:t>
            </w:r>
          </w:p>
        </w:tc>
      </w:tr>
      <w:tr>
        <w:tc>
          <w:tcPr/>
          <w:p>
            <w:pPr>
              <w:pStyle w:val="Compact"/>
              <w:jc w:val="left"/>
            </w:pPr>
            <w:r>
              <w:t xml:space="preserve">LTLA</w:t>
            </w:r>
          </w:p>
        </w:tc>
        <w:tc>
          <w:tcPr/>
          <w:p>
            <w:pPr>
              <w:pStyle w:val="Compact"/>
              <w:jc w:val="right"/>
            </w:pPr>
            <w:r>
              <w:t xml:space="preserve">No effect</w:t>
            </w:r>
          </w:p>
        </w:tc>
        <w:tc>
          <w:tcPr/>
          <w:p>
            <w:pPr>
              <w:pStyle w:val="Compact"/>
              <w:jc w:val="right"/>
            </w:pPr>
            <w:r>
              <w:t xml:space="preserve">500</w:t>
            </w:r>
          </w:p>
        </w:tc>
        <w:tc>
          <w:tcPr/>
          <w:p>
            <w:pPr>
              <w:pStyle w:val="Compact"/>
              <w:jc w:val="right"/>
            </w:pPr>
            <w:r>
              <w:t xml:space="preserve">7.8%</w:t>
            </w:r>
          </w:p>
        </w:tc>
        <w:tc>
          <w:tcPr/>
          <w:p>
            <w:pPr>
              <w:pStyle w:val="Compact"/>
              <w:jc w:val="right"/>
            </w:pPr>
            <w:r>
              <w:t xml:space="preserve">3.8% (±1.7)</w:t>
            </w:r>
          </w:p>
        </w:tc>
        <w:tc>
          <w:tcPr/>
          <w:p>
            <w:pPr>
              <w:pStyle w:val="Compact"/>
              <w:jc w:val="right"/>
            </w:pPr>
            <w:r>
              <w:t xml:space="preserve">5.1%</w:t>
            </w:r>
          </w:p>
        </w:tc>
        <w:tc>
          <w:tcPr/>
          <w:p>
            <w:pPr>
              <w:pStyle w:val="Compact"/>
              <w:jc w:val="right"/>
            </w:pPr>
            <w:r>
              <w:t xml:space="preserve">1.002</w:t>
            </w:r>
          </w:p>
        </w:tc>
        <w:tc>
          <w:tcPr/>
          <w:p>
            <w:pPr>
              <w:pStyle w:val="Compact"/>
              <w:jc w:val="right"/>
            </w:pPr>
            <w:r>
              <w:t xml:space="preserve">0.0161</w:t>
            </w:r>
          </w:p>
        </w:tc>
        <w:tc>
          <w:tcPr/>
          <w:p>
            <w:pPr>
              <w:pStyle w:val="Compact"/>
              <w:jc w:val="right"/>
            </w:pPr>
            <w:r>
              <w:t xml:space="preserve">0.0166</w:t>
            </w:r>
          </w:p>
        </w:tc>
        <w:tc>
          <w:tcPr/>
          <w:p>
            <w:pPr>
              <w:pStyle w:val="Compact"/>
              <w:jc w:val="right"/>
            </w:pPr>
            <w:r>
              <w:t xml:space="preserve">0.0218</w:t>
            </w:r>
          </w:p>
        </w:tc>
      </w:tr>
      <w:tr>
        <w:tc>
          <w:tcPr/>
          <w:p>
            <w:pPr>
              <w:pStyle w:val="Compact"/>
              <w:jc w:val="left"/>
            </w:pPr>
            <w:r>
              <w:t xml:space="preserve">LTLA</w:t>
            </w:r>
          </w:p>
        </w:tc>
        <w:tc>
          <w:tcPr/>
          <w:p>
            <w:pPr>
              <w:pStyle w:val="Compact"/>
              <w:jc w:val="right"/>
            </w:pPr>
            <w:r>
              <w:t xml:space="preserve">Published RR 4.9</w:t>
            </w:r>
          </w:p>
        </w:tc>
        <w:tc>
          <w:tcPr/>
          <w:p>
            <w:pPr>
              <w:pStyle w:val="Compact"/>
              <w:jc w:val="right"/>
            </w:pPr>
            <w:r>
              <w:t xml:space="preserve">300</w:t>
            </w:r>
          </w:p>
        </w:tc>
        <w:tc>
          <w:tcPr/>
          <w:p>
            <w:pPr>
              <w:pStyle w:val="Compact"/>
              <w:jc w:val="right"/>
            </w:pPr>
            <w:r>
              <w:t xml:space="preserve">8.3%</w:t>
            </w:r>
          </w:p>
        </w:tc>
        <w:tc>
          <w:tcPr/>
          <w:p>
            <w:pPr>
              <w:pStyle w:val="Compact"/>
              <w:jc w:val="right"/>
            </w:pPr>
            <w:r>
              <w:t xml:space="preserve">6.0% (±2.7)</w:t>
            </w:r>
          </w:p>
        </w:tc>
        <w:tc>
          <w:tcPr/>
          <w:p>
            <w:pPr>
              <w:pStyle w:val="Compact"/>
              <w:jc w:val="right"/>
            </w:pPr>
            <w:r>
              <w:t xml:space="preserve">5.2%</w:t>
            </w:r>
          </w:p>
        </w:tc>
        <w:tc>
          <w:tcPr/>
          <w:p>
            <w:pPr>
              <w:pStyle w:val="Compact"/>
              <w:jc w:val="right"/>
            </w:pPr>
            <w:r>
              <w:t xml:space="preserve">1.003</w:t>
            </w:r>
          </w:p>
        </w:tc>
        <w:tc>
          <w:tcPr/>
          <w:p>
            <w:pPr>
              <w:pStyle w:val="Compact"/>
              <w:jc w:val="right"/>
            </w:pPr>
            <w:r>
              <w:t xml:space="preserve">0.0161</w:t>
            </w:r>
          </w:p>
        </w:tc>
        <w:tc>
          <w:tcPr/>
          <w:p>
            <w:pPr>
              <w:pStyle w:val="Compact"/>
              <w:jc w:val="right"/>
            </w:pPr>
            <w:r>
              <w:t xml:space="preserve">0.0166</w:t>
            </w:r>
          </w:p>
        </w:tc>
        <w:tc>
          <w:tcPr/>
          <w:p>
            <w:pPr>
              <w:pStyle w:val="Compact"/>
              <w:jc w:val="right"/>
            </w:pPr>
            <w:r>
              <w:t xml:space="preserve">0.0218</w:t>
            </w:r>
          </w:p>
        </w:tc>
      </w:tr>
      <w:tr>
        <w:tc>
          <w:tcPr/>
          <w:p>
            <w:pPr>
              <w:pStyle w:val="Compact"/>
              <w:jc w:val="left"/>
            </w:pPr>
            <w:r>
              <w:t xml:space="preserve">LTLA</w:t>
            </w:r>
          </w:p>
        </w:tc>
        <w:tc>
          <w:tcPr/>
          <w:p>
            <w:pPr>
              <w:pStyle w:val="Compact"/>
              <w:jc w:val="right"/>
            </w:pPr>
            <w:r>
              <w:t xml:space="preserve">RR 25</w:t>
            </w:r>
          </w:p>
        </w:tc>
        <w:tc>
          <w:tcPr/>
          <w:p>
            <w:pPr>
              <w:pStyle w:val="Compact"/>
              <w:jc w:val="right"/>
            </w:pPr>
            <w:r>
              <w:t xml:space="preserve">300</w:t>
            </w:r>
          </w:p>
        </w:tc>
        <w:tc>
          <w:tcPr/>
          <w:p>
            <w:pPr>
              <w:pStyle w:val="Compact"/>
              <w:jc w:val="right"/>
            </w:pPr>
            <w:r>
              <w:t xml:space="preserve">17.7%</w:t>
            </w:r>
          </w:p>
        </w:tc>
        <w:tc>
          <w:tcPr/>
          <w:p>
            <w:pPr>
              <w:pStyle w:val="Compact"/>
              <w:jc w:val="right"/>
            </w:pPr>
            <w:r>
              <w:t xml:space="preserve">17.7% (±4.3)</w:t>
            </w:r>
          </w:p>
        </w:tc>
        <w:tc>
          <w:tcPr/>
          <w:p>
            <w:pPr>
              <w:pStyle w:val="Compact"/>
              <w:jc w:val="right"/>
            </w:pPr>
            <w:r>
              <w:t xml:space="preserve">12.2%</w:t>
            </w:r>
          </w:p>
        </w:tc>
        <w:tc>
          <w:tcPr/>
          <w:p>
            <w:pPr>
              <w:pStyle w:val="Compact"/>
              <w:jc w:val="right"/>
            </w:pPr>
            <w:r>
              <w:t xml:space="preserve">1.017</w:t>
            </w:r>
          </w:p>
        </w:tc>
        <w:tc>
          <w:tcPr/>
          <w:p>
            <w:pPr>
              <w:pStyle w:val="Compact"/>
              <w:jc w:val="right"/>
            </w:pPr>
            <w:r>
              <w:t xml:space="preserve">0.0161</w:t>
            </w:r>
          </w:p>
        </w:tc>
        <w:tc>
          <w:tcPr/>
          <w:p>
            <w:pPr>
              <w:pStyle w:val="Compact"/>
              <w:jc w:val="right"/>
            </w:pPr>
            <w:r>
              <w:t xml:space="preserve">0.0166</w:t>
            </w:r>
          </w:p>
        </w:tc>
        <w:tc>
          <w:tcPr/>
          <w:p>
            <w:pPr>
              <w:pStyle w:val="Compact"/>
              <w:jc w:val="right"/>
            </w:pPr>
            <w:r>
              <w:t xml:space="preserve">0.0218</w:t>
            </w:r>
          </w:p>
        </w:tc>
      </w:tr>
      <w:tr>
        <w:tc>
          <w:tcPr/>
          <w:p>
            <w:pPr>
              <w:pStyle w:val="Compact"/>
              <w:jc w:val="left"/>
            </w:pPr>
            <w:r>
              <w:t xml:space="preserve">LTLA</w:t>
            </w:r>
          </w:p>
        </w:tc>
        <w:tc>
          <w:tcPr/>
          <w:p>
            <w:pPr>
              <w:pStyle w:val="Compact"/>
              <w:jc w:val="right"/>
            </w:pPr>
            <w:r>
              <w:t xml:space="preserve">RR 100</w:t>
            </w:r>
          </w:p>
        </w:tc>
        <w:tc>
          <w:tcPr/>
          <w:p>
            <w:pPr>
              <w:pStyle w:val="Compact"/>
              <w:jc w:val="right"/>
            </w:pPr>
            <w:r>
              <w:t xml:space="preserve">300</w:t>
            </w:r>
          </w:p>
        </w:tc>
        <w:tc>
          <w:tcPr/>
          <w:p>
            <w:pPr>
              <w:pStyle w:val="Compact"/>
              <w:jc w:val="right"/>
            </w:pPr>
            <w:r>
              <w:t xml:space="preserve">71.0%</w:t>
            </w:r>
          </w:p>
        </w:tc>
        <w:tc>
          <w:tcPr/>
          <w:p>
            <w:pPr>
              <w:pStyle w:val="Compact"/>
              <w:jc w:val="right"/>
            </w:pPr>
            <w:r>
              <w:t xml:space="preserve">71.0% (±5.1)</w:t>
            </w:r>
          </w:p>
        </w:tc>
        <w:tc>
          <w:tcPr/>
          <w:p>
            <w:pPr>
              <w:pStyle w:val="Compact"/>
              <w:jc w:val="right"/>
            </w:pPr>
            <w:r>
              <w:t xml:space="preserve">52.1%</w:t>
            </w:r>
          </w:p>
        </w:tc>
        <w:tc>
          <w:tcPr/>
          <w:p>
            <w:pPr>
              <w:pStyle w:val="Compact"/>
              <w:jc w:val="right"/>
            </w:pPr>
            <w:r>
              <w:t xml:space="preserve">1.045</w:t>
            </w:r>
          </w:p>
        </w:tc>
        <w:tc>
          <w:tcPr/>
          <w:p>
            <w:pPr>
              <w:pStyle w:val="Compact"/>
              <w:jc w:val="right"/>
            </w:pPr>
            <w:r>
              <w:t xml:space="preserve">0.0161</w:t>
            </w:r>
          </w:p>
        </w:tc>
        <w:tc>
          <w:tcPr/>
          <w:p>
            <w:pPr>
              <w:pStyle w:val="Compact"/>
              <w:jc w:val="right"/>
            </w:pPr>
            <w:r>
              <w:t xml:space="preserve">0.0166</w:t>
            </w:r>
          </w:p>
        </w:tc>
        <w:tc>
          <w:tcPr/>
          <w:p>
            <w:pPr>
              <w:pStyle w:val="Compact"/>
              <w:jc w:val="right"/>
            </w:pPr>
            <w:r>
              <w:t xml:space="preserve">0.0218</w:t>
            </w:r>
          </w:p>
        </w:tc>
      </w:tr>
      <w:tr>
        <w:tc>
          <w:tcPr/>
          <w:p>
            <w:pPr>
              <w:pStyle w:val="Compact"/>
              <w:jc w:val="left"/>
            </w:pPr>
            <w:r>
              <w:t xml:space="preserve">LTLA</w:t>
            </w:r>
          </w:p>
        </w:tc>
        <w:tc>
          <w:tcPr/>
          <w:p>
            <w:pPr>
              <w:pStyle w:val="Compact"/>
              <w:jc w:val="right"/>
            </w:pPr>
            <w:r>
              <w:t xml:space="preserve">IRR 1.02 per 10%</w:t>
            </w:r>
          </w:p>
        </w:tc>
        <w:tc>
          <w:tcPr/>
          <w:p>
            <w:pPr>
              <w:pStyle w:val="Compact"/>
              <w:jc w:val="right"/>
            </w:pPr>
            <w:r>
              <w:t xml:space="preserve">300</w:t>
            </w:r>
          </w:p>
        </w:tc>
        <w:tc>
          <w:tcPr/>
          <w:p>
            <w:pPr>
              <w:pStyle w:val="Compact"/>
              <w:jc w:val="right"/>
            </w:pPr>
            <w:r>
              <w:t xml:space="preserve">21.7%</w:t>
            </w:r>
          </w:p>
        </w:tc>
        <w:tc>
          <w:tcPr/>
          <w:p>
            <w:pPr>
              <w:pStyle w:val="Compact"/>
              <w:jc w:val="right"/>
            </w:pPr>
            <w:r>
              <w:t xml:space="preserve">21.7% (±4.7)</w:t>
            </w:r>
          </w:p>
        </w:tc>
        <w:tc>
          <w:tcPr/>
          <w:p>
            <w:pPr>
              <w:pStyle w:val="Compact"/>
              <w:jc w:val="right"/>
            </w:pPr>
            <w:r>
              <w:t xml:space="preserve">14.3%</w:t>
            </w:r>
          </w:p>
        </w:tc>
        <w:tc>
          <w:tcPr/>
          <w:p>
            <w:pPr>
              <w:pStyle w:val="Compact"/>
              <w:jc w:val="right"/>
            </w:pPr>
            <w:r>
              <w:t xml:space="preserve">1.019</w:t>
            </w:r>
          </w:p>
        </w:tc>
        <w:tc>
          <w:tcPr/>
          <w:p>
            <w:pPr>
              <w:pStyle w:val="Compact"/>
              <w:jc w:val="right"/>
            </w:pPr>
            <w:r>
              <w:t xml:space="preserve">0.0161</w:t>
            </w:r>
          </w:p>
        </w:tc>
        <w:tc>
          <w:tcPr/>
          <w:p>
            <w:pPr>
              <w:pStyle w:val="Compact"/>
              <w:jc w:val="right"/>
            </w:pPr>
            <w:r>
              <w:t xml:space="preserve">0.0166</w:t>
            </w:r>
          </w:p>
        </w:tc>
        <w:tc>
          <w:tcPr/>
          <w:p>
            <w:pPr>
              <w:pStyle w:val="Compact"/>
              <w:jc w:val="right"/>
            </w:pPr>
            <w:r>
              <w:t xml:space="preserve">0.0218</w:t>
            </w:r>
          </w:p>
        </w:tc>
      </w:tr>
      <w:tr>
        <w:tc>
          <w:tcPr/>
          <w:p>
            <w:pPr>
              <w:pStyle w:val="Compact"/>
              <w:jc w:val="left"/>
            </w:pPr>
            <w:r>
              <w:t xml:space="preserve">LTLA</w:t>
            </w:r>
          </w:p>
        </w:tc>
        <w:tc>
          <w:tcPr/>
          <w:p>
            <w:pPr>
              <w:pStyle w:val="Compact"/>
              <w:jc w:val="right"/>
            </w:pPr>
            <w:r>
              <w:t xml:space="preserve">IRR 1.05 per 10%</w:t>
            </w:r>
          </w:p>
        </w:tc>
        <w:tc>
          <w:tcPr/>
          <w:p>
            <w:pPr>
              <w:pStyle w:val="Compact"/>
              <w:jc w:val="right"/>
            </w:pPr>
            <w:r>
              <w:t xml:space="preserve">300</w:t>
            </w:r>
          </w:p>
        </w:tc>
        <w:tc>
          <w:tcPr/>
          <w:p>
            <w:pPr>
              <w:pStyle w:val="Compact"/>
              <w:jc w:val="right"/>
            </w:pPr>
            <w:r>
              <w:t xml:space="preserve">83.0%</w:t>
            </w:r>
          </w:p>
        </w:tc>
        <w:tc>
          <w:tcPr/>
          <w:p>
            <w:pPr>
              <w:pStyle w:val="Compact"/>
              <w:jc w:val="right"/>
            </w:pPr>
            <w:r>
              <w:t xml:space="preserve">83.0% (±4.3)</w:t>
            </w:r>
          </w:p>
        </w:tc>
        <w:tc>
          <w:tcPr/>
          <w:p>
            <w:pPr>
              <w:pStyle w:val="Compact"/>
              <w:jc w:val="right"/>
            </w:pPr>
            <w:r>
              <w:t xml:space="preserve">64.6%</w:t>
            </w:r>
          </w:p>
        </w:tc>
        <w:tc>
          <w:tcPr/>
          <w:p>
            <w:pPr>
              <w:pStyle w:val="Compact"/>
              <w:jc w:val="right"/>
            </w:pPr>
            <w:r>
              <w:t xml:space="preserve">1.052</w:t>
            </w:r>
          </w:p>
        </w:tc>
        <w:tc>
          <w:tcPr/>
          <w:p>
            <w:pPr>
              <w:pStyle w:val="Compact"/>
              <w:jc w:val="right"/>
            </w:pPr>
            <w:r>
              <w:t xml:space="preserve">0.0161</w:t>
            </w:r>
          </w:p>
        </w:tc>
        <w:tc>
          <w:tcPr/>
          <w:p>
            <w:pPr>
              <w:pStyle w:val="Compact"/>
              <w:jc w:val="right"/>
            </w:pPr>
            <w:r>
              <w:t xml:space="preserve">0.0166</w:t>
            </w:r>
          </w:p>
        </w:tc>
        <w:tc>
          <w:tcPr/>
          <w:p>
            <w:pPr>
              <w:pStyle w:val="Compact"/>
              <w:jc w:val="right"/>
            </w:pPr>
            <w:r>
              <w:t xml:space="preserve">0.0218</w:t>
            </w:r>
          </w:p>
        </w:tc>
      </w:tr>
      <w:tr>
        <w:tc>
          <w:tcPr/>
          <w:p>
            <w:pPr>
              <w:pStyle w:val="Compact"/>
              <w:jc w:val="left"/>
            </w:pPr>
            <w:r>
              <w:t xml:space="preserve">LTLA</w:t>
            </w:r>
          </w:p>
        </w:tc>
        <w:tc>
          <w:tcPr/>
          <w:p>
            <w:pPr>
              <w:pStyle w:val="Compact"/>
              <w:jc w:val="right"/>
            </w:pPr>
            <w:r>
              <w:t xml:space="preserve">IRR 1.10 per 10%</w:t>
            </w:r>
          </w:p>
        </w:tc>
        <w:tc>
          <w:tcPr/>
          <w:p>
            <w:pPr>
              <w:pStyle w:val="Compact"/>
              <w:jc w:val="right"/>
            </w:pPr>
            <w:r>
              <w:t xml:space="preserve">300</w:t>
            </w:r>
          </w:p>
        </w:tc>
        <w:tc>
          <w:tcPr/>
          <w:p>
            <w:pPr>
              <w:pStyle w:val="Compact"/>
              <w:jc w:val="right"/>
            </w:pPr>
            <w:r>
              <w:t xml:space="preserve">100.0%</w:t>
            </w:r>
          </w:p>
        </w:tc>
        <w:tc>
          <w:tcPr/>
          <w:p>
            <w:pPr>
              <w:pStyle w:val="Compact"/>
              <w:jc w:val="right"/>
            </w:pPr>
            <w:r>
              <w:t xml:space="preserve">100.0% (±0.0)</w:t>
            </w:r>
          </w:p>
        </w:tc>
        <w:tc>
          <w:tcPr/>
          <w:p>
            <w:pPr>
              <w:pStyle w:val="Compact"/>
              <w:jc w:val="right"/>
            </w:pPr>
            <w:r>
              <w:t xml:space="preserve">99.4%</w:t>
            </w:r>
          </w:p>
        </w:tc>
        <w:tc>
          <w:tcPr/>
          <w:p>
            <w:pPr>
              <w:pStyle w:val="Compact"/>
              <w:jc w:val="right"/>
            </w:pPr>
            <w:r>
              <w:t xml:space="preserve">1.102</w:t>
            </w:r>
          </w:p>
        </w:tc>
        <w:tc>
          <w:tcPr/>
          <w:p>
            <w:pPr>
              <w:pStyle w:val="Compact"/>
              <w:jc w:val="right"/>
            </w:pPr>
            <w:r>
              <w:t xml:space="preserve">0.0161</w:t>
            </w:r>
          </w:p>
        </w:tc>
        <w:tc>
          <w:tcPr/>
          <w:p>
            <w:pPr>
              <w:pStyle w:val="Compact"/>
              <w:jc w:val="right"/>
            </w:pPr>
            <w:r>
              <w:t xml:space="preserve">0.0166</w:t>
            </w:r>
          </w:p>
        </w:tc>
        <w:tc>
          <w:tcPr/>
          <w:p>
            <w:pPr>
              <w:pStyle w:val="Compact"/>
              <w:jc w:val="right"/>
            </w:pPr>
            <w:r>
              <w:t xml:space="preserve">0.0218</w:t>
            </w:r>
          </w:p>
        </w:tc>
      </w:tr>
      <w:tr>
        <w:tc>
          <w:tcPr/>
          <w:p>
            <w:pPr>
              <w:pStyle w:val="Compact"/>
              <w:jc w:val="left"/>
            </w:pPr>
            <w:r>
              <w:t xml:space="preserve">LTLA</w:t>
            </w:r>
          </w:p>
        </w:tc>
        <w:tc>
          <w:tcPr/>
          <w:p>
            <w:pPr>
              <w:pStyle w:val="Compact"/>
              <w:jc w:val="right"/>
            </w:pPr>
            <w:r>
              <w:t xml:space="preserve">IRR 1.05 per 10%, acting via concurrent year</w:t>
            </w:r>
          </w:p>
        </w:tc>
        <w:tc>
          <w:tcPr/>
          <w:p>
            <w:pPr>
              <w:pStyle w:val="Compact"/>
              <w:jc w:val="right"/>
            </w:pPr>
            <w:r>
              <w:t xml:space="preserve">300</w:t>
            </w:r>
          </w:p>
        </w:tc>
        <w:tc>
          <w:tcPr/>
          <w:p>
            <w:pPr>
              <w:pStyle w:val="Compact"/>
              <w:jc w:val="right"/>
            </w:pPr>
            <w:r>
              <w:t xml:space="preserve">61.7%</w:t>
            </w:r>
          </w:p>
        </w:tc>
        <w:tc>
          <w:tcPr/>
          <w:p>
            <w:pPr>
              <w:pStyle w:val="Compact"/>
              <w:jc w:val="right"/>
            </w:pPr>
            <w:r>
              <w:t xml:space="preserve">61.7% (±5.5)</w:t>
            </w:r>
          </w:p>
        </w:tc>
        <w:tc>
          <w:tcPr/>
          <w:p>
            <w:pPr>
              <w:pStyle w:val="Compact"/>
              <w:jc w:val="right"/>
            </w:pPr>
            <w:r>
              <w:t xml:space="preserve">41.0%</w:t>
            </w:r>
          </w:p>
        </w:tc>
        <w:tc>
          <w:tcPr/>
          <w:p>
            <w:pPr>
              <w:pStyle w:val="Compact"/>
              <w:jc w:val="right"/>
            </w:pPr>
            <w:r>
              <w:t xml:space="preserve">1.039</w:t>
            </w:r>
          </w:p>
        </w:tc>
        <w:tc>
          <w:tcPr/>
          <w:p>
            <w:pPr>
              <w:pStyle w:val="Compact"/>
              <w:jc w:val="right"/>
            </w:pPr>
            <w:r>
              <w:t xml:space="preserve">0.0161</w:t>
            </w:r>
          </w:p>
        </w:tc>
        <w:tc>
          <w:tcPr/>
          <w:p>
            <w:pPr>
              <w:pStyle w:val="Compact"/>
              <w:jc w:val="right"/>
            </w:pPr>
            <w:r>
              <w:t xml:space="preserve">0.0166</w:t>
            </w:r>
          </w:p>
        </w:tc>
        <w:tc>
          <w:tcPr/>
          <w:p>
            <w:pPr>
              <w:pStyle w:val="Compact"/>
              <w:jc w:val="right"/>
            </w:pPr>
            <w:r>
              <w:t xml:space="preserve">0.0218</w:t>
            </w:r>
          </w:p>
        </w:tc>
      </w:tr>
      <w:tr>
        <w:tc>
          <w:tcPr/>
          <w:p>
            <w:pPr>
              <w:pStyle w:val="Compact"/>
              <w:jc w:val="left"/>
            </w:pPr>
            <w:r>
              <w:t xml:space="preserve">LTLA</w:t>
            </w:r>
          </w:p>
        </w:tc>
        <w:tc>
          <w:tcPr/>
          <w:p>
            <w:pPr>
              <w:pStyle w:val="Compact"/>
              <w:jc w:val="right"/>
            </w:pPr>
            <w:r>
              <w:t xml:space="preserve">IRR 1.10 per 10%, acting via concurrent year</w:t>
            </w:r>
          </w:p>
        </w:tc>
        <w:tc>
          <w:tcPr/>
          <w:p>
            <w:pPr>
              <w:pStyle w:val="Compact"/>
              <w:jc w:val="right"/>
            </w:pPr>
            <w:r>
              <w:t xml:space="preserve">300</w:t>
            </w:r>
          </w:p>
        </w:tc>
        <w:tc>
          <w:tcPr/>
          <w:p>
            <w:pPr>
              <w:pStyle w:val="Compact"/>
              <w:jc w:val="right"/>
            </w:pPr>
            <w:r>
              <w:t xml:space="preserve">99.3%</w:t>
            </w:r>
          </w:p>
        </w:tc>
        <w:tc>
          <w:tcPr/>
          <w:p>
            <w:pPr>
              <w:pStyle w:val="Compact"/>
              <w:jc w:val="right"/>
            </w:pPr>
            <w:r>
              <w:t xml:space="preserve">99.3% (±0.9)</w:t>
            </w:r>
          </w:p>
        </w:tc>
        <w:tc>
          <w:tcPr/>
          <w:p>
            <w:pPr>
              <w:pStyle w:val="Compact"/>
              <w:jc w:val="right"/>
            </w:pPr>
            <w:r>
              <w:t xml:space="preserve">94.2%</w:t>
            </w:r>
          </w:p>
        </w:tc>
        <w:tc>
          <w:tcPr/>
          <w:p>
            <w:pPr>
              <w:pStyle w:val="Compact"/>
              <w:jc w:val="right"/>
            </w:pPr>
            <w:r>
              <w:t xml:space="preserve">1.080</w:t>
            </w:r>
          </w:p>
        </w:tc>
        <w:tc>
          <w:tcPr/>
          <w:p>
            <w:pPr>
              <w:pStyle w:val="Compact"/>
              <w:jc w:val="right"/>
            </w:pPr>
            <w:r>
              <w:t xml:space="preserve">0.0161</w:t>
            </w:r>
          </w:p>
        </w:tc>
        <w:tc>
          <w:tcPr/>
          <w:p>
            <w:pPr>
              <w:pStyle w:val="Compact"/>
              <w:jc w:val="right"/>
            </w:pPr>
            <w:r>
              <w:t xml:space="preserve">0.0166</w:t>
            </w:r>
          </w:p>
        </w:tc>
        <w:tc>
          <w:tcPr/>
          <w:p>
            <w:pPr>
              <w:pStyle w:val="Compact"/>
              <w:jc w:val="right"/>
            </w:pPr>
            <w:r>
              <w:t xml:space="preserve">0.0218</w:t>
            </w:r>
          </w:p>
        </w:tc>
      </w:tr>
      <w:tr>
        <w:tc>
          <w:tcPr/>
          <w:p>
            <w:pPr>
              <w:pStyle w:val="Compact"/>
              <w:jc w:val="left"/>
            </w:pPr>
            <w:r>
              <w:t xml:space="preserve">UTLA</w:t>
            </w:r>
          </w:p>
        </w:tc>
        <w:tc>
          <w:tcPr/>
          <w:p>
            <w:pPr>
              <w:pStyle w:val="Compact"/>
              <w:jc w:val="right"/>
            </w:pPr>
            <w:r>
              <w:t xml:space="preserve">No effect</w:t>
            </w:r>
          </w:p>
        </w:tc>
        <w:tc>
          <w:tcPr/>
          <w:p>
            <w:pPr>
              <w:pStyle w:val="Compact"/>
              <w:jc w:val="right"/>
            </w:pPr>
            <w:r>
              <w:t xml:space="preserve">500</w:t>
            </w:r>
          </w:p>
        </w:tc>
        <w:tc>
          <w:tcPr/>
          <w:p>
            <w:pPr>
              <w:pStyle w:val="Compact"/>
              <w:jc w:val="right"/>
            </w:pPr>
            <w:r>
              <w:t xml:space="preserve">7.6%</w:t>
            </w:r>
          </w:p>
        </w:tc>
        <w:tc>
          <w:tcPr/>
          <w:p>
            <w:pPr>
              <w:pStyle w:val="Compact"/>
              <w:jc w:val="right"/>
            </w:pPr>
            <w:r>
              <w:t xml:space="preserve">4.0% (±1.7)</w:t>
            </w:r>
          </w:p>
        </w:tc>
        <w:tc>
          <w:tcPr/>
          <w:p>
            <w:pPr>
              <w:pStyle w:val="Compact"/>
              <w:jc w:val="right"/>
            </w:pPr>
            <w:r>
              <w:t xml:space="preserve">5.0%</w:t>
            </w:r>
          </w:p>
        </w:tc>
        <w:tc>
          <w:tcPr/>
          <w:p>
            <w:pPr>
              <w:pStyle w:val="Compact"/>
              <w:jc w:val="right"/>
            </w:pPr>
            <w:r>
              <w:t xml:space="preserve">1.000</w:t>
            </w:r>
          </w:p>
        </w:tc>
        <w:tc>
          <w:tcPr/>
          <w:p>
            <w:pPr>
              <w:pStyle w:val="Compact"/>
              <w:jc w:val="right"/>
            </w:pPr>
            <w:r>
              <w:t xml:space="preserve">0.0167</w:t>
            </w:r>
          </w:p>
        </w:tc>
        <w:tc>
          <w:tcPr/>
          <w:p>
            <w:pPr>
              <w:pStyle w:val="Compact"/>
              <w:jc w:val="right"/>
            </w:pPr>
            <w:r>
              <w:t xml:space="preserve">0.0171</w:t>
            </w:r>
          </w:p>
        </w:tc>
        <w:tc>
          <w:tcPr/>
          <w:p>
            <w:pPr>
              <w:pStyle w:val="Compact"/>
              <w:jc w:val="right"/>
            </w:pPr>
            <w:r>
              <w:t xml:space="preserve">0.0249</w:t>
            </w:r>
          </w:p>
        </w:tc>
      </w:tr>
      <w:tr>
        <w:tc>
          <w:tcPr/>
          <w:p>
            <w:pPr>
              <w:pStyle w:val="Compact"/>
              <w:jc w:val="left"/>
            </w:pPr>
            <w:r>
              <w:t xml:space="preserve">UTLA</w:t>
            </w:r>
          </w:p>
        </w:tc>
        <w:tc>
          <w:tcPr/>
          <w:p>
            <w:pPr>
              <w:pStyle w:val="Compact"/>
              <w:jc w:val="right"/>
            </w:pPr>
            <w:r>
              <w:t xml:space="preserve">Published RR 4.9</w:t>
            </w:r>
          </w:p>
        </w:tc>
        <w:tc>
          <w:tcPr/>
          <w:p>
            <w:pPr>
              <w:pStyle w:val="Compact"/>
              <w:jc w:val="right"/>
            </w:pPr>
            <w:r>
              <w:t xml:space="preserve">300</w:t>
            </w:r>
          </w:p>
        </w:tc>
        <w:tc>
          <w:tcPr/>
          <w:p>
            <w:pPr>
              <w:pStyle w:val="Compact"/>
              <w:jc w:val="right"/>
            </w:pPr>
            <w:r>
              <w:t xml:space="preserve">8.0%</w:t>
            </w:r>
          </w:p>
        </w:tc>
        <w:tc>
          <w:tcPr/>
          <w:p>
            <w:pPr>
              <w:pStyle w:val="Compact"/>
              <w:jc w:val="right"/>
            </w:pPr>
            <w:r>
              <w:t xml:space="preserve">6.7% (±2.8)</w:t>
            </w:r>
          </w:p>
        </w:tc>
        <w:tc>
          <w:tcPr/>
          <w:p>
            <w:pPr>
              <w:pStyle w:val="Compact"/>
              <w:jc w:val="right"/>
            </w:pPr>
            <w:r>
              <w:t xml:space="preserve">5.1%</w:t>
            </w:r>
          </w:p>
        </w:tc>
        <w:tc>
          <w:tcPr/>
          <w:p>
            <w:pPr>
              <w:pStyle w:val="Compact"/>
              <w:jc w:val="right"/>
            </w:pPr>
            <w:r>
              <w:t xml:space="preserve">1.003</w:t>
            </w:r>
          </w:p>
        </w:tc>
        <w:tc>
          <w:tcPr/>
          <w:p>
            <w:pPr>
              <w:pStyle w:val="Compact"/>
              <w:jc w:val="right"/>
            </w:pPr>
            <w:r>
              <w:t xml:space="preserve">0.0167</w:t>
            </w:r>
          </w:p>
        </w:tc>
        <w:tc>
          <w:tcPr/>
          <w:p>
            <w:pPr>
              <w:pStyle w:val="Compact"/>
              <w:jc w:val="right"/>
            </w:pPr>
            <w:r>
              <w:t xml:space="preserve">0.0171</w:t>
            </w:r>
          </w:p>
        </w:tc>
        <w:tc>
          <w:tcPr/>
          <w:p>
            <w:pPr>
              <w:pStyle w:val="Compact"/>
              <w:jc w:val="right"/>
            </w:pPr>
            <w:r>
              <w:t xml:space="preserve">0.0249</w:t>
            </w:r>
          </w:p>
        </w:tc>
      </w:tr>
      <w:tr>
        <w:tc>
          <w:tcPr/>
          <w:p>
            <w:pPr>
              <w:pStyle w:val="Compact"/>
              <w:jc w:val="left"/>
            </w:pPr>
            <w:r>
              <w:t xml:space="preserve">UTLA</w:t>
            </w:r>
          </w:p>
        </w:tc>
        <w:tc>
          <w:tcPr/>
          <w:p>
            <w:pPr>
              <w:pStyle w:val="Compact"/>
              <w:jc w:val="right"/>
            </w:pPr>
            <w:r>
              <w:t xml:space="preserve">RR 25</w:t>
            </w:r>
          </w:p>
        </w:tc>
        <w:tc>
          <w:tcPr/>
          <w:p>
            <w:pPr>
              <w:pStyle w:val="Compact"/>
              <w:jc w:val="right"/>
            </w:pPr>
            <w:r>
              <w:t xml:space="preserve">300</w:t>
            </w:r>
          </w:p>
        </w:tc>
        <w:tc>
          <w:tcPr/>
          <w:p>
            <w:pPr>
              <w:pStyle w:val="Compact"/>
              <w:jc w:val="right"/>
            </w:pPr>
            <w:r>
              <w:t xml:space="preserve">20.0%</w:t>
            </w:r>
          </w:p>
        </w:tc>
        <w:tc>
          <w:tcPr/>
          <w:p>
            <w:pPr>
              <w:pStyle w:val="Compact"/>
              <w:jc w:val="right"/>
            </w:pPr>
            <w:r>
              <w:t xml:space="preserve">19.3% (±4.5)</w:t>
            </w:r>
          </w:p>
        </w:tc>
        <w:tc>
          <w:tcPr/>
          <w:p>
            <w:pPr>
              <w:pStyle w:val="Compact"/>
              <w:jc w:val="right"/>
            </w:pPr>
            <w:r>
              <w:t xml:space="preserve">11.5%</w:t>
            </w:r>
          </w:p>
        </w:tc>
        <w:tc>
          <w:tcPr/>
          <w:p>
            <w:pPr>
              <w:pStyle w:val="Compact"/>
              <w:jc w:val="right"/>
            </w:pPr>
            <w:r>
              <w:t xml:space="preserve">1.019</w:t>
            </w:r>
          </w:p>
        </w:tc>
        <w:tc>
          <w:tcPr/>
          <w:p>
            <w:pPr>
              <w:pStyle w:val="Compact"/>
              <w:jc w:val="right"/>
            </w:pPr>
            <w:r>
              <w:t xml:space="preserve">0.0167</w:t>
            </w:r>
          </w:p>
        </w:tc>
        <w:tc>
          <w:tcPr/>
          <w:p>
            <w:pPr>
              <w:pStyle w:val="Compact"/>
              <w:jc w:val="right"/>
            </w:pPr>
            <w:r>
              <w:t xml:space="preserve">0.0171</w:t>
            </w:r>
          </w:p>
        </w:tc>
        <w:tc>
          <w:tcPr/>
          <w:p>
            <w:pPr>
              <w:pStyle w:val="Compact"/>
              <w:jc w:val="right"/>
            </w:pPr>
            <w:r>
              <w:t xml:space="preserve">0.0249</w:t>
            </w:r>
          </w:p>
        </w:tc>
      </w:tr>
      <w:tr>
        <w:tc>
          <w:tcPr/>
          <w:p>
            <w:pPr>
              <w:pStyle w:val="Compact"/>
              <w:jc w:val="left"/>
            </w:pPr>
            <w:r>
              <w:t xml:space="preserve">UTLA</w:t>
            </w:r>
          </w:p>
        </w:tc>
        <w:tc>
          <w:tcPr/>
          <w:p>
            <w:pPr>
              <w:pStyle w:val="Compact"/>
              <w:jc w:val="right"/>
            </w:pPr>
            <w:r>
              <w:t xml:space="preserve">RR 100</w:t>
            </w:r>
          </w:p>
        </w:tc>
        <w:tc>
          <w:tcPr/>
          <w:p>
            <w:pPr>
              <w:pStyle w:val="Compact"/>
              <w:jc w:val="right"/>
            </w:pPr>
            <w:r>
              <w:t xml:space="preserve">300</w:t>
            </w:r>
          </w:p>
        </w:tc>
        <w:tc>
          <w:tcPr/>
          <w:p>
            <w:pPr>
              <w:pStyle w:val="Compact"/>
              <w:jc w:val="right"/>
            </w:pPr>
            <w:r>
              <w:t xml:space="preserve">66.7%</w:t>
            </w:r>
          </w:p>
        </w:tc>
        <w:tc>
          <w:tcPr/>
          <w:p>
            <w:pPr>
              <w:pStyle w:val="Compact"/>
              <w:jc w:val="right"/>
            </w:pPr>
            <w:r>
              <w:t xml:space="preserve">66.7% (±5.3)</w:t>
            </w:r>
          </w:p>
        </w:tc>
        <w:tc>
          <w:tcPr/>
          <w:p>
            <w:pPr>
              <w:pStyle w:val="Compact"/>
              <w:jc w:val="right"/>
            </w:pPr>
            <w:r>
              <w:t xml:space="preserve">46.2%</w:t>
            </w:r>
          </w:p>
        </w:tc>
        <w:tc>
          <w:tcPr/>
          <w:p>
            <w:pPr>
              <w:pStyle w:val="Compact"/>
              <w:jc w:val="right"/>
            </w:pPr>
            <w:r>
              <w:t xml:space="preserve">1.047</w:t>
            </w:r>
          </w:p>
        </w:tc>
        <w:tc>
          <w:tcPr/>
          <w:p>
            <w:pPr>
              <w:pStyle w:val="Compact"/>
              <w:jc w:val="right"/>
            </w:pPr>
            <w:r>
              <w:t xml:space="preserve">0.0167</w:t>
            </w:r>
          </w:p>
        </w:tc>
        <w:tc>
          <w:tcPr/>
          <w:p>
            <w:pPr>
              <w:pStyle w:val="Compact"/>
              <w:jc w:val="right"/>
            </w:pPr>
            <w:r>
              <w:t xml:space="preserve">0.0171</w:t>
            </w:r>
          </w:p>
        </w:tc>
        <w:tc>
          <w:tcPr/>
          <w:p>
            <w:pPr>
              <w:pStyle w:val="Compact"/>
              <w:jc w:val="right"/>
            </w:pPr>
            <w:r>
              <w:t xml:space="preserve">0.0249</w:t>
            </w:r>
          </w:p>
        </w:tc>
      </w:tr>
      <w:tr>
        <w:tc>
          <w:tcPr/>
          <w:p>
            <w:pPr>
              <w:pStyle w:val="Compact"/>
              <w:jc w:val="left"/>
            </w:pPr>
            <w:r>
              <w:t xml:space="preserve">UTLA</w:t>
            </w:r>
          </w:p>
        </w:tc>
        <w:tc>
          <w:tcPr/>
          <w:p>
            <w:pPr>
              <w:pStyle w:val="Compact"/>
              <w:jc w:val="right"/>
            </w:pPr>
            <w:r>
              <w:t xml:space="preserve">IRR 1.02 per 10%</w:t>
            </w:r>
          </w:p>
        </w:tc>
        <w:tc>
          <w:tcPr/>
          <w:p>
            <w:pPr>
              <w:pStyle w:val="Compact"/>
              <w:jc w:val="right"/>
            </w:pPr>
            <w:r>
              <w:t xml:space="preserve">300</w:t>
            </w:r>
          </w:p>
        </w:tc>
        <w:tc>
          <w:tcPr/>
          <w:p>
            <w:pPr>
              <w:pStyle w:val="Compact"/>
              <w:jc w:val="right"/>
            </w:pPr>
            <w:r>
              <w:t xml:space="preserve">24.7%</w:t>
            </w:r>
          </w:p>
        </w:tc>
        <w:tc>
          <w:tcPr/>
          <w:p>
            <w:pPr>
              <w:pStyle w:val="Compact"/>
              <w:jc w:val="right"/>
            </w:pPr>
            <w:r>
              <w:t xml:space="preserve">24.7% (±4.9)</w:t>
            </w:r>
          </w:p>
        </w:tc>
        <w:tc>
          <w:tcPr/>
          <w:p>
            <w:pPr>
              <w:pStyle w:val="Compact"/>
              <w:jc w:val="right"/>
            </w:pPr>
            <w:r>
              <w:t xml:space="preserve">13.8%</w:t>
            </w:r>
          </w:p>
        </w:tc>
        <w:tc>
          <w:tcPr/>
          <w:p>
            <w:pPr>
              <w:pStyle w:val="Compact"/>
              <w:jc w:val="right"/>
            </w:pPr>
            <w:r>
              <w:t xml:space="preserve">1.022</w:t>
            </w:r>
          </w:p>
        </w:tc>
        <w:tc>
          <w:tcPr/>
          <w:p>
            <w:pPr>
              <w:pStyle w:val="Compact"/>
              <w:jc w:val="right"/>
            </w:pPr>
            <w:r>
              <w:t xml:space="preserve">0.0167</w:t>
            </w:r>
          </w:p>
        </w:tc>
        <w:tc>
          <w:tcPr/>
          <w:p>
            <w:pPr>
              <w:pStyle w:val="Compact"/>
              <w:jc w:val="right"/>
            </w:pPr>
            <w:r>
              <w:t xml:space="preserve">0.0171</w:t>
            </w:r>
          </w:p>
        </w:tc>
        <w:tc>
          <w:tcPr/>
          <w:p>
            <w:pPr>
              <w:pStyle w:val="Compact"/>
              <w:jc w:val="right"/>
            </w:pPr>
            <w:r>
              <w:t xml:space="preserve">0.0249</w:t>
            </w:r>
          </w:p>
        </w:tc>
      </w:tr>
      <w:tr>
        <w:tc>
          <w:tcPr/>
          <w:p>
            <w:pPr>
              <w:pStyle w:val="Compact"/>
              <w:jc w:val="left"/>
            </w:pPr>
            <w:r>
              <w:t xml:space="preserve">UTLA</w:t>
            </w:r>
          </w:p>
        </w:tc>
        <w:tc>
          <w:tcPr/>
          <w:p>
            <w:pPr>
              <w:pStyle w:val="Compact"/>
              <w:jc w:val="right"/>
            </w:pPr>
            <w:r>
              <w:t xml:space="preserve">IRR 1.05 per 10%</w:t>
            </w:r>
          </w:p>
        </w:tc>
        <w:tc>
          <w:tcPr/>
          <w:p>
            <w:pPr>
              <w:pStyle w:val="Compact"/>
              <w:jc w:val="right"/>
            </w:pPr>
            <w:r>
              <w:t xml:space="preserve">300</w:t>
            </w:r>
          </w:p>
        </w:tc>
        <w:tc>
          <w:tcPr/>
          <w:p>
            <w:pPr>
              <w:pStyle w:val="Compact"/>
              <w:jc w:val="right"/>
            </w:pPr>
            <w:r>
              <w:t xml:space="preserve">78.0%</w:t>
            </w:r>
          </w:p>
        </w:tc>
        <w:tc>
          <w:tcPr/>
          <w:p>
            <w:pPr>
              <w:pStyle w:val="Compact"/>
              <w:jc w:val="right"/>
            </w:pPr>
            <w:r>
              <w:t xml:space="preserve">78.0% (±4.7)</w:t>
            </w:r>
          </w:p>
        </w:tc>
        <w:tc>
          <w:tcPr/>
          <w:p>
            <w:pPr>
              <w:pStyle w:val="Compact"/>
              <w:jc w:val="right"/>
            </w:pPr>
            <w:r>
              <w:t xml:space="preserve">51.0%</w:t>
            </w:r>
          </w:p>
        </w:tc>
        <w:tc>
          <w:tcPr/>
          <w:p>
            <w:pPr>
              <w:pStyle w:val="Compact"/>
              <w:jc w:val="right"/>
            </w:pPr>
            <w:r>
              <w:t xml:space="preserve">1.051</w:t>
            </w:r>
          </w:p>
        </w:tc>
        <w:tc>
          <w:tcPr/>
          <w:p>
            <w:pPr>
              <w:pStyle w:val="Compact"/>
              <w:jc w:val="right"/>
            </w:pPr>
            <w:r>
              <w:t xml:space="preserve">0.0167</w:t>
            </w:r>
          </w:p>
        </w:tc>
        <w:tc>
          <w:tcPr/>
          <w:p>
            <w:pPr>
              <w:pStyle w:val="Compact"/>
              <w:jc w:val="right"/>
            </w:pPr>
            <w:r>
              <w:t xml:space="preserve">0.0171</w:t>
            </w:r>
          </w:p>
        </w:tc>
        <w:tc>
          <w:tcPr/>
          <w:p>
            <w:pPr>
              <w:pStyle w:val="Compact"/>
              <w:jc w:val="right"/>
            </w:pPr>
            <w:r>
              <w:t xml:space="preserve">0.0249</w:t>
            </w:r>
          </w:p>
        </w:tc>
      </w:tr>
      <w:tr>
        <w:tc>
          <w:tcPr/>
          <w:p>
            <w:pPr>
              <w:pStyle w:val="Compact"/>
              <w:jc w:val="left"/>
            </w:pPr>
            <w:r>
              <w:t xml:space="preserve">UTLA</w:t>
            </w:r>
          </w:p>
        </w:tc>
        <w:tc>
          <w:tcPr/>
          <w:p>
            <w:pPr>
              <w:pStyle w:val="Compact"/>
              <w:jc w:val="right"/>
            </w:pPr>
            <w:r>
              <w:t xml:space="preserve">IRR 1.10 per 10%</w:t>
            </w:r>
          </w:p>
        </w:tc>
        <w:tc>
          <w:tcPr/>
          <w:p>
            <w:pPr>
              <w:pStyle w:val="Compact"/>
              <w:jc w:val="right"/>
            </w:pPr>
            <w:r>
              <w:t xml:space="preserve">300</w:t>
            </w:r>
          </w:p>
        </w:tc>
        <w:tc>
          <w:tcPr/>
          <w:p>
            <w:pPr>
              <w:pStyle w:val="Compact"/>
              <w:jc w:val="right"/>
            </w:pPr>
            <w:r>
              <w:t xml:space="preserve">100.0%</w:t>
            </w:r>
          </w:p>
        </w:tc>
        <w:tc>
          <w:tcPr/>
          <w:p>
            <w:pPr>
              <w:pStyle w:val="Compact"/>
              <w:jc w:val="right"/>
            </w:pPr>
            <w:r>
              <w:t xml:space="preserve">100.0% (±0.0)</w:t>
            </w:r>
          </w:p>
        </w:tc>
        <w:tc>
          <w:tcPr/>
          <w:p>
            <w:pPr>
              <w:pStyle w:val="Compact"/>
              <w:jc w:val="right"/>
            </w:pPr>
            <w:r>
              <w:t xml:space="preserve">96.9%</w:t>
            </w:r>
          </w:p>
        </w:tc>
        <w:tc>
          <w:tcPr/>
          <w:p>
            <w:pPr>
              <w:pStyle w:val="Compact"/>
              <w:jc w:val="right"/>
            </w:pPr>
            <w:r>
              <w:t xml:space="preserve">1.100</w:t>
            </w:r>
          </w:p>
        </w:tc>
        <w:tc>
          <w:tcPr/>
          <w:p>
            <w:pPr>
              <w:pStyle w:val="Compact"/>
              <w:jc w:val="right"/>
            </w:pPr>
            <w:r>
              <w:t xml:space="preserve">0.0167</w:t>
            </w:r>
          </w:p>
        </w:tc>
        <w:tc>
          <w:tcPr/>
          <w:p>
            <w:pPr>
              <w:pStyle w:val="Compact"/>
              <w:jc w:val="right"/>
            </w:pPr>
            <w:r>
              <w:t xml:space="preserve">0.0171</w:t>
            </w:r>
          </w:p>
        </w:tc>
        <w:tc>
          <w:tcPr/>
          <w:p>
            <w:pPr>
              <w:pStyle w:val="Compact"/>
              <w:jc w:val="right"/>
            </w:pPr>
            <w:r>
              <w:t xml:space="preserve">0.0249</w:t>
            </w:r>
          </w:p>
        </w:tc>
      </w:tr>
      <w:tr>
        <w:tc>
          <w:tcPr/>
          <w:p>
            <w:pPr>
              <w:pStyle w:val="Compact"/>
              <w:jc w:val="left"/>
            </w:pPr>
            <w:r>
              <w:t xml:space="preserve">UTLA</w:t>
            </w:r>
          </w:p>
        </w:tc>
        <w:tc>
          <w:tcPr/>
          <w:p>
            <w:pPr>
              <w:pStyle w:val="Compact"/>
              <w:jc w:val="right"/>
            </w:pPr>
            <w:r>
              <w:t xml:space="preserve">IRR 1.05 per 10%, acting via concurrent year</w:t>
            </w:r>
          </w:p>
        </w:tc>
        <w:tc>
          <w:tcPr/>
          <w:p>
            <w:pPr>
              <w:pStyle w:val="Compact"/>
              <w:jc w:val="right"/>
            </w:pPr>
            <w:r>
              <w:t xml:space="preserve">300</w:t>
            </w:r>
          </w:p>
        </w:tc>
        <w:tc>
          <w:tcPr/>
          <w:p>
            <w:pPr>
              <w:pStyle w:val="Compact"/>
              <w:jc w:val="right"/>
            </w:pPr>
            <w:r>
              <w:t xml:space="preserve">65.7%</w:t>
            </w:r>
          </w:p>
        </w:tc>
        <w:tc>
          <w:tcPr/>
          <w:p>
            <w:pPr>
              <w:pStyle w:val="Compact"/>
              <w:jc w:val="right"/>
            </w:pPr>
            <w:r>
              <w:t xml:space="preserve">65.7% (±5.4)</w:t>
            </w:r>
          </w:p>
        </w:tc>
        <w:tc>
          <w:tcPr/>
          <w:p>
            <w:pPr>
              <w:pStyle w:val="Compact"/>
              <w:jc w:val="right"/>
            </w:pPr>
            <w:r>
              <w:t xml:space="preserve">38.9%</w:t>
            </w:r>
          </w:p>
        </w:tc>
        <w:tc>
          <w:tcPr/>
          <w:p>
            <w:pPr>
              <w:pStyle w:val="Compact"/>
              <w:jc w:val="right"/>
            </w:pPr>
            <w:r>
              <w:t xml:space="preserve">1.043</w:t>
            </w:r>
          </w:p>
        </w:tc>
        <w:tc>
          <w:tcPr/>
          <w:p>
            <w:pPr>
              <w:pStyle w:val="Compact"/>
              <w:jc w:val="right"/>
            </w:pPr>
            <w:r>
              <w:t xml:space="preserve">0.0167</w:t>
            </w:r>
          </w:p>
        </w:tc>
        <w:tc>
          <w:tcPr/>
          <w:p>
            <w:pPr>
              <w:pStyle w:val="Compact"/>
              <w:jc w:val="right"/>
            </w:pPr>
            <w:r>
              <w:t xml:space="preserve">0.0171</w:t>
            </w:r>
          </w:p>
        </w:tc>
        <w:tc>
          <w:tcPr/>
          <w:p>
            <w:pPr>
              <w:pStyle w:val="Compact"/>
              <w:jc w:val="right"/>
            </w:pPr>
            <w:r>
              <w:t xml:space="preserve">0.0249</w:t>
            </w:r>
          </w:p>
        </w:tc>
      </w:tr>
      <w:tr>
        <w:tc>
          <w:tcPr/>
          <w:p>
            <w:pPr>
              <w:pStyle w:val="Compact"/>
              <w:jc w:val="left"/>
            </w:pPr>
            <w:r>
              <w:t xml:space="preserve">UTLA</w:t>
            </w:r>
          </w:p>
        </w:tc>
        <w:tc>
          <w:tcPr/>
          <w:p>
            <w:pPr>
              <w:pStyle w:val="Compact"/>
              <w:jc w:val="right"/>
            </w:pPr>
            <w:r>
              <w:t xml:space="preserve">IRR 1.10 per 10%, acting via concurrent year</w:t>
            </w:r>
          </w:p>
        </w:tc>
        <w:tc>
          <w:tcPr/>
          <w:p>
            <w:pPr>
              <w:pStyle w:val="Compact"/>
              <w:jc w:val="right"/>
            </w:pPr>
            <w:r>
              <w:t xml:space="preserve">300</w:t>
            </w:r>
          </w:p>
        </w:tc>
        <w:tc>
          <w:tcPr/>
          <w:p>
            <w:pPr>
              <w:pStyle w:val="Compact"/>
              <w:jc w:val="right"/>
            </w:pPr>
            <w:r>
              <w:t xml:space="preserve">99.3%</w:t>
            </w:r>
          </w:p>
        </w:tc>
        <w:tc>
          <w:tcPr/>
          <w:p>
            <w:pPr>
              <w:pStyle w:val="Compact"/>
              <w:jc w:val="right"/>
            </w:pPr>
            <w:r>
              <w:t xml:space="preserve">99.3% (±0.9)</w:t>
            </w:r>
          </w:p>
        </w:tc>
        <w:tc>
          <w:tcPr/>
          <w:p>
            <w:pPr>
              <w:pStyle w:val="Compact"/>
              <w:jc w:val="right"/>
            </w:pPr>
            <w:r>
              <w:t xml:space="preserve">90.7%</w:t>
            </w:r>
          </w:p>
        </w:tc>
        <w:tc>
          <w:tcPr/>
          <w:p>
            <w:pPr>
              <w:pStyle w:val="Compact"/>
              <w:jc w:val="right"/>
            </w:pPr>
            <w:r>
              <w:t xml:space="preserve">1.085</w:t>
            </w:r>
          </w:p>
        </w:tc>
        <w:tc>
          <w:tcPr/>
          <w:p>
            <w:pPr>
              <w:pStyle w:val="Compact"/>
              <w:jc w:val="right"/>
            </w:pPr>
            <w:r>
              <w:t xml:space="preserve">0.0167</w:t>
            </w:r>
          </w:p>
        </w:tc>
        <w:tc>
          <w:tcPr/>
          <w:p>
            <w:pPr>
              <w:pStyle w:val="Compact"/>
              <w:jc w:val="right"/>
            </w:pPr>
            <w:r>
              <w:t xml:space="preserve">0.0171</w:t>
            </w:r>
          </w:p>
        </w:tc>
        <w:tc>
          <w:tcPr/>
          <w:p>
            <w:pPr>
              <w:pStyle w:val="Compact"/>
              <w:jc w:val="right"/>
            </w:pPr>
            <w:r>
              <w:t xml:space="preserve">0.0249</w:t>
            </w:r>
          </w:p>
        </w:tc>
      </w:tr>
    </w:tbl>
    <w:p>
      <w:pPr>
        <w:pStyle w:val="BodyText"/>
      </w:pPr>
      <w:r>
        <w:t xml:space="preserve">Within the simulation, replicate SEs matched the spread of null estimates, so the test was approximately calibrated (slightly anti-conservative). Real-data SEs were larger than in the simulation because permuting exposure trajectories across areas breaks their alignment with each area’s own notification trends; simulated power is therefore optimistic. Analytic power uses the median simulated estimate as the effect and the real-data SE.</w:t>
      </w:r>
    </w:p>
    <w:p>
      <w:pPr>
        <w:pStyle w:val="BodyText"/>
      </w:pPr>
      <w:r>
        <w:rPr>
          <w:b/>
          <w:bCs/>
        </w:rPr>
        <w:t xml:space="preserve">Table S5. Regional models (9 regions): TB notifications by place of birth and age vs primary care prescribing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Outcome</w:t>
            </w:r>
          </w:p>
        </w:tc>
        <w:tc>
          <w:tcPr/>
          <w:p>
            <w:pPr>
              <w:pStyle w:val="Compact"/>
              <w:jc w:val="right"/>
            </w:pPr>
            <w:r>
              <w:t xml:space="preserve">Exposure</w:t>
            </w:r>
          </w:p>
        </w:tc>
        <w:tc>
          <w:tcPr/>
          <w:p>
            <w:pPr>
              <w:pStyle w:val="Compact"/>
              <w:jc w:val="right"/>
            </w:pPr>
            <w:r>
              <w:t xml:space="preserve">Analysis</w:t>
            </w:r>
          </w:p>
        </w:tc>
        <w:tc>
          <w:tcPr/>
          <w:p>
            <w:pPr>
              <w:pStyle w:val="Compact"/>
              <w:jc w:val="right"/>
            </w:pPr>
            <w:r>
              <w:t xml:space="preserve">Lag (years; negative = lead)</w:t>
            </w:r>
          </w:p>
        </w:tc>
        <w:tc>
          <w:tcPr/>
          <w:p>
            <w:pPr>
              <w:pStyle w:val="Compact"/>
              <w:jc w:val="right"/>
            </w:pPr>
            <w:r>
              <w:t xml:space="preserve">IRR per 10% (t(8) 95% CI)</w:t>
            </w:r>
          </w:p>
        </w:tc>
        <w:tc>
          <w:tcPr/>
          <w:p>
            <w:pPr>
              <w:pStyle w:val="Compact"/>
              <w:jc w:val="right"/>
            </w:pPr>
            <w:r>
              <w:t xml:space="preserve">p (cluster t8)</w:t>
            </w:r>
          </w:p>
        </w:tc>
        <w:tc>
          <w:tcPr/>
          <w:p>
            <w:pPr>
              <w:pStyle w:val="Compact"/>
              <w:jc w:val="right"/>
            </w:pPr>
            <w:r>
              <w:t xml:space="preserve">p (randomisation)</w:t>
            </w:r>
          </w:p>
        </w:tc>
      </w:tr>
      <w:tr>
        <w:tc>
          <w:tcPr/>
          <w:p>
            <w:pPr>
              <w:pStyle w:val="Compact"/>
              <w:jc w:val="left"/>
            </w:pPr>
            <w:r>
              <w:t xml:space="preserve">TB, UK born</w:t>
            </w:r>
          </w:p>
        </w:tc>
        <w:tc>
          <w:tcPr/>
          <w:p>
            <w:pPr>
              <w:pStyle w:val="Compact"/>
              <w:jc w:val="right"/>
            </w:pPr>
            <w:r>
              <w:t xml:space="preserve">oral_glucocorticoids</w:t>
            </w:r>
          </w:p>
        </w:tc>
        <w:tc>
          <w:tcPr/>
          <w:p>
            <w:pPr>
              <w:pStyle w:val="Compact"/>
              <w:jc w:val="right"/>
            </w:pPr>
            <w:r>
              <w:t xml:space="preserve">lagged exposure</w:t>
            </w:r>
          </w:p>
        </w:tc>
        <w:tc>
          <w:tcPr/>
          <w:p>
            <w:pPr>
              <w:pStyle w:val="Compact"/>
              <w:jc w:val="right"/>
            </w:pPr>
            <w:r>
              <w:t xml:space="preserve">1</w:t>
            </w:r>
          </w:p>
        </w:tc>
        <w:tc>
          <w:tcPr/>
          <w:p>
            <w:pPr>
              <w:pStyle w:val="Compact"/>
              <w:jc w:val="right"/>
            </w:pPr>
            <w:r>
              <w:t xml:space="preserve">1.19 (0.87–1.62)</w:t>
            </w:r>
          </w:p>
        </w:tc>
        <w:tc>
          <w:tcPr/>
          <w:p>
            <w:pPr>
              <w:pStyle w:val="Compact"/>
              <w:jc w:val="right"/>
            </w:pPr>
            <w:r>
              <w:t xml:space="preserve">0.233</w:t>
            </w:r>
          </w:p>
        </w:tc>
        <w:tc>
          <w:tcPr/>
          <w:p>
            <w:pPr>
              <w:pStyle w:val="Compact"/>
              <w:jc w:val="right"/>
            </w:pPr>
            <w:r>
              <w:t xml:space="preserve">0.254</w:t>
            </w:r>
          </w:p>
        </w:tc>
      </w:tr>
      <w:tr>
        <w:tc>
          <w:tcPr/>
          <w:p>
            <w:pPr>
              <w:pStyle w:val="Compact"/>
              <w:jc w:val="left"/>
            </w:pPr>
            <w:r>
              <w:t xml:space="preserve">TB, UK born</w:t>
            </w:r>
          </w:p>
        </w:tc>
        <w:tc>
          <w:tcPr/>
          <w:p>
            <w:pPr>
              <w:pStyle w:val="Compact"/>
              <w:jc w:val="right"/>
            </w:pPr>
            <w:r>
              <w:t xml:space="preserve">oral_glucocorticoids</w:t>
            </w:r>
          </w:p>
        </w:tc>
        <w:tc>
          <w:tcPr/>
          <w:p>
            <w:pPr>
              <w:pStyle w:val="Compact"/>
              <w:jc w:val="right"/>
            </w:pPr>
            <w:r>
              <w:t xml:space="preserve">lagged exposure</w:t>
            </w:r>
          </w:p>
        </w:tc>
        <w:tc>
          <w:tcPr/>
          <w:p>
            <w:pPr>
              <w:pStyle w:val="Compact"/>
              <w:jc w:val="right"/>
            </w:pPr>
            <w:r>
              <w:t xml:space="preserve">2</w:t>
            </w:r>
          </w:p>
        </w:tc>
        <w:tc>
          <w:tcPr/>
          <w:p>
            <w:pPr>
              <w:pStyle w:val="Compact"/>
              <w:jc w:val="right"/>
            </w:pPr>
            <w:r>
              <w:t xml:space="preserve">1.20 (0.80–1.80)</w:t>
            </w:r>
          </w:p>
        </w:tc>
        <w:tc>
          <w:tcPr/>
          <w:p>
            <w:pPr>
              <w:pStyle w:val="Compact"/>
              <w:jc w:val="right"/>
            </w:pPr>
            <w:r>
              <w:t xml:space="preserve">0.323</w:t>
            </w:r>
          </w:p>
        </w:tc>
        <w:tc>
          <w:tcPr/>
          <w:p>
            <w:pPr>
              <w:pStyle w:val="Compact"/>
              <w:jc w:val="right"/>
            </w:pPr>
            <w:r>
              <w:t xml:space="preserve">0.386</w:t>
            </w:r>
          </w:p>
        </w:tc>
      </w:tr>
      <w:tr>
        <w:tc>
          <w:tcPr/>
          <w:p>
            <w:pPr>
              <w:pStyle w:val="Compact"/>
              <w:jc w:val="left"/>
            </w:pPr>
            <w:r>
              <w:t xml:space="preserve">TB, UK born</w:t>
            </w:r>
          </w:p>
        </w:tc>
        <w:tc>
          <w:tcPr/>
          <w:p>
            <w:pPr>
              <w:pStyle w:val="Compact"/>
              <w:jc w:val="right"/>
            </w:pPr>
            <w:r>
              <w:t xml:space="preserve">oral_glucocorticoids</w:t>
            </w:r>
          </w:p>
        </w:tc>
        <w:tc>
          <w:tcPr/>
          <w:p>
            <w:pPr>
              <w:pStyle w:val="Compact"/>
              <w:jc w:val="right"/>
            </w:pPr>
            <w:r>
              <w:t xml:space="preserve">lagged exposure</w:t>
            </w:r>
          </w:p>
        </w:tc>
        <w:tc>
          <w:tcPr/>
          <w:p>
            <w:pPr>
              <w:pStyle w:val="Compact"/>
              <w:jc w:val="right"/>
            </w:pPr>
            <w:r>
              <w:t xml:space="preserve">3</w:t>
            </w:r>
          </w:p>
        </w:tc>
        <w:tc>
          <w:tcPr/>
          <w:p>
            <w:pPr>
              <w:pStyle w:val="Compact"/>
              <w:jc w:val="right"/>
            </w:pPr>
            <w:r>
              <w:t xml:space="preserve">1.10 (0.67–1.79)</w:t>
            </w:r>
          </w:p>
        </w:tc>
        <w:tc>
          <w:tcPr/>
          <w:p>
            <w:pPr>
              <w:pStyle w:val="Compact"/>
              <w:jc w:val="right"/>
            </w:pPr>
            <w:r>
              <w:t xml:space="preserve">0.678</w:t>
            </w:r>
          </w:p>
        </w:tc>
        <w:tc>
          <w:tcPr/>
          <w:p>
            <w:pPr>
              <w:pStyle w:val="Compact"/>
              <w:jc w:val="right"/>
            </w:pPr>
            <w:r>
              <w:t xml:space="preserve">0.714</w:t>
            </w:r>
          </w:p>
        </w:tc>
      </w:tr>
      <w:tr>
        <w:tc>
          <w:tcPr/>
          <w:p>
            <w:pPr>
              <w:pStyle w:val="Compact"/>
              <w:jc w:val="left"/>
            </w:pPr>
            <w:r>
              <w:t xml:space="preserve">TB, UK born</w:t>
            </w:r>
          </w:p>
        </w:tc>
        <w:tc>
          <w:tcPr/>
          <w:p>
            <w:pPr>
              <w:pStyle w:val="Compact"/>
              <w:jc w:val="right"/>
            </w:pPr>
            <w:r>
              <w:t xml:space="preserve">oral_glucocorticoids</w:t>
            </w:r>
          </w:p>
        </w:tc>
        <w:tc>
          <w:tcPr/>
          <w:p>
            <w:pPr>
              <w:pStyle w:val="Compact"/>
              <w:jc w:val="right"/>
            </w:pPr>
            <w:r>
              <w:t xml:space="preserve">lagged, excluding 2020-21</w:t>
            </w:r>
          </w:p>
        </w:tc>
        <w:tc>
          <w:tcPr/>
          <w:p>
            <w:pPr>
              <w:pStyle w:val="Compact"/>
              <w:jc w:val="right"/>
            </w:pPr>
            <w:r>
              <w:t xml:space="preserve">1</w:t>
            </w:r>
          </w:p>
        </w:tc>
        <w:tc>
          <w:tcPr/>
          <w:p>
            <w:pPr>
              <w:pStyle w:val="Compact"/>
              <w:jc w:val="right"/>
            </w:pPr>
            <w:r>
              <w:t xml:space="preserve">1.19 (0.87–1.63)</w:t>
            </w:r>
          </w:p>
        </w:tc>
        <w:tc>
          <w:tcPr/>
          <w:p>
            <w:pPr>
              <w:pStyle w:val="Compact"/>
              <w:jc w:val="right"/>
            </w:pPr>
            <w:r>
              <w:t xml:space="preserve">0.244</w:t>
            </w:r>
          </w:p>
        </w:tc>
        <w:tc>
          <w:tcPr/>
          <w:p>
            <w:pPr>
              <w:pStyle w:val="Compact"/>
              <w:jc w:val="right"/>
            </w:pPr>
            <w:r>
              <w:t xml:space="preserve">0.280</w:t>
            </w:r>
          </w:p>
        </w:tc>
      </w:tr>
      <w:tr>
        <w:tc>
          <w:tcPr/>
          <w:p>
            <w:pPr>
              <w:pStyle w:val="Compact"/>
              <w:jc w:val="left"/>
            </w:pPr>
            <w:r>
              <w:t xml:space="preserve">TB, UK born</w:t>
            </w:r>
          </w:p>
        </w:tc>
        <w:tc>
          <w:tcPr/>
          <w:p>
            <w:pPr>
              <w:pStyle w:val="Compact"/>
              <w:jc w:val="right"/>
            </w:pPr>
            <w:r>
              <w:t xml:space="preserve">oral_glucocorticoids</w:t>
            </w:r>
          </w:p>
        </w:tc>
        <w:tc>
          <w:tcPr/>
          <w:p>
            <w:pPr>
              <w:pStyle w:val="Compact"/>
              <w:jc w:val="right"/>
            </w:pPr>
            <w:r>
              <w:t xml:space="preserve">lagged, excluding 2020-21</w:t>
            </w:r>
          </w:p>
        </w:tc>
        <w:tc>
          <w:tcPr/>
          <w:p>
            <w:pPr>
              <w:pStyle w:val="Compact"/>
              <w:jc w:val="right"/>
            </w:pPr>
            <w:r>
              <w:t xml:space="preserve">2</w:t>
            </w:r>
          </w:p>
        </w:tc>
        <w:tc>
          <w:tcPr/>
          <w:p>
            <w:pPr>
              <w:pStyle w:val="Compact"/>
              <w:jc w:val="right"/>
            </w:pPr>
            <w:r>
              <w:t xml:space="preserve">1.20 (0.80–1.80)</w:t>
            </w:r>
          </w:p>
        </w:tc>
        <w:tc>
          <w:tcPr/>
          <w:p>
            <w:pPr>
              <w:pStyle w:val="Compact"/>
              <w:jc w:val="right"/>
            </w:pPr>
            <w:r>
              <w:t xml:space="preserve">0.323</w:t>
            </w:r>
          </w:p>
        </w:tc>
        <w:tc>
          <w:tcPr/>
          <w:p>
            <w:pPr>
              <w:pStyle w:val="Compact"/>
              <w:jc w:val="right"/>
            </w:pPr>
            <w:r>
              <w:t xml:space="preserve">0.372</w:t>
            </w:r>
          </w:p>
        </w:tc>
      </w:tr>
      <w:tr>
        <w:tc>
          <w:tcPr/>
          <w:p>
            <w:pPr>
              <w:pStyle w:val="Compact"/>
              <w:jc w:val="left"/>
            </w:pPr>
            <w:r>
              <w:t xml:space="preserve">TB, UK born</w:t>
            </w:r>
          </w:p>
        </w:tc>
        <w:tc>
          <w:tcPr/>
          <w:p>
            <w:pPr>
              <w:pStyle w:val="Compact"/>
              <w:jc w:val="right"/>
            </w:pPr>
            <w:r>
              <w:t xml:space="preserve">oral_glucocorticoids</w:t>
            </w:r>
          </w:p>
        </w:tc>
        <w:tc>
          <w:tcPr/>
          <w:p>
            <w:pPr>
              <w:pStyle w:val="Compact"/>
              <w:jc w:val="right"/>
            </w:pPr>
            <w:r>
              <w:t xml:space="preserve">lagged, excluding 2020-21</w:t>
            </w:r>
          </w:p>
        </w:tc>
        <w:tc>
          <w:tcPr/>
          <w:p>
            <w:pPr>
              <w:pStyle w:val="Compact"/>
              <w:jc w:val="right"/>
            </w:pPr>
            <w:r>
              <w:t xml:space="preserve">3</w:t>
            </w:r>
          </w:p>
        </w:tc>
        <w:tc>
          <w:tcPr/>
          <w:p>
            <w:pPr>
              <w:pStyle w:val="Compact"/>
              <w:jc w:val="right"/>
            </w:pPr>
            <w:r>
              <w:t xml:space="preserve">1.09 (0.67–1.78)</w:t>
            </w:r>
          </w:p>
        </w:tc>
        <w:tc>
          <w:tcPr/>
          <w:p>
            <w:pPr>
              <w:pStyle w:val="Compact"/>
              <w:jc w:val="right"/>
            </w:pPr>
            <w:r>
              <w:t xml:space="preserve">0.686</w:t>
            </w:r>
          </w:p>
        </w:tc>
        <w:tc>
          <w:tcPr/>
          <w:p>
            <w:pPr>
              <w:pStyle w:val="Compact"/>
              <w:jc w:val="right"/>
            </w:pPr>
            <w:r>
              <w:t xml:space="preserve">0.714</w:t>
            </w:r>
          </w:p>
        </w:tc>
      </w:tr>
      <w:tr>
        <w:tc>
          <w:tcPr/>
          <w:p>
            <w:pPr>
              <w:pStyle w:val="Compact"/>
              <w:jc w:val="left"/>
            </w:pPr>
            <w:r>
              <w:t xml:space="preserve">TB, UK born</w:t>
            </w:r>
          </w:p>
        </w:tc>
        <w:tc>
          <w:tcPr/>
          <w:p>
            <w:pPr>
              <w:pStyle w:val="Compact"/>
              <w:jc w:val="right"/>
            </w:pPr>
            <w:r>
              <w:t xml:space="preserve">oral_glucocorticoids</w:t>
            </w:r>
          </w:p>
        </w:tc>
        <w:tc>
          <w:tcPr/>
          <w:p>
            <w:pPr>
              <w:pStyle w:val="Compact"/>
              <w:jc w:val="right"/>
            </w:pPr>
            <w:r>
              <w:t xml:space="preserve">lead (falsification)</w:t>
            </w:r>
          </w:p>
        </w:tc>
        <w:tc>
          <w:tcPr/>
          <w:p>
            <w:pPr>
              <w:pStyle w:val="Compact"/>
              <w:jc w:val="right"/>
            </w:pPr>
            <w:r>
              <w:t xml:space="preserve">-1</w:t>
            </w:r>
          </w:p>
        </w:tc>
        <w:tc>
          <w:tcPr/>
          <w:p>
            <w:pPr>
              <w:pStyle w:val="Compact"/>
              <w:jc w:val="right"/>
            </w:pPr>
            <w:r>
              <w:t xml:space="preserve">1.20 (0.78–1.84)</w:t>
            </w:r>
          </w:p>
        </w:tc>
        <w:tc>
          <w:tcPr/>
          <w:p>
            <w:pPr>
              <w:pStyle w:val="Compact"/>
              <w:jc w:val="right"/>
            </w:pPr>
            <w:r>
              <w:t xml:space="preserve">0.356</w:t>
            </w:r>
          </w:p>
        </w:tc>
        <w:tc>
          <w:tcPr/>
          <w:p>
            <w:pPr>
              <w:pStyle w:val="Compact"/>
              <w:jc w:val="right"/>
            </w:pPr>
            <w:r>
              <w:t xml:space="preserve">0.374</w:t>
            </w:r>
          </w:p>
        </w:tc>
      </w:tr>
      <w:tr>
        <w:tc>
          <w:tcPr/>
          <w:p>
            <w:pPr>
              <w:pStyle w:val="Compact"/>
              <w:jc w:val="left"/>
            </w:pPr>
            <w:r>
              <w:t xml:space="preserve">TB, UK born</w:t>
            </w:r>
          </w:p>
        </w:tc>
        <w:tc>
          <w:tcPr/>
          <w:p>
            <w:pPr>
              <w:pStyle w:val="Compact"/>
              <w:jc w:val="right"/>
            </w:pPr>
            <w:r>
              <w:t xml:space="preserve">oral_glucocorticoids</w:t>
            </w:r>
          </w:p>
        </w:tc>
        <w:tc>
          <w:tcPr/>
          <w:p>
            <w:pPr>
              <w:pStyle w:val="Compact"/>
              <w:jc w:val="right"/>
            </w:pPr>
            <w:r>
              <w:t xml:space="preserve">lead (falsification)</w:t>
            </w:r>
          </w:p>
        </w:tc>
        <w:tc>
          <w:tcPr/>
          <w:p>
            <w:pPr>
              <w:pStyle w:val="Compact"/>
              <w:jc w:val="right"/>
            </w:pPr>
            <w:r>
              <w:t xml:space="preserve">-2</w:t>
            </w:r>
          </w:p>
        </w:tc>
        <w:tc>
          <w:tcPr/>
          <w:p>
            <w:pPr>
              <w:pStyle w:val="Compact"/>
              <w:jc w:val="right"/>
            </w:pPr>
            <w:r>
              <w:t xml:space="preserve">1.09 (0.67–1.78)</w:t>
            </w:r>
          </w:p>
        </w:tc>
        <w:tc>
          <w:tcPr/>
          <w:p>
            <w:pPr>
              <w:pStyle w:val="Compact"/>
              <w:jc w:val="right"/>
            </w:pPr>
            <w:r>
              <w:t xml:space="preserve">0.695</w:t>
            </w:r>
          </w:p>
        </w:tc>
        <w:tc>
          <w:tcPr/>
          <w:p>
            <w:pPr>
              <w:pStyle w:val="Compact"/>
              <w:jc w:val="right"/>
            </w:pPr>
            <w:r>
              <w:t xml:space="preserve">0.686</w:t>
            </w:r>
          </w:p>
        </w:tc>
      </w:tr>
      <w:tr>
        <w:tc>
          <w:tcPr/>
          <w:p>
            <w:pPr>
              <w:pStyle w:val="Compact"/>
              <w:jc w:val="left"/>
            </w:pPr>
            <w:r>
              <w:t xml:space="preserve">TB, UK born</w:t>
            </w:r>
          </w:p>
        </w:tc>
        <w:tc>
          <w:tcPr/>
          <w:p>
            <w:pPr>
              <w:pStyle w:val="Compact"/>
              <w:jc w:val="right"/>
            </w:pPr>
            <w:r>
              <w:t xml:space="preserve">oral_glucocorticoids</w:t>
            </w:r>
          </w:p>
        </w:tc>
        <w:tc>
          <w:tcPr/>
          <w:p>
            <w:pPr>
              <w:pStyle w:val="Compact"/>
              <w:jc w:val="right"/>
            </w:pPr>
            <w:r>
              <w:t xml:space="preserve">lead (falsification)</w:t>
            </w:r>
          </w:p>
        </w:tc>
        <w:tc>
          <w:tcPr/>
          <w:p>
            <w:pPr>
              <w:pStyle w:val="Compact"/>
              <w:jc w:val="right"/>
            </w:pPr>
            <w:r>
              <w:t xml:space="preserve">-3</w:t>
            </w:r>
          </w:p>
        </w:tc>
        <w:tc>
          <w:tcPr/>
          <w:p>
            <w:pPr>
              <w:pStyle w:val="Compact"/>
              <w:jc w:val="right"/>
            </w:pPr>
            <w:r>
              <w:t xml:space="preserve">1.09 (0.83–1.44)</w:t>
            </w:r>
          </w:p>
        </w:tc>
        <w:tc>
          <w:tcPr/>
          <w:p>
            <w:pPr>
              <w:pStyle w:val="Compact"/>
              <w:jc w:val="right"/>
            </w:pPr>
            <w:r>
              <w:t xml:space="preserve">0.484</w:t>
            </w:r>
          </w:p>
        </w:tc>
        <w:tc>
          <w:tcPr/>
          <w:p>
            <w:pPr>
              <w:pStyle w:val="Compact"/>
              <w:jc w:val="right"/>
            </w:pPr>
            <w:r>
              <w:t xml:space="preserve">0.536</w:t>
            </w:r>
          </w:p>
        </w:tc>
      </w:tr>
      <w:tr>
        <w:tc>
          <w:tcPr/>
          <w:p>
            <w:pPr>
              <w:pStyle w:val="Compact"/>
              <w:jc w:val="left"/>
            </w:pPr>
            <w:r>
              <w:t xml:space="preserve">TB, UK born</w:t>
            </w:r>
          </w:p>
        </w:tc>
        <w:tc>
          <w:tcPr/>
          <w:p>
            <w:pPr>
              <w:pStyle w:val="Compact"/>
              <w:jc w:val="right"/>
            </w:pPr>
            <w:r>
              <w:t xml:space="preserve">mg_pred_equivalent</w:t>
            </w:r>
          </w:p>
        </w:tc>
        <w:tc>
          <w:tcPr/>
          <w:p>
            <w:pPr>
              <w:pStyle w:val="Compact"/>
              <w:jc w:val="right"/>
            </w:pPr>
            <w:r>
              <w:t xml:space="preserve">lagged exposure</w:t>
            </w:r>
          </w:p>
        </w:tc>
        <w:tc>
          <w:tcPr/>
          <w:p>
            <w:pPr>
              <w:pStyle w:val="Compact"/>
              <w:jc w:val="right"/>
            </w:pPr>
            <w:r>
              <w:t xml:space="preserve">1</w:t>
            </w:r>
          </w:p>
        </w:tc>
        <w:tc>
          <w:tcPr/>
          <w:p>
            <w:pPr>
              <w:pStyle w:val="Compact"/>
              <w:jc w:val="right"/>
            </w:pPr>
            <w:r>
              <w:t xml:space="preserve">1.25 (0.95–1.65)</w:t>
            </w:r>
          </w:p>
        </w:tc>
        <w:tc>
          <w:tcPr/>
          <w:p>
            <w:pPr>
              <w:pStyle w:val="Compact"/>
              <w:jc w:val="right"/>
            </w:pPr>
            <w:r>
              <w:t xml:space="preserve">0.097</w:t>
            </w:r>
          </w:p>
        </w:tc>
        <w:tc>
          <w:tcPr/>
          <w:p>
            <w:pPr>
              <w:pStyle w:val="Compact"/>
              <w:jc w:val="right"/>
            </w:pPr>
            <w:r>
              <w:t xml:space="preserve">0.122</w:t>
            </w:r>
          </w:p>
        </w:tc>
      </w:tr>
      <w:tr>
        <w:tc>
          <w:tcPr/>
          <w:p>
            <w:pPr>
              <w:pStyle w:val="Compact"/>
              <w:jc w:val="left"/>
            </w:pPr>
            <w:r>
              <w:t xml:space="preserve">TB, UK born</w:t>
            </w:r>
          </w:p>
        </w:tc>
        <w:tc>
          <w:tcPr/>
          <w:p>
            <w:pPr>
              <w:pStyle w:val="Compact"/>
              <w:jc w:val="right"/>
            </w:pPr>
            <w:r>
              <w:t xml:space="preserve">mg_pred_equivalent</w:t>
            </w:r>
          </w:p>
        </w:tc>
        <w:tc>
          <w:tcPr/>
          <w:p>
            <w:pPr>
              <w:pStyle w:val="Compact"/>
              <w:jc w:val="right"/>
            </w:pPr>
            <w:r>
              <w:t xml:space="preserve">lagged exposure</w:t>
            </w:r>
          </w:p>
        </w:tc>
        <w:tc>
          <w:tcPr/>
          <w:p>
            <w:pPr>
              <w:pStyle w:val="Compact"/>
              <w:jc w:val="right"/>
            </w:pPr>
            <w:r>
              <w:t xml:space="preserve">2</w:t>
            </w:r>
          </w:p>
        </w:tc>
        <w:tc>
          <w:tcPr/>
          <w:p>
            <w:pPr>
              <w:pStyle w:val="Compact"/>
              <w:jc w:val="right"/>
            </w:pPr>
            <w:r>
              <w:t xml:space="preserve">1.33 (0.96–1.84)</w:t>
            </w:r>
          </w:p>
        </w:tc>
        <w:tc>
          <w:tcPr/>
          <w:p>
            <w:pPr>
              <w:pStyle w:val="Compact"/>
              <w:jc w:val="right"/>
            </w:pPr>
            <w:r>
              <w:t xml:space="preserve">0.077</w:t>
            </w:r>
          </w:p>
        </w:tc>
        <w:tc>
          <w:tcPr/>
          <w:p>
            <w:pPr>
              <w:pStyle w:val="Compact"/>
              <w:jc w:val="right"/>
            </w:pPr>
            <w:r>
              <w:t xml:space="preserve">0.162</w:t>
            </w:r>
          </w:p>
        </w:tc>
      </w:tr>
      <w:tr>
        <w:tc>
          <w:tcPr/>
          <w:p>
            <w:pPr>
              <w:pStyle w:val="Compact"/>
              <w:jc w:val="left"/>
            </w:pPr>
            <w:r>
              <w:t xml:space="preserve">TB, UK born</w:t>
            </w:r>
          </w:p>
        </w:tc>
        <w:tc>
          <w:tcPr/>
          <w:p>
            <w:pPr>
              <w:pStyle w:val="Compact"/>
              <w:jc w:val="right"/>
            </w:pPr>
            <w:r>
              <w:t xml:space="preserve">mg_pred_equivalent</w:t>
            </w:r>
          </w:p>
        </w:tc>
        <w:tc>
          <w:tcPr/>
          <w:p>
            <w:pPr>
              <w:pStyle w:val="Compact"/>
              <w:jc w:val="right"/>
            </w:pPr>
            <w:r>
              <w:t xml:space="preserve">lagged exposure</w:t>
            </w:r>
          </w:p>
        </w:tc>
        <w:tc>
          <w:tcPr/>
          <w:p>
            <w:pPr>
              <w:pStyle w:val="Compact"/>
              <w:jc w:val="right"/>
            </w:pPr>
            <w:r>
              <w:t xml:space="preserve">3</w:t>
            </w:r>
          </w:p>
        </w:tc>
        <w:tc>
          <w:tcPr/>
          <w:p>
            <w:pPr>
              <w:pStyle w:val="Compact"/>
              <w:jc w:val="right"/>
            </w:pPr>
            <w:r>
              <w:t xml:space="preserve">1.33 (0.94–1.89)</w:t>
            </w:r>
          </w:p>
        </w:tc>
        <w:tc>
          <w:tcPr/>
          <w:p>
            <w:pPr>
              <w:pStyle w:val="Compact"/>
              <w:jc w:val="right"/>
            </w:pPr>
            <w:r>
              <w:t xml:space="preserve">0.098</w:t>
            </w:r>
          </w:p>
        </w:tc>
        <w:tc>
          <w:tcPr/>
          <w:p>
            <w:pPr>
              <w:pStyle w:val="Compact"/>
              <w:jc w:val="right"/>
            </w:pPr>
            <w:r>
              <w:t xml:space="preserve">0.238</w:t>
            </w:r>
          </w:p>
        </w:tc>
      </w:tr>
      <w:tr>
        <w:tc>
          <w:tcPr/>
          <w:p>
            <w:pPr>
              <w:pStyle w:val="Compact"/>
              <w:jc w:val="left"/>
            </w:pPr>
            <w:r>
              <w:t xml:space="preserve">TB, UK born</w:t>
            </w:r>
          </w:p>
        </w:tc>
        <w:tc>
          <w:tcPr/>
          <w:p>
            <w:pPr>
              <w:pStyle w:val="Compact"/>
              <w:jc w:val="right"/>
            </w:pPr>
            <w:r>
              <w:t xml:space="preserve">mg_pred_equivalent</w:t>
            </w:r>
          </w:p>
        </w:tc>
        <w:tc>
          <w:tcPr/>
          <w:p>
            <w:pPr>
              <w:pStyle w:val="Compact"/>
              <w:jc w:val="right"/>
            </w:pPr>
            <w:r>
              <w:t xml:space="preserve">lagged, excluding 2020-21</w:t>
            </w:r>
          </w:p>
        </w:tc>
        <w:tc>
          <w:tcPr/>
          <w:p>
            <w:pPr>
              <w:pStyle w:val="Compact"/>
              <w:jc w:val="right"/>
            </w:pPr>
            <w:r>
              <w:t xml:space="preserve">1</w:t>
            </w:r>
          </w:p>
        </w:tc>
        <w:tc>
          <w:tcPr/>
          <w:p>
            <w:pPr>
              <w:pStyle w:val="Compact"/>
              <w:jc w:val="right"/>
            </w:pPr>
            <w:r>
              <w:t xml:space="preserve">1.27 (0.94–1.72)</w:t>
            </w:r>
          </w:p>
        </w:tc>
        <w:tc>
          <w:tcPr/>
          <w:p>
            <w:pPr>
              <w:pStyle w:val="Compact"/>
              <w:jc w:val="right"/>
            </w:pPr>
            <w:r>
              <w:t xml:space="preserve">0.105</w:t>
            </w:r>
          </w:p>
        </w:tc>
        <w:tc>
          <w:tcPr/>
          <w:p>
            <w:pPr>
              <w:pStyle w:val="Compact"/>
              <w:jc w:val="right"/>
            </w:pPr>
            <w:r>
              <w:t xml:space="preserve">0.114</w:t>
            </w:r>
          </w:p>
        </w:tc>
      </w:tr>
      <w:tr>
        <w:tc>
          <w:tcPr/>
          <w:p>
            <w:pPr>
              <w:pStyle w:val="Compact"/>
              <w:jc w:val="left"/>
            </w:pPr>
            <w:r>
              <w:t xml:space="preserve">TB, UK born</w:t>
            </w:r>
          </w:p>
        </w:tc>
        <w:tc>
          <w:tcPr/>
          <w:p>
            <w:pPr>
              <w:pStyle w:val="Compact"/>
              <w:jc w:val="right"/>
            </w:pPr>
            <w:r>
              <w:t xml:space="preserve">mg_pred_equivalent</w:t>
            </w:r>
          </w:p>
        </w:tc>
        <w:tc>
          <w:tcPr/>
          <w:p>
            <w:pPr>
              <w:pStyle w:val="Compact"/>
              <w:jc w:val="right"/>
            </w:pPr>
            <w:r>
              <w:t xml:space="preserve">lagged, excluding 2020-21</w:t>
            </w:r>
          </w:p>
        </w:tc>
        <w:tc>
          <w:tcPr/>
          <w:p>
            <w:pPr>
              <w:pStyle w:val="Compact"/>
              <w:jc w:val="right"/>
            </w:pPr>
            <w:r>
              <w:t xml:space="preserve">2</w:t>
            </w:r>
          </w:p>
        </w:tc>
        <w:tc>
          <w:tcPr/>
          <w:p>
            <w:pPr>
              <w:pStyle w:val="Compact"/>
              <w:jc w:val="right"/>
            </w:pPr>
            <w:r>
              <w:t xml:space="preserve">1.32 (0.97–1.80)</w:t>
            </w:r>
          </w:p>
        </w:tc>
        <w:tc>
          <w:tcPr/>
          <w:p>
            <w:pPr>
              <w:pStyle w:val="Compact"/>
              <w:jc w:val="right"/>
            </w:pPr>
            <w:r>
              <w:t xml:space="preserve">0.072</w:t>
            </w:r>
          </w:p>
        </w:tc>
        <w:tc>
          <w:tcPr/>
          <w:p>
            <w:pPr>
              <w:pStyle w:val="Compact"/>
              <w:jc w:val="right"/>
            </w:pPr>
            <w:r>
              <w:t xml:space="preserve">0.140</w:t>
            </w:r>
          </w:p>
        </w:tc>
      </w:tr>
      <w:tr>
        <w:tc>
          <w:tcPr/>
          <w:p>
            <w:pPr>
              <w:pStyle w:val="Compact"/>
              <w:jc w:val="left"/>
            </w:pPr>
            <w:r>
              <w:t xml:space="preserve">TB, UK born</w:t>
            </w:r>
          </w:p>
        </w:tc>
        <w:tc>
          <w:tcPr/>
          <w:p>
            <w:pPr>
              <w:pStyle w:val="Compact"/>
              <w:jc w:val="right"/>
            </w:pPr>
            <w:r>
              <w:t xml:space="preserve">mg_pred_equivalent</w:t>
            </w:r>
          </w:p>
        </w:tc>
        <w:tc>
          <w:tcPr/>
          <w:p>
            <w:pPr>
              <w:pStyle w:val="Compact"/>
              <w:jc w:val="right"/>
            </w:pPr>
            <w:r>
              <w:t xml:space="preserve">lagged, excluding 2020-21</w:t>
            </w:r>
          </w:p>
        </w:tc>
        <w:tc>
          <w:tcPr/>
          <w:p>
            <w:pPr>
              <w:pStyle w:val="Compact"/>
              <w:jc w:val="right"/>
            </w:pPr>
            <w:r>
              <w:t xml:space="preserve">3</w:t>
            </w:r>
          </w:p>
        </w:tc>
        <w:tc>
          <w:tcPr/>
          <w:p>
            <w:pPr>
              <w:pStyle w:val="Compact"/>
              <w:jc w:val="right"/>
            </w:pPr>
            <w:r>
              <w:t xml:space="preserve">1.30 (0.91–1.85)</w:t>
            </w:r>
          </w:p>
        </w:tc>
        <w:tc>
          <w:tcPr/>
          <w:p>
            <w:pPr>
              <w:pStyle w:val="Compact"/>
              <w:jc w:val="right"/>
            </w:pPr>
            <w:r>
              <w:t xml:space="preserve">0.134</w:t>
            </w:r>
          </w:p>
        </w:tc>
        <w:tc>
          <w:tcPr/>
          <w:p>
            <w:pPr>
              <w:pStyle w:val="Compact"/>
              <w:jc w:val="right"/>
            </w:pPr>
            <w:r>
              <w:t xml:space="preserve">0.286</w:t>
            </w:r>
          </w:p>
        </w:tc>
      </w:tr>
      <w:tr>
        <w:tc>
          <w:tcPr/>
          <w:p>
            <w:pPr>
              <w:pStyle w:val="Compact"/>
              <w:jc w:val="left"/>
            </w:pPr>
            <w:r>
              <w:t xml:space="preserve">TB, UK born</w:t>
            </w:r>
          </w:p>
        </w:tc>
        <w:tc>
          <w:tcPr/>
          <w:p>
            <w:pPr>
              <w:pStyle w:val="Compact"/>
              <w:jc w:val="right"/>
            </w:pPr>
            <w:r>
              <w:t xml:space="preserve">mg_pred_equivalent</w:t>
            </w:r>
          </w:p>
        </w:tc>
        <w:tc>
          <w:tcPr/>
          <w:p>
            <w:pPr>
              <w:pStyle w:val="Compact"/>
              <w:jc w:val="right"/>
            </w:pPr>
            <w:r>
              <w:t xml:space="preserve">lead (falsification)</w:t>
            </w:r>
          </w:p>
        </w:tc>
        <w:tc>
          <w:tcPr/>
          <w:p>
            <w:pPr>
              <w:pStyle w:val="Compact"/>
              <w:jc w:val="right"/>
            </w:pPr>
            <w:r>
              <w:t xml:space="preserve">-1</w:t>
            </w:r>
          </w:p>
        </w:tc>
        <w:tc>
          <w:tcPr/>
          <w:p>
            <w:pPr>
              <w:pStyle w:val="Compact"/>
              <w:jc w:val="right"/>
            </w:pPr>
            <w:r>
              <w:t xml:space="preserve">1.17 (0.85–1.60)</w:t>
            </w:r>
          </w:p>
        </w:tc>
        <w:tc>
          <w:tcPr/>
          <w:p>
            <w:pPr>
              <w:pStyle w:val="Compact"/>
              <w:jc w:val="right"/>
            </w:pPr>
            <w:r>
              <w:t xml:space="preserve">0.292</w:t>
            </w:r>
          </w:p>
        </w:tc>
        <w:tc>
          <w:tcPr/>
          <w:p>
            <w:pPr>
              <w:pStyle w:val="Compact"/>
              <w:jc w:val="right"/>
            </w:pPr>
            <w:r>
              <w:t xml:space="preserve">0.274</w:t>
            </w:r>
          </w:p>
        </w:tc>
      </w:tr>
      <w:tr>
        <w:tc>
          <w:tcPr/>
          <w:p>
            <w:pPr>
              <w:pStyle w:val="Compact"/>
              <w:jc w:val="left"/>
            </w:pPr>
            <w:r>
              <w:t xml:space="preserve">TB, UK born</w:t>
            </w:r>
          </w:p>
        </w:tc>
        <w:tc>
          <w:tcPr/>
          <w:p>
            <w:pPr>
              <w:pStyle w:val="Compact"/>
              <w:jc w:val="right"/>
            </w:pPr>
            <w:r>
              <w:t xml:space="preserve">mg_pred_equivalent</w:t>
            </w:r>
          </w:p>
        </w:tc>
        <w:tc>
          <w:tcPr/>
          <w:p>
            <w:pPr>
              <w:pStyle w:val="Compact"/>
              <w:jc w:val="right"/>
            </w:pPr>
            <w:r>
              <w:t xml:space="preserve">lead (falsification)</w:t>
            </w:r>
          </w:p>
        </w:tc>
        <w:tc>
          <w:tcPr/>
          <w:p>
            <w:pPr>
              <w:pStyle w:val="Compact"/>
              <w:jc w:val="right"/>
            </w:pPr>
            <w:r>
              <w:t xml:space="preserve">-2</w:t>
            </w:r>
          </w:p>
        </w:tc>
        <w:tc>
          <w:tcPr/>
          <w:p>
            <w:pPr>
              <w:pStyle w:val="Compact"/>
              <w:jc w:val="right"/>
            </w:pPr>
            <w:r>
              <w:t xml:space="preserve">0.91 (0.70–1.19)</w:t>
            </w:r>
          </w:p>
        </w:tc>
        <w:tc>
          <w:tcPr/>
          <w:p>
            <w:pPr>
              <w:pStyle w:val="Compact"/>
              <w:jc w:val="right"/>
            </w:pPr>
            <w:r>
              <w:t xml:space="preserve">0.446</w:t>
            </w:r>
          </w:p>
        </w:tc>
        <w:tc>
          <w:tcPr/>
          <w:p>
            <w:pPr>
              <w:pStyle w:val="Compact"/>
              <w:jc w:val="right"/>
            </w:pPr>
            <w:r>
              <w:t xml:space="preserve">0.436</w:t>
            </w:r>
          </w:p>
        </w:tc>
      </w:tr>
      <w:tr>
        <w:tc>
          <w:tcPr/>
          <w:p>
            <w:pPr>
              <w:pStyle w:val="Compact"/>
              <w:jc w:val="left"/>
            </w:pPr>
            <w:r>
              <w:t xml:space="preserve">TB, UK born</w:t>
            </w:r>
          </w:p>
        </w:tc>
        <w:tc>
          <w:tcPr/>
          <w:p>
            <w:pPr>
              <w:pStyle w:val="Compact"/>
              <w:jc w:val="right"/>
            </w:pPr>
            <w:r>
              <w:t xml:space="preserve">mg_pred_equivalent</w:t>
            </w:r>
          </w:p>
        </w:tc>
        <w:tc>
          <w:tcPr/>
          <w:p>
            <w:pPr>
              <w:pStyle w:val="Compact"/>
              <w:jc w:val="right"/>
            </w:pPr>
            <w:r>
              <w:t xml:space="preserve">lead (falsification)</w:t>
            </w:r>
          </w:p>
        </w:tc>
        <w:tc>
          <w:tcPr/>
          <w:p>
            <w:pPr>
              <w:pStyle w:val="Compact"/>
              <w:jc w:val="right"/>
            </w:pPr>
            <w:r>
              <w:t xml:space="preserve">-3</w:t>
            </w:r>
          </w:p>
        </w:tc>
        <w:tc>
          <w:tcPr/>
          <w:p>
            <w:pPr>
              <w:pStyle w:val="Compact"/>
              <w:jc w:val="right"/>
            </w:pPr>
            <w:r>
              <w:t xml:space="preserve">0.92 (0.82–1.03)</w:t>
            </w:r>
          </w:p>
        </w:tc>
        <w:tc>
          <w:tcPr/>
          <w:p>
            <w:pPr>
              <w:pStyle w:val="Compact"/>
              <w:jc w:val="right"/>
            </w:pPr>
            <w:r>
              <w:t xml:space="preserve">0.120</w:t>
            </w:r>
          </w:p>
        </w:tc>
        <w:tc>
          <w:tcPr/>
          <w:p>
            <w:pPr>
              <w:pStyle w:val="Compact"/>
              <w:jc w:val="right"/>
            </w:pPr>
            <w:r>
              <w:t xml:space="preserve">0.084</w:t>
            </w:r>
          </w:p>
        </w:tc>
      </w:tr>
      <w:tr>
        <w:tc>
          <w:tcPr/>
          <w:p>
            <w:pPr>
              <w:pStyle w:val="Compact"/>
              <w:jc w:val="left"/>
            </w:pPr>
            <w:r>
              <w:t xml:space="preserve">TB, UK born</w:t>
            </w:r>
          </w:p>
        </w:tc>
        <w:tc>
          <w:tcPr/>
          <w:p>
            <w:pPr>
              <w:pStyle w:val="Compact"/>
              <w:jc w:val="right"/>
            </w:pPr>
            <w:r>
              <w:t xml:space="preserve">levothyroxine</w:t>
            </w:r>
          </w:p>
        </w:tc>
        <w:tc>
          <w:tcPr/>
          <w:p>
            <w:pPr>
              <w:pStyle w:val="Compact"/>
              <w:jc w:val="right"/>
            </w:pPr>
            <w:r>
              <w:t xml:space="preserve">lagged exposure</w:t>
            </w:r>
          </w:p>
        </w:tc>
        <w:tc>
          <w:tcPr/>
          <w:p>
            <w:pPr>
              <w:pStyle w:val="Compact"/>
              <w:jc w:val="right"/>
            </w:pPr>
            <w:r>
              <w:t xml:space="preserve">1</w:t>
            </w:r>
          </w:p>
        </w:tc>
        <w:tc>
          <w:tcPr/>
          <w:p>
            <w:pPr>
              <w:pStyle w:val="Compact"/>
              <w:jc w:val="right"/>
            </w:pPr>
            <w:r>
              <w:t xml:space="preserve">0.96 (0.85–1.08)</w:t>
            </w:r>
          </w:p>
        </w:tc>
        <w:tc>
          <w:tcPr/>
          <w:p>
            <w:pPr>
              <w:pStyle w:val="Compact"/>
              <w:jc w:val="right"/>
            </w:pPr>
            <w:r>
              <w:t xml:space="preserve">0.407</w:t>
            </w:r>
          </w:p>
        </w:tc>
        <w:tc>
          <w:tcPr/>
          <w:p>
            <w:pPr>
              <w:pStyle w:val="Compact"/>
              <w:jc w:val="right"/>
            </w:pPr>
            <w:r>
              <w:t xml:space="preserve">0.518</w:t>
            </w:r>
          </w:p>
        </w:tc>
      </w:tr>
      <w:tr>
        <w:tc>
          <w:tcPr/>
          <w:p>
            <w:pPr>
              <w:pStyle w:val="Compact"/>
              <w:jc w:val="left"/>
            </w:pPr>
            <w:r>
              <w:t xml:space="preserve">TB, UK born</w:t>
            </w:r>
          </w:p>
        </w:tc>
        <w:tc>
          <w:tcPr/>
          <w:p>
            <w:pPr>
              <w:pStyle w:val="Compact"/>
              <w:jc w:val="right"/>
            </w:pPr>
            <w:r>
              <w:t xml:space="preserve">levothyroxine</w:t>
            </w:r>
          </w:p>
        </w:tc>
        <w:tc>
          <w:tcPr/>
          <w:p>
            <w:pPr>
              <w:pStyle w:val="Compact"/>
              <w:jc w:val="right"/>
            </w:pPr>
            <w:r>
              <w:t xml:space="preserve">lagged exposure</w:t>
            </w:r>
          </w:p>
        </w:tc>
        <w:tc>
          <w:tcPr/>
          <w:p>
            <w:pPr>
              <w:pStyle w:val="Compact"/>
              <w:jc w:val="right"/>
            </w:pPr>
            <w:r>
              <w:t xml:space="preserve">2</w:t>
            </w:r>
          </w:p>
        </w:tc>
        <w:tc>
          <w:tcPr/>
          <w:p>
            <w:pPr>
              <w:pStyle w:val="Compact"/>
              <w:jc w:val="right"/>
            </w:pPr>
            <w:r>
              <w:t xml:space="preserve">0.91 (0.80–1.03)</w:t>
            </w:r>
          </w:p>
        </w:tc>
        <w:tc>
          <w:tcPr/>
          <w:p>
            <w:pPr>
              <w:pStyle w:val="Compact"/>
              <w:jc w:val="right"/>
            </w:pPr>
            <w:r>
              <w:t xml:space="preserve">0.127</w:t>
            </w:r>
          </w:p>
        </w:tc>
        <w:tc>
          <w:tcPr/>
          <w:p>
            <w:pPr>
              <w:pStyle w:val="Compact"/>
              <w:jc w:val="right"/>
            </w:pPr>
            <w:r>
              <w:t xml:space="preserve">0.246</w:t>
            </w:r>
          </w:p>
        </w:tc>
      </w:tr>
      <w:tr>
        <w:tc>
          <w:tcPr/>
          <w:p>
            <w:pPr>
              <w:pStyle w:val="Compact"/>
              <w:jc w:val="left"/>
            </w:pPr>
            <w:r>
              <w:t xml:space="preserve">TB, UK born</w:t>
            </w:r>
          </w:p>
        </w:tc>
        <w:tc>
          <w:tcPr/>
          <w:p>
            <w:pPr>
              <w:pStyle w:val="Compact"/>
              <w:jc w:val="right"/>
            </w:pPr>
            <w:r>
              <w:t xml:space="preserve">levothyroxine</w:t>
            </w:r>
          </w:p>
        </w:tc>
        <w:tc>
          <w:tcPr/>
          <w:p>
            <w:pPr>
              <w:pStyle w:val="Compact"/>
              <w:jc w:val="right"/>
            </w:pPr>
            <w:r>
              <w:t xml:space="preserve">lagged exposure</w:t>
            </w:r>
          </w:p>
        </w:tc>
        <w:tc>
          <w:tcPr/>
          <w:p>
            <w:pPr>
              <w:pStyle w:val="Compact"/>
              <w:jc w:val="right"/>
            </w:pPr>
            <w:r>
              <w:t xml:space="preserve">3</w:t>
            </w:r>
          </w:p>
        </w:tc>
        <w:tc>
          <w:tcPr/>
          <w:p>
            <w:pPr>
              <w:pStyle w:val="Compact"/>
              <w:jc w:val="right"/>
            </w:pPr>
            <w:r>
              <w:t xml:space="preserve">0.90 (0.77–1.04)</w:t>
            </w:r>
          </w:p>
        </w:tc>
        <w:tc>
          <w:tcPr/>
          <w:p>
            <w:pPr>
              <w:pStyle w:val="Compact"/>
              <w:jc w:val="right"/>
            </w:pPr>
            <w:r>
              <w:t xml:space="preserve">0.139</w:t>
            </w:r>
          </w:p>
        </w:tc>
        <w:tc>
          <w:tcPr/>
          <w:p>
            <w:pPr>
              <w:pStyle w:val="Compact"/>
              <w:jc w:val="right"/>
            </w:pPr>
            <w:r>
              <w:t xml:space="preserve">0.258</w:t>
            </w:r>
          </w:p>
        </w:tc>
      </w:tr>
      <w:tr>
        <w:tc>
          <w:tcPr/>
          <w:p>
            <w:pPr>
              <w:pStyle w:val="Compact"/>
              <w:jc w:val="left"/>
            </w:pPr>
            <w:r>
              <w:t xml:space="preserve">TB, UK born</w:t>
            </w:r>
          </w:p>
        </w:tc>
        <w:tc>
          <w:tcPr/>
          <w:p>
            <w:pPr>
              <w:pStyle w:val="Compact"/>
              <w:jc w:val="right"/>
            </w:pPr>
            <w:r>
              <w:t xml:space="preserve">levothyroxine</w:t>
            </w:r>
          </w:p>
        </w:tc>
        <w:tc>
          <w:tcPr/>
          <w:p>
            <w:pPr>
              <w:pStyle w:val="Compact"/>
              <w:jc w:val="right"/>
            </w:pPr>
            <w:r>
              <w:t xml:space="preserve">lagged, excluding 2020-21</w:t>
            </w:r>
          </w:p>
        </w:tc>
        <w:tc>
          <w:tcPr/>
          <w:p>
            <w:pPr>
              <w:pStyle w:val="Compact"/>
              <w:jc w:val="right"/>
            </w:pPr>
            <w:r>
              <w:t xml:space="preserve">1</w:t>
            </w:r>
          </w:p>
        </w:tc>
        <w:tc>
          <w:tcPr/>
          <w:p>
            <w:pPr>
              <w:pStyle w:val="Compact"/>
              <w:jc w:val="right"/>
            </w:pPr>
            <w:r>
              <w:t xml:space="preserve">0.95 (0.84–1.08)</w:t>
            </w:r>
          </w:p>
        </w:tc>
        <w:tc>
          <w:tcPr/>
          <w:p>
            <w:pPr>
              <w:pStyle w:val="Compact"/>
              <w:jc w:val="right"/>
            </w:pPr>
            <w:r>
              <w:t xml:space="preserve">0.366</w:t>
            </w:r>
          </w:p>
        </w:tc>
        <w:tc>
          <w:tcPr/>
          <w:p>
            <w:pPr>
              <w:pStyle w:val="Compact"/>
              <w:jc w:val="right"/>
            </w:pPr>
            <w:r>
              <w:t xml:space="preserve">0.478</w:t>
            </w:r>
          </w:p>
        </w:tc>
      </w:tr>
      <w:tr>
        <w:tc>
          <w:tcPr/>
          <w:p>
            <w:pPr>
              <w:pStyle w:val="Compact"/>
              <w:jc w:val="left"/>
            </w:pPr>
            <w:r>
              <w:t xml:space="preserve">TB, UK born</w:t>
            </w:r>
          </w:p>
        </w:tc>
        <w:tc>
          <w:tcPr/>
          <w:p>
            <w:pPr>
              <w:pStyle w:val="Compact"/>
              <w:jc w:val="right"/>
            </w:pPr>
            <w:r>
              <w:t xml:space="preserve">levothyroxine</w:t>
            </w:r>
          </w:p>
        </w:tc>
        <w:tc>
          <w:tcPr/>
          <w:p>
            <w:pPr>
              <w:pStyle w:val="Compact"/>
              <w:jc w:val="right"/>
            </w:pPr>
            <w:r>
              <w:t xml:space="preserve">lagged, excluding 2020-21</w:t>
            </w:r>
          </w:p>
        </w:tc>
        <w:tc>
          <w:tcPr/>
          <w:p>
            <w:pPr>
              <w:pStyle w:val="Compact"/>
              <w:jc w:val="right"/>
            </w:pPr>
            <w:r>
              <w:t xml:space="preserve">2</w:t>
            </w:r>
          </w:p>
        </w:tc>
        <w:tc>
          <w:tcPr/>
          <w:p>
            <w:pPr>
              <w:pStyle w:val="Compact"/>
              <w:jc w:val="right"/>
            </w:pPr>
            <w:r>
              <w:t xml:space="preserve">0.91 (0.80–1.04)</w:t>
            </w:r>
          </w:p>
        </w:tc>
        <w:tc>
          <w:tcPr/>
          <w:p>
            <w:pPr>
              <w:pStyle w:val="Compact"/>
              <w:jc w:val="right"/>
            </w:pPr>
            <w:r>
              <w:t xml:space="preserve">0.152</w:t>
            </w:r>
          </w:p>
        </w:tc>
        <w:tc>
          <w:tcPr/>
          <w:p>
            <w:pPr>
              <w:pStyle w:val="Compact"/>
              <w:jc w:val="right"/>
            </w:pPr>
            <w:r>
              <w:t xml:space="preserve">0.288</w:t>
            </w:r>
          </w:p>
        </w:tc>
      </w:tr>
      <w:tr>
        <w:tc>
          <w:tcPr/>
          <w:p>
            <w:pPr>
              <w:pStyle w:val="Compact"/>
              <w:jc w:val="left"/>
            </w:pPr>
            <w:r>
              <w:t xml:space="preserve">TB, UK born</w:t>
            </w:r>
          </w:p>
        </w:tc>
        <w:tc>
          <w:tcPr/>
          <w:p>
            <w:pPr>
              <w:pStyle w:val="Compact"/>
              <w:jc w:val="right"/>
            </w:pPr>
            <w:r>
              <w:t xml:space="preserve">levothyroxine</w:t>
            </w:r>
          </w:p>
        </w:tc>
        <w:tc>
          <w:tcPr/>
          <w:p>
            <w:pPr>
              <w:pStyle w:val="Compact"/>
              <w:jc w:val="right"/>
            </w:pPr>
            <w:r>
              <w:t xml:space="preserve">lagged, excluding 2020-21</w:t>
            </w:r>
          </w:p>
        </w:tc>
        <w:tc>
          <w:tcPr/>
          <w:p>
            <w:pPr>
              <w:pStyle w:val="Compact"/>
              <w:jc w:val="right"/>
            </w:pPr>
            <w:r>
              <w:t xml:space="preserve">3</w:t>
            </w:r>
          </w:p>
        </w:tc>
        <w:tc>
          <w:tcPr/>
          <w:p>
            <w:pPr>
              <w:pStyle w:val="Compact"/>
              <w:jc w:val="right"/>
            </w:pPr>
            <w:r>
              <w:t xml:space="preserve">0.90 (0.76–1.05)</w:t>
            </w:r>
          </w:p>
        </w:tc>
        <w:tc>
          <w:tcPr/>
          <w:p>
            <w:pPr>
              <w:pStyle w:val="Compact"/>
              <w:jc w:val="right"/>
            </w:pPr>
            <w:r>
              <w:t xml:space="preserve">0.154</w:t>
            </w:r>
          </w:p>
        </w:tc>
        <w:tc>
          <w:tcPr/>
          <w:p>
            <w:pPr>
              <w:pStyle w:val="Compact"/>
              <w:jc w:val="right"/>
            </w:pPr>
            <w:r>
              <w:t xml:space="preserve">0.282</w:t>
            </w:r>
          </w:p>
        </w:tc>
      </w:tr>
      <w:tr>
        <w:tc>
          <w:tcPr/>
          <w:p>
            <w:pPr>
              <w:pStyle w:val="Compact"/>
              <w:jc w:val="left"/>
            </w:pPr>
            <w:r>
              <w:t xml:space="preserve">TB, UK born</w:t>
            </w:r>
          </w:p>
        </w:tc>
        <w:tc>
          <w:tcPr/>
          <w:p>
            <w:pPr>
              <w:pStyle w:val="Compact"/>
              <w:jc w:val="right"/>
            </w:pPr>
            <w:r>
              <w:t xml:space="preserve">levothyroxine</w:t>
            </w:r>
          </w:p>
        </w:tc>
        <w:tc>
          <w:tcPr/>
          <w:p>
            <w:pPr>
              <w:pStyle w:val="Compact"/>
              <w:jc w:val="right"/>
            </w:pPr>
            <w:r>
              <w:t xml:space="preserve">lead (falsification)</w:t>
            </w:r>
          </w:p>
        </w:tc>
        <w:tc>
          <w:tcPr/>
          <w:p>
            <w:pPr>
              <w:pStyle w:val="Compact"/>
              <w:jc w:val="right"/>
            </w:pPr>
            <w:r>
              <w:t xml:space="preserve">-1</w:t>
            </w:r>
          </w:p>
        </w:tc>
        <w:tc>
          <w:tcPr/>
          <w:p>
            <w:pPr>
              <w:pStyle w:val="Compact"/>
              <w:jc w:val="right"/>
            </w:pPr>
            <w:r>
              <w:t xml:space="preserve">0.93 (0.81–1.07)</w:t>
            </w:r>
          </w:p>
        </w:tc>
        <w:tc>
          <w:tcPr/>
          <w:p>
            <w:pPr>
              <w:pStyle w:val="Compact"/>
              <w:jc w:val="right"/>
            </w:pPr>
            <w:r>
              <w:t xml:space="preserve">0.293</w:t>
            </w:r>
          </w:p>
        </w:tc>
        <w:tc>
          <w:tcPr/>
          <w:p>
            <w:pPr>
              <w:pStyle w:val="Compact"/>
              <w:jc w:val="right"/>
            </w:pPr>
            <w:r>
              <w:t xml:space="preserve">0.428</w:t>
            </w:r>
          </w:p>
        </w:tc>
      </w:tr>
      <w:tr>
        <w:tc>
          <w:tcPr/>
          <w:p>
            <w:pPr>
              <w:pStyle w:val="Compact"/>
              <w:jc w:val="left"/>
            </w:pPr>
            <w:r>
              <w:t xml:space="preserve">TB, UK born</w:t>
            </w:r>
          </w:p>
        </w:tc>
        <w:tc>
          <w:tcPr/>
          <w:p>
            <w:pPr>
              <w:pStyle w:val="Compact"/>
              <w:jc w:val="right"/>
            </w:pPr>
            <w:r>
              <w:t xml:space="preserve">levothyroxine</w:t>
            </w:r>
          </w:p>
        </w:tc>
        <w:tc>
          <w:tcPr/>
          <w:p>
            <w:pPr>
              <w:pStyle w:val="Compact"/>
              <w:jc w:val="right"/>
            </w:pPr>
            <w:r>
              <w:t xml:space="preserve">lead (falsification)</w:t>
            </w:r>
          </w:p>
        </w:tc>
        <w:tc>
          <w:tcPr/>
          <w:p>
            <w:pPr>
              <w:pStyle w:val="Compact"/>
              <w:jc w:val="right"/>
            </w:pPr>
            <w:r>
              <w:t xml:space="preserve">-2</w:t>
            </w:r>
          </w:p>
        </w:tc>
        <w:tc>
          <w:tcPr/>
          <w:p>
            <w:pPr>
              <w:pStyle w:val="Compact"/>
              <w:jc w:val="right"/>
            </w:pPr>
            <w:r>
              <w:t xml:space="preserve">0.97 (0.82–1.14)</w:t>
            </w:r>
          </w:p>
        </w:tc>
        <w:tc>
          <w:tcPr/>
          <w:p>
            <w:pPr>
              <w:pStyle w:val="Compact"/>
              <w:jc w:val="right"/>
            </w:pPr>
            <w:r>
              <w:t xml:space="preserve">0.636</w:t>
            </w:r>
          </w:p>
        </w:tc>
        <w:tc>
          <w:tcPr/>
          <w:p>
            <w:pPr>
              <w:pStyle w:val="Compact"/>
              <w:jc w:val="right"/>
            </w:pPr>
            <w:r>
              <w:t xml:space="preserve">0.710</w:t>
            </w:r>
          </w:p>
        </w:tc>
      </w:tr>
      <w:tr>
        <w:tc>
          <w:tcPr/>
          <w:p>
            <w:pPr>
              <w:pStyle w:val="Compact"/>
              <w:jc w:val="left"/>
            </w:pPr>
            <w:r>
              <w:t xml:space="preserve">TB, UK born</w:t>
            </w:r>
          </w:p>
        </w:tc>
        <w:tc>
          <w:tcPr/>
          <w:p>
            <w:pPr>
              <w:pStyle w:val="Compact"/>
              <w:jc w:val="right"/>
            </w:pPr>
            <w:r>
              <w:t xml:space="preserve">levothyroxine</w:t>
            </w:r>
          </w:p>
        </w:tc>
        <w:tc>
          <w:tcPr/>
          <w:p>
            <w:pPr>
              <w:pStyle w:val="Compact"/>
              <w:jc w:val="right"/>
            </w:pPr>
            <w:r>
              <w:t xml:space="preserve">lead (falsification)</w:t>
            </w:r>
          </w:p>
        </w:tc>
        <w:tc>
          <w:tcPr/>
          <w:p>
            <w:pPr>
              <w:pStyle w:val="Compact"/>
              <w:jc w:val="right"/>
            </w:pPr>
            <w:r>
              <w:t xml:space="preserve">-3</w:t>
            </w:r>
          </w:p>
        </w:tc>
        <w:tc>
          <w:tcPr/>
          <w:p>
            <w:pPr>
              <w:pStyle w:val="Compact"/>
              <w:jc w:val="right"/>
            </w:pPr>
            <w:r>
              <w:t xml:space="preserve">0.96 (0.80–1.15)</w:t>
            </w:r>
          </w:p>
        </w:tc>
        <w:tc>
          <w:tcPr/>
          <w:p>
            <w:pPr>
              <w:pStyle w:val="Compact"/>
              <w:jc w:val="right"/>
            </w:pPr>
            <w:r>
              <w:t xml:space="preserve">0.624</w:t>
            </w:r>
          </w:p>
        </w:tc>
        <w:tc>
          <w:tcPr/>
          <w:p>
            <w:pPr>
              <w:pStyle w:val="Compact"/>
              <w:jc w:val="right"/>
            </w:pPr>
            <w:r>
              <w:t xml:space="preserve">0.720</w:t>
            </w:r>
          </w:p>
        </w:tc>
      </w:tr>
      <w:tr>
        <w:tc>
          <w:tcPr/>
          <w:p>
            <w:pPr>
              <w:pStyle w:val="Compact"/>
              <w:jc w:val="left"/>
            </w:pPr>
            <w:r>
              <w:t xml:space="preserve">TB, Non-UK born</w:t>
            </w:r>
          </w:p>
        </w:tc>
        <w:tc>
          <w:tcPr/>
          <w:p>
            <w:pPr>
              <w:pStyle w:val="Compact"/>
              <w:jc w:val="right"/>
            </w:pPr>
            <w:r>
              <w:t xml:space="preserve">oral_glucocorticoids</w:t>
            </w:r>
          </w:p>
        </w:tc>
        <w:tc>
          <w:tcPr/>
          <w:p>
            <w:pPr>
              <w:pStyle w:val="Compact"/>
              <w:jc w:val="right"/>
            </w:pPr>
            <w:r>
              <w:t xml:space="preserve">lagged exposure</w:t>
            </w:r>
          </w:p>
        </w:tc>
        <w:tc>
          <w:tcPr/>
          <w:p>
            <w:pPr>
              <w:pStyle w:val="Compact"/>
              <w:jc w:val="right"/>
            </w:pPr>
            <w:r>
              <w:t xml:space="preserve">1</w:t>
            </w:r>
          </w:p>
        </w:tc>
        <w:tc>
          <w:tcPr/>
          <w:p>
            <w:pPr>
              <w:pStyle w:val="Compact"/>
              <w:jc w:val="right"/>
            </w:pPr>
            <w:r>
              <w:t xml:space="preserve">0.95 (0.72–1.25)</w:t>
            </w:r>
          </w:p>
        </w:tc>
        <w:tc>
          <w:tcPr/>
          <w:p>
            <w:pPr>
              <w:pStyle w:val="Compact"/>
              <w:jc w:val="right"/>
            </w:pPr>
            <w:r>
              <w:t xml:space="preserve">0.678</w:t>
            </w:r>
          </w:p>
        </w:tc>
        <w:tc>
          <w:tcPr/>
          <w:p>
            <w:pPr>
              <w:pStyle w:val="Compact"/>
              <w:jc w:val="right"/>
            </w:pPr>
            <w:r>
              <w:t xml:space="preserve">0.716</w:t>
            </w:r>
          </w:p>
        </w:tc>
      </w:tr>
      <w:tr>
        <w:tc>
          <w:tcPr/>
          <w:p>
            <w:pPr>
              <w:pStyle w:val="Compact"/>
              <w:jc w:val="left"/>
            </w:pPr>
            <w:r>
              <w:t xml:space="preserve">TB, Non-UK born</w:t>
            </w:r>
          </w:p>
        </w:tc>
        <w:tc>
          <w:tcPr/>
          <w:p>
            <w:pPr>
              <w:pStyle w:val="Compact"/>
              <w:jc w:val="right"/>
            </w:pPr>
            <w:r>
              <w:t xml:space="preserve">oral_glucocorticoids</w:t>
            </w:r>
          </w:p>
        </w:tc>
        <w:tc>
          <w:tcPr/>
          <w:p>
            <w:pPr>
              <w:pStyle w:val="Compact"/>
              <w:jc w:val="right"/>
            </w:pPr>
            <w:r>
              <w:t xml:space="preserve">lagged exposure</w:t>
            </w:r>
          </w:p>
        </w:tc>
        <w:tc>
          <w:tcPr/>
          <w:p>
            <w:pPr>
              <w:pStyle w:val="Compact"/>
              <w:jc w:val="right"/>
            </w:pPr>
            <w:r>
              <w:t xml:space="preserve">2</w:t>
            </w:r>
          </w:p>
        </w:tc>
        <w:tc>
          <w:tcPr/>
          <w:p>
            <w:pPr>
              <w:pStyle w:val="Compact"/>
              <w:jc w:val="right"/>
            </w:pPr>
            <w:r>
              <w:t xml:space="preserve">1.00 (0.81–1.23)</w:t>
            </w:r>
          </w:p>
        </w:tc>
        <w:tc>
          <w:tcPr/>
          <w:p>
            <w:pPr>
              <w:pStyle w:val="Compact"/>
              <w:jc w:val="right"/>
            </w:pPr>
            <w:r>
              <w:t xml:space="preserve">0.982</w:t>
            </w:r>
          </w:p>
        </w:tc>
        <w:tc>
          <w:tcPr/>
          <w:p>
            <w:pPr>
              <w:pStyle w:val="Compact"/>
              <w:jc w:val="right"/>
            </w:pPr>
            <w:r>
              <w:t xml:space="preserve">0.974</w:t>
            </w:r>
          </w:p>
        </w:tc>
      </w:tr>
      <w:tr>
        <w:tc>
          <w:tcPr/>
          <w:p>
            <w:pPr>
              <w:pStyle w:val="Compact"/>
              <w:jc w:val="left"/>
            </w:pPr>
            <w:r>
              <w:t xml:space="preserve">TB, Non-UK born</w:t>
            </w:r>
          </w:p>
        </w:tc>
        <w:tc>
          <w:tcPr/>
          <w:p>
            <w:pPr>
              <w:pStyle w:val="Compact"/>
              <w:jc w:val="right"/>
            </w:pPr>
            <w:r>
              <w:t xml:space="preserve">oral_glucocorticoids</w:t>
            </w:r>
          </w:p>
        </w:tc>
        <w:tc>
          <w:tcPr/>
          <w:p>
            <w:pPr>
              <w:pStyle w:val="Compact"/>
              <w:jc w:val="right"/>
            </w:pPr>
            <w:r>
              <w:t xml:space="preserve">lagged exposure</w:t>
            </w:r>
          </w:p>
        </w:tc>
        <w:tc>
          <w:tcPr/>
          <w:p>
            <w:pPr>
              <w:pStyle w:val="Compact"/>
              <w:jc w:val="right"/>
            </w:pPr>
            <w:r>
              <w:t xml:space="preserve">3</w:t>
            </w:r>
          </w:p>
        </w:tc>
        <w:tc>
          <w:tcPr/>
          <w:p>
            <w:pPr>
              <w:pStyle w:val="Compact"/>
              <w:jc w:val="right"/>
            </w:pPr>
            <w:r>
              <w:t xml:space="preserve">1.03 (0.83–1.28)</w:t>
            </w:r>
          </w:p>
        </w:tc>
        <w:tc>
          <w:tcPr/>
          <w:p>
            <w:pPr>
              <w:pStyle w:val="Compact"/>
              <w:jc w:val="right"/>
            </w:pPr>
            <w:r>
              <w:t xml:space="preserve">0.725</w:t>
            </w:r>
          </w:p>
        </w:tc>
        <w:tc>
          <w:tcPr/>
          <w:p>
            <w:pPr>
              <w:pStyle w:val="Compact"/>
              <w:jc w:val="right"/>
            </w:pPr>
            <w:r>
              <w:t xml:space="preserve">0.766</w:t>
            </w:r>
          </w:p>
        </w:tc>
      </w:tr>
      <w:tr>
        <w:tc>
          <w:tcPr/>
          <w:p>
            <w:pPr>
              <w:pStyle w:val="Compact"/>
              <w:jc w:val="left"/>
            </w:pPr>
            <w:r>
              <w:t xml:space="preserve">TB, Non-UK born</w:t>
            </w:r>
          </w:p>
        </w:tc>
        <w:tc>
          <w:tcPr/>
          <w:p>
            <w:pPr>
              <w:pStyle w:val="Compact"/>
              <w:jc w:val="right"/>
            </w:pPr>
            <w:r>
              <w:t xml:space="preserve">oral_glucocorticoids</w:t>
            </w:r>
          </w:p>
        </w:tc>
        <w:tc>
          <w:tcPr/>
          <w:p>
            <w:pPr>
              <w:pStyle w:val="Compact"/>
              <w:jc w:val="right"/>
            </w:pPr>
            <w:r>
              <w:t xml:space="preserve">lagged, excluding 2020-21</w:t>
            </w:r>
          </w:p>
        </w:tc>
        <w:tc>
          <w:tcPr/>
          <w:p>
            <w:pPr>
              <w:pStyle w:val="Compact"/>
              <w:jc w:val="right"/>
            </w:pPr>
            <w:r>
              <w:t xml:space="preserve">1</w:t>
            </w:r>
          </w:p>
        </w:tc>
        <w:tc>
          <w:tcPr/>
          <w:p>
            <w:pPr>
              <w:pStyle w:val="Compact"/>
              <w:jc w:val="right"/>
            </w:pPr>
            <w:r>
              <w:t xml:space="preserve">0.98 (0.72–1.32)</w:t>
            </w:r>
          </w:p>
        </w:tc>
        <w:tc>
          <w:tcPr/>
          <w:p>
            <w:pPr>
              <w:pStyle w:val="Compact"/>
              <w:jc w:val="right"/>
            </w:pPr>
            <w:r>
              <w:t xml:space="preserve">0.853</w:t>
            </w:r>
          </w:p>
        </w:tc>
        <w:tc>
          <w:tcPr/>
          <w:p>
            <w:pPr>
              <w:pStyle w:val="Compact"/>
              <w:jc w:val="right"/>
            </w:pPr>
            <w:r>
              <w:t xml:space="preserve">0.874</w:t>
            </w:r>
          </w:p>
        </w:tc>
      </w:tr>
      <w:tr>
        <w:tc>
          <w:tcPr/>
          <w:p>
            <w:pPr>
              <w:pStyle w:val="Compact"/>
              <w:jc w:val="left"/>
            </w:pPr>
            <w:r>
              <w:t xml:space="preserve">TB, Non-UK born</w:t>
            </w:r>
          </w:p>
        </w:tc>
        <w:tc>
          <w:tcPr/>
          <w:p>
            <w:pPr>
              <w:pStyle w:val="Compact"/>
              <w:jc w:val="right"/>
            </w:pPr>
            <w:r>
              <w:t xml:space="preserve">oral_glucocorticoids</w:t>
            </w:r>
          </w:p>
        </w:tc>
        <w:tc>
          <w:tcPr/>
          <w:p>
            <w:pPr>
              <w:pStyle w:val="Compact"/>
              <w:jc w:val="right"/>
            </w:pPr>
            <w:r>
              <w:t xml:space="preserve">lagged, excluding 2020-21</w:t>
            </w:r>
          </w:p>
        </w:tc>
        <w:tc>
          <w:tcPr/>
          <w:p>
            <w:pPr>
              <w:pStyle w:val="Compact"/>
              <w:jc w:val="right"/>
            </w:pPr>
            <w:r>
              <w:t xml:space="preserve">2</w:t>
            </w:r>
          </w:p>
        </w:tc>
        <w:tc>
          <w:tcPr/>
          <w:p>
            <w:pPr>
              <w:pStyle w:val="Compact"/>
              <w:jc w:val="right"/>
            </w:pPr>
            <w:r>
              <w:t xml:space="preserve">1.03 (0.84–1.26)</w:t>
            </w:r>
          </w:p>
        </w:tc>
        <w:tc>
          <w:tcPr/>
          <w:p>
            <w:pPr>
              <w:pStyle w:val="Compact"/>
              <w:jc w:val="right"/>
            </w:pPr>
            <w:r>
              <w:t xml:space="preserve">0.785</w:t>
            </w:r>
          </w:p>
        </w:tc>
        <w:tc>
          <w:tcPr/>
          <w:p>
            <w:pPr>
              <w:pStyle w:val="Compact"/>
              <w:jc w:val="right"/>
            </w:pPr>
            <w:r>
              <w:t xml:space="preserve">0.812</w:t>
            </w:r>
          </w:p>
        </w:tc>
      </w:tr>
      <w:tr>
        <w:tc>
          <w:tcPr/>
          <w:p>
            <w:pPr>
              <w:pStyle w:val="Compact"/>
              <w:jc w:val="left"/>
            </w:pPr>
            <w:r>
              <w:t xml:space="preserve">TB, Non-UK born</w:t>
            </w:r>
          </w:p>
        </w:tc>
        <w:tc>
          <w:tcPr/>
          <w:p>
            <w:pPr>
              <w:pStyle w:val="Compact"/>
              <w:jc w:val="right"/>
            </w:pPr>
            <w:r>
              <w:t xml:space="preserve">oral_glucocorticoids</w:t>
            </w:r>
          </w:p>
        </w:tc>
        <w:tc>
          <w:tcPr/>
          <w:p>
            <w:pPr>
              <w:pStyle w:val="Compact"/>
              <w:jc w:val="right"/>
            </w:pPr>
            <w:r>
              <w:t xml:space="preserve">lagged, excluding 2020-21</w:t>
            </w:r>
          </w:p>
        </w:tc>
        <w:tc>
          <w:tcPr/>
          <w:p>
            <w:pPr>
              <w:pStyle w:val="Compact"/>
              <w:jc w:val="right"/>
            </w:pPr>
            <w:r>
              <w:t xml:space="preserve">3</w:t>
            </w:r>
          </w:p>
        </w:tc>
        <w:tc>
          <w:tcPr/>
          <w:p>
            <w:pPr>
              <w:pStyle w:val="Compact"/>
              <w:jc w:val="right"/>
            </w:pPr>
            <w:r>
              <w:t xml:space="preserve">1.06 (0.86–1.32)</w:t>
            </w:r>
          </w:p>
        </w:tc>
        <w:tc>
          <w:tcPr/>
          <w:p>
            <w:pPr>
              <w:pStyle w:val="Compact"/>
              <w:jc w:val="right"/>
            </w:pPr>
            <w:r>
              <w:t xml:space="preserve">0.523</w:t>
            </w:r>
          </w:p>
        </w:tc>
        <w:tc>
          <w:tcPr/>
          <w:p>
            <w:pPr>
              <w:pStyle w:val="Compact"/>
              <w:jc w:val="right"/>
            </w:pPr>
            <w:r>
              <w:t xml:space="preserve">0.600</w:t>
            </w:r>
          </w:p>
        </w:tc>
      </w:tr>
      <w:tr>
        <w:tc>
          <w:tcPr/>
          <w:p>
            <w:pPr>
              <w:pStyle w:val="Compact"/>
              <w:jc w:val="left"/>
            </w:pPr>
            <w:r>
              <w:t xml:space="preserve">TB, Non-UK born</w:t>
            </w:r>
          </w:p>
        </w:tc>
        <w:tc>
          <w:tcPr/>
          <w:p>
            <w:pPr>
              <w:pStyle w:val="Compact"/>
              <w:jc w:val="right"/>
            </w:pPr>
            <w:r>
              <w:t xml:space="preserve">oral_glucocorticoids</w:t>
            </w:r>
          </w:p>
        </w:tc>
        <w:tc>
          <w:tcPr/>
          <w:p>
            <w:pPr>
              <w:pStyle w:val="Compact"/>
              <w:jc w:val="right"/>
            </w:pPr>
            <w:r>
              <w:t xml:space="preserve">lead (falsification)</w:t>
            </w:r>
          </w:p>
        </w:tc>
        <w:tc>
          <w:tcPr/>
          <w:p>
            <w:pPr>
              <w:pStyle w:val="Compact"/>
              <w:jc w:val="right"/>
            </w:pPr>
            <w:r>
              <w:t xml:space="preserve">-1</w:t>
            </w:r>
          </w:p>
        </w:tc>
        <w:tc>
          <w:tcPr/>
          <w:p>
            <w:pPr>
              <w:pStyle w:val="Compact"/>
              <w:jc w:val="right"/>
            </w:pPr>
            <w:r>
              <w:t xml:space="preserve">1.13 (0.88–1.44)</w:t>
            </w:r>
          </w:p>
        </w:tc>
        <w:tc>
          <w:tcPr/>
          <w:p>
            <w:pPr>
              <w:pStyle w:val="Compact"/>
              <w:jc w:val="right"/>
            </w:pPr>
            <w:r>
              <w:t xml:space="preserve">0.306</w:t>
            </w:r>
          </w:p>
        </w:tc>
        <w:tc>
          <w:tcPr/>
          <w:p>
            <w:pPr>
              <w:pStyle w:val="Compact"/>
              <w:jc w:val="right"/>
            </w:pPr>
            <w:r>
              <w:t xml:space="preserve">0.358</w:t>
            </w:r>
          </w:p>
        </w:tc>
      </w:tr>
      <w:tr>
        <w:tc>
          <w:tcPr/>
          <w:p>
            <w:pPr>
              <w:pStyle w:val="Compact"/>
              <w:jc w:val="left"/>
            </w:pPr>
            <w:r>
              <w:t xml:space="preserve">TB, Non-UK born</w:t>
            </w:r>
          </w:p>
        </w:tc>
        <w:tc>
          <w:tcPr/>
          <w:p>
            <w:pPr>
              <w:pStyle w:val="Compact"/>
              <w:jc w:val="right"/>
            </w:pPr>
            <w:r>
              <w:t xml:space="preserve">oral_glucocorticoids</w:t>
            </w:r>
          </w:p>
        </w:tc>
        <w:tc>
          <w:tcPr/>
          <w:p>
            <w:pPr>
              <w:pStyle w:val="Compact"/>
              <w:jc w:val="right"/>
            </w:pPr>
            <w:r>
              <w:t xml:space="preserve">lead (falsification)</w:t>
            </w:r>
          </w:p>
        </w:tc>
        <w:tc>
          <w:tcPr/>
          <w:p>
            <w:pPr>
              <w:pStyle w:val="Compact"/>
              <w:jc w:val="right"/>
            </w:pPr>
            <w:r>
              <w:t xml:space="preserve">-2</w:t>
            </w:r>
          </w:p>
        </w:tc>
        <w:tc>
          <w:tcPr/>
          <w:p>
            <w:pPr>
              <w:pStyle w:val="Compact"/>
              <w:jc w:val="right"/>
            </w:pPr>
            <w:r>
              <w:t xml:space="preserve">1.33 (1.00–1.76)</w:t>
            </w:r>
          </w:p>
        </w:tc>
        <w:tc>
          <w:tcPr/>
          <w:p>
            <w:pPr>
              <w:pStyle w:val="Compact"/>
              <w:jc w:val="right"/>
            </w:pPr>
            <w:r>
              <w:t xml:space="preserve">0.049</w:t>
            </w:r>
          </w:p>
        </w:tc>
        <w:tc>
          <w:tcPr/>
          <w:p>
            <w:pPr>
              <w:pStyle w:val="Compact"/>
              <w:jc w:val="right"/>
            </w:pPr>
            <w:r>
              <w:t xml:space="preserve">0.070</w:t>
            </w:r>
          </w:p>
        </w:tc>
      </w:tr>
      <w:tr>
        <w:tc>
          <w:tcPr/>
          <w:p>
            <w:pPr>
              <w:pStyle w:val="Compact"/>
              <w:jc w:val="left"/>
            </w:pPr>
            <w:r>
              <w:t xml:space="preserve">TB, Non-UK born</w:t>
            </w:r>
          </w:p>
        </w:tc>
        <w:tc>
          <w:tcPr/>
          <w:p>
            <w:pPr>
              <w:pStyle w:val="Compact"/>
              <w:jc w:val="right"/>
            </w:pPr>
            <w:r>
              <w:t xml:space="preserve">oral_glucocorticoids</w:t>
            </w:r>
          </w:p>
        </w:tc>
        <w:tc>
          <w:tcPr/>
          <w:p>
            <w:pPr>
              <w:pStyle w:val="Compact"/>
              <w:jc w:val="right"/>
            </w:pPr>
            <w:r>
              <w:t xml:space="preserve">lead (falsification)</w:t>
            </w:r>
          </w:p>
        </w:tc>
        <w:tc>
          <w:tcPr/>
          <w:p>
            <w:pPr>
              <w:pStyle w:val="Compact"/>
              <w:jc w:val="right"/>
            </w:pPr>
            <w:r>
              <w:t xml:space="preserve">-3</w:t>
            </w:r>
          </w:p>
        </w:tc>
        <w:tc>
          <w:tcPr/>
          <w:p>
            <w:pPr>
              <w:pStyle w:val="Compact"/>
              <w:jc w:val="right"/>
            </w:pPr>
            <w:r>
              <w:t xml:space="preserve">1.49 (1.17–1.89)</w:t>
            </w:r>
          </w:p>
        </w:tc>
        <w:tc>
          <w:tcPr/>
          <w:p>
            <w:pPr>
              <w:pStyle w:val="Compact"/>
              <w:jc w:val="right"/>
            </w:pPr>
            <w:r>
              <w:t xml:space="preserve">0.005</w:t>
            </w:r>
          </w:p>
        </w:tc>
        <w:tc>
          <w:tcPr/>
          <w:p>
            <w:pPr>
              <w:pStyle w:val="Compact"/>
              <w:jc w:val="right"/>
            </w:pPr>
            <w:r>
              <w:t xml:space="preserve">0.012</w:t>
            </w:r>
          </w:p>
        </w:tc>
      </w:tr>
      <w:tr>
        <w:tc>
          <w:tcPr/>
          <w:p>
            <w:pPr>
              <w:pStyle w:val="Compact"/>
              <w:jc w:val="left"/>
            </w:pPr>
            <w:r>
              <w:t xml:space="preserve">TB, Non-UK born</w:t>
            </w:r>
          </w:p>
        </w:tc>
        <w:tc>
          <w:tcPr/>
          <w:p>
            <w:pPr>
              <w:pStyle w:val="Compact"/>
              <w:jc w:val="right"/>
            </w:pPr>
            <w:r>
              <w:t xml:space="preserve">mg_pred_equivalent</w:t>
            </w:r>
          </w:p>
        </w:tc>
        <w:tc>
          <w:tcPr/>
          <w:p>
            <w:pPr>
              <w:pStyle w:val="Compact"/>
              <w:jc w:val="right"/>
            </w:pPr>
            <w:r>
              <w:t xml:space="preserve">lagged exposure</w:t>
            </w:r>
          </w:p>
        </w:tc>
        <w:tc>
          <w:tcPr/>
          <w:p>
            <w:pPr>
              <w:pStyle w:val="Compact"/>
              <w:jc w:val="right"/>
            </w:pPr>
            <w:r>
              <w:t xml:space="preserve">1</w:t>
            </w:r>
          </w:p>
        </w:tc>
        <w:tc>
          <w:tcPr/>
          <w:p>
            <w:pPr>
              <w:pStyle w:val="Compact"/>
              <w:jc w:val="right"/>
            </w:pPr>
            <w:r>
              <w:t xml:space="preserve">0.99 (0.77–1.26)</w:t>
            </w:r>
          </w:p>
        </w:tc>
        <w:tc>
          <w:tcPr/>
          <w:p>
            <w:pPr>
              <w:pStyle w:val="Compact"/>
              <w:jc w:val="right"/>
            </w:pPr>
            <w:r>
              <w:t xml:space="preserve">0.906</w:t>
            </w:r>
          </w:p>
        </w:tc>
        <w:tc>
          <w:tcPr/>
          <w:p>
            <w:pPr>
              <w:pStyle w:val="Compact"/>
              <w:jc w:val="right"/>
            </w:pPr>
            <w:r>
              <w:t xml:space="preserve">0.934</w:t>
            </w:r>
          </w:p>
        </w:tc>
      </w:tr>
      <w:tr>
        <w:tc>
          <w:tcPr/>
          <w:p>
            <w:pPr>
              <w:pStyle w:val="Compact"/>
              <w:jc w:val="left"/>
            </w:pPr>
            <w:r>
              <w:t xml:space="preserve">TB, Non-UK born</w:t>
            </w:r>
          </w:p>
        </w:tc>
        <w:tc>
          <w:tcPr/>
          <w:p>
            <w:pPr>
              <w:pStyle w:val="Compact"/>
              <w:jc w:val="right"/>
            </w:pPr>
            <w:r>
              <w:t xml:space="preserve">mg_pred_equivalent</w:t>
            </w:r>
          </w:p>
        </w:tc>
        <w:tc>
          <w:tcPr/>
          <w:p>
            <w:pPr>
              <w:pStyle w:val="Compact"/>
              <w:jc w:val="right"/>
            </w:pPr>
            <w:r>
              <w:t xml:space="preserve">lagged exposure</w:t>
            </w:r>
          </w:p>
        </w:tc>
        <w:tc>
          <w:tcPr/>
          <w:p>
            <w:pPr>
              <w:pStyle w:val="Compact"/>
              <w:jc w:val="right"/>
            </w:pPr>
            <w:r>
              <w:t xml:space="preserve">2</w:t>
            </w:r>
          </w:p>
        </w:tc>
        <w:tc>
          <w:tcPr/>
          <w:p>
            <w:pPr>
              <w:pStyle w:val="Compact"/>
              <w:jc w:val="right"/>
            </w:pPr>
            <w:r>
              <w:t xml:space="preserve">1.08 (0.91–1.27)</w:t>
            </w:r>
          </w:p>
        </w:tc>
        <w:tc>
          <w:tcPr/>
          <w:p>
            <w:pPr>
              <w:pStyle w:val="Compact"/>
              <w:jc w:val="right"/>
            </w:pPr>
            <w:r>
              <w:t xml:space="preserve">0.343</w:t>
            </w:r>
          </w:p>
        </w:tc>
        <w:tc>
          <w:tcPr/>
          <w:p>
            <w:pPr>
              <w:pStyle w:val="Compact"/>
              <w:jc w:val="right"/>
            </w:pPr>
            <w:r>
              <w:t xml:space="preserve">0.544</w:t>
            </w:r>
          </w:p>
        </w:tc>
      </w:tr>
      <w:tr>
        <w:tc>
          <w:tcPr/>
          <w:p>
            <w:pPr>
              <w:pStyle w:val="Compact"/>
              <w:jc w:val="left"/>
            </w:pPr>
            <w:r>
              <w:t xml:space="preserve">TB, Non-UK born</w:t>
            </w:r>
          </w:p>
        </w:tc>
        <w:tc>
          <w:tcPr/>
          <w:p>
            <w:pPr>
              <w:pStyle w:val="Compact"/>
              <w:jc w:val="right"/>
            </w:pPr>
            <w:r>
              <w:t xml:space="preserve">mg_pred_equivalent</w:t>
            </w:r>
          </w:p>
        </w:tc>
        <w:tc>
          <w:tcPr/>
          <w:p>
            <w:pPr>
              <w:pStyle w:val="Compact"/>
              <w:jc w:val="right"/>
            </w:pPr>
            <w:r>
              <w:t xml:space="preserve">lagged exposure</w:t>
            </w:r>
          </w:p>
        </w:tc>
        <w:tc>
          <w:tcPr/>
          <w:p>
            <w:pPr>
              <w:pStyle w:val="Compact"/>
              <w:jc w:val="right"/>
            </w:pPr>
            <w:r>
              <w:t xml:space="preserve">3</w:t>
            </w:r>
          </w:p>
        </w:tc>
        <w:tc>
          <w:tcPr/>
          <w:p>
            <w:pPr>
              <w:pStyle w:val="Compact"/>
              <w:jc w:val="right"/>
            </w:pPr>
            <w:r>
              <w:t xml:space="preserve">1.11 (0.94–1.30)</w:t>
            </w:r>
          </w:p>
        </w:tc>
        <w:tc>
          <w:tcPr/>
          <w:p>
            <w:pPr>
              <w:pStyle w:val="Compact"/>
              <w:jc w:val="right"/>
            </w:pPr>
            <w:r>
              <w:t xml:space="preserve">0.179</w:t>
            </w:r>
          </w:p>
        </w:tc>
        <w:tc>
          <w:tcPr/>
          <w:p>
            <w:pPr>
              <w:pStyle w:val="Compact"/>
              <w:jc w:val="right"/>
            </w:pPr>
            <w:r>
              <w:t xml:space="preserve">0.384</w:t>
            </w:r>
          </w:p>
        </w:tc>
      </w:tr>
      <w:tr>
        <w:tc>
          <w:tcPr/>
          <w:p>
            <w:pPr>
              <w:pStyle w:val="Compact"/>
              <w:jc w:val="left"/>
            </w:pPr>
            <w:r>
              <w:t xml:space="preserve">TB, Non-UK born</w:t>
            </w:r>
          </w:p>
        </w:tc>
        <w:tc>
          <w:tcPr/>
          <w:p>
            <w:pPr>
              <w:pStyle w:val="Compact"/>
              <w:jc w:val="right"/>
            </w:pPr>
            <w:r>
              <w:t xml:space="preserve">mg_pred_equivalent</w:t>
            </w:r>
          </w:p>
        </w:tc>
        <w:tc>
          <w:tcPr/>
          <w:p>
            <w:pPr>
              <w:pStyle w:val="Compact"/>
              <w:jc w:val="right"/>
            </w:pPr>
            <w:r>
              <w:t xml:space="preserve">lagged, excluding 2020-21</w:t>
            </w:r>
          </w:p>
        </w:tc>
        <w:tc>
          <w:tcPr/>
          <w:p>
            <w:pPr>
              <w:pStyle w:val="Compact"/>
              <w:jc w:val="right"/>
            </w:pPr>
            <w:r>
              <w:t xml:space="preserve">1</w:t>
            </w:r>
          </w:p>
        </w:tc>
        <w:tc>
          <w:tcPr/>
          <w:p>
            <w:pPr>
              <w:pStyle w:val="Compact"/>
              <w:jc w:val="right"/>
            </w:pPr>
            <w:r>
              <w:t xml:space="preserve">1.02 (0.78–1.33)</w:t>
            </w:r>
          </w:p>
        </w:tc>
        <w:tc>
          <w:tcPr/>
          <w:p>
            <w:pPr>
              <w:pStyle w:val="Compact"/>
              <w:jc w:val="right"/>
            </w:pPr>
            <w:r>
              <w:t xml:space="preserve">0.884</w:t>
            </w:r>
          </w:p>
        </w:tc>
        <w:tc>
          <w:tcPr/>
          <w:p>
            <w:pPr>
              <w:pStyle w:val="Compact"/>
              <w:jc w:val="right"/>
            </w:pPr>
            <w:r>
              <w:t xml:space="preserve">0.918</w:t>
            </w:r>
          </w:p>
        </w:tc>
      </w:tr>
      <w:tr>
        <w:tc>
          <w:tcPr/>
          <w:p>
            <w:pPr>
              <w:pStyle w:val="Compact"/>
              <w:jc w:val="left"/>
            </w:pPr>
            <w:r>
              <w:t xml:space="preserve">TB, Non-UK born</w:t>
            </w:r>
          </w:p>
        </w:tc>
        <w:tc>
          <w:tcPr/>
          <w:p>
            <w:pPr>
              <w:pStyle w:val="Compact"/>
              <w:jc w:val="right"/>
            </w:pPr>
            <w:r>
              <w:t xml:space="preserve">mg_pred_equivalent</w:t>
            </w:r>
          </w:p>
        </w:tc>
        <w:tc>
          <w:tcPr/>
          <w:p>
            <w:pPr>
              <w:pStyle w:val="Compact"/>
              <w:jc w:val="right"/>
            </w:pPr>
            <w:r>
              <w:t xml:space="preserve">lagged, excluding 2020-21</w:t>
            </w:r>
          </w:p>
        </w:tc>
        <w:tc>
          <w:tcPr/>
          <w:p>
            <w:pPr>
              <w:pStyle w:val="Compact"/>
              <w:jc w:val="right"/>
            </w:pPr>
            <w:r>
              <w:t xml:space="preserve">2</w:t>
            </w:r>
          </w:p>
        </w:tc>
        <w:tc>
          <w:tcPr/>
          <w:p>
            <w:pPr>
              <w:pStyle w:val="Compact"/>
              <w:jc w:val="right"/>
            </w:pPr>
            <w:r>
              <w:t xml:space="preserve">1.07 (0.92–1.26)</w:t>
            </w:r>
          </w:p>
        </w:tc>
        <w:tc>
          <w:tcPr/>
          <w:p>
            <w:pPr>
              <w:pStyle w:val="Compact"/>
              <w:jc w:val="right"/>
            </w:pPr>
            <w:r>
              <w:t xml:space="preserve">0.327</w:t>
            </w:r>
          </w:p>
        </w:tc>
        <w:tc>
          <w:tcPr/>
          <w:p>
            <w:pPr>
              <w:pStyle w:val="Compact"/>
              <w:jc w:val="right"/>
            </w:pPr>
            <w:r>
              <w:t xml:space="preserve">0.542</w:t>
            </w:r>
          </w:p>
        </w:tc>
      </w:tr>
      <w:tr>
        <w:tc>
          <w:tcPr/>
          <w:p>
            <w:pPr>
              <w:pStyle w:val="Compact"/>
              <w:jc w:val="left"/>
            </w:pPr>
            <w:r>
              <w:t xml:space="preserve">TB, Non-UK born</w:t>
            </w:r>
          </w:p>
        </w:tc>
        <w:tc>
          <w:tcPr/>
          <w:p>
            <w:pPr>
              <w:pStyle w:val="Compact"/>
              <w:jc w:val="right"/>
            </w:pPr>
            <w:r>
              <w:t xml:space="preserve">mg_pred_equivalent</w:t>
            </w:r>
          </w:p>
        </w:tc>
        <w:tc>
          <w:tcPr/>
          <w:p>
            <w:pPr>
              <w:pStyle w:val="Compact"/>
              <w:jc w:val="right"/>
            </w:pPr>
            <w:r>
              <w:t xml:space="preserve">lagged, excluding 2020-21</w:t>
            </w:r>
          </w:p>
        </w:tc>
        <w:tc>
          <w:tcPr/>
          <w:p>
            <w:pPr>
              <w:pStyle w:val="Compact"/>
              <w:jc w:val="right"/>
            </w:pPr>
            <w:r>
              <w:t xml:space="preserve">3</w:t>
            </w:r>
          </w:p>
        </w:tc>
        <w:tc>
          <w:tcPr/>
          <w:p>
            <w:pPr>
              <w:pStyle w:val="Compact"/>
              <w:jc w:val="right"/>
            </w:pPr>
            <w:r>
              <w:t xml:space="preserve">1.13 (0.94–1.35)</w:t>
            </w:r>
          </w:p>
        </w:tc>
        <w:tc>
          <w:tcPr/>
          <w:p>
            <w:pPr>
              <w:pStyle w:val="Compact"/>
              <w:jc w:val="right"/>
            </w:pPr>
            <w:r>
              <w:t xml:space="preserve">0.158</w:t>
            </w:r>
          </w:p>
        </w:tc>
        <w:tc>
          <w:tcPr/>
          <w:p>
            <w:pPr>
              <w:pStyle w:val="Compact"/>
              <w:jc w:val="right"/>
            </w:pPr>
            <w:r>
              <w:t xml:space="preserve">0.378</w:t>
            </w:r>
          </w:p>
        </w:tc>
      </w:tr>
      <w:tr>
        <w:tc>
          <w:tcPr/>
          <w:p>
            <w:pPr>
              <w:pStyle w:val="Compact"/>
              <w:jc w:val="left"/>
            </w:pPr>
            <w:r>
              <w:t xml:space="preserve">TB, Non-UK born</w:t>
            </w:r>
          </w:p>
        </w:tc>
        <w:tc>
          <w:tcPr/>
          <w:p>
            <w:pPr>
              <w:pStyle w:val="Compact"/>
              <w:jc w:val="right"/>
            </w:pPr>
            <w:r>
              <w:t xml:space="preserve">mg_pred_equivalent</w:t>
            </w:r>
          </w:p>
        </w:tc>
        <w:tc>
          <w:tcPr/>
          <w:p>
            <w:pPr>
              <w:pStyle w:val="Compact"/>
              <w:jc w:val="right"/>
            </w:pPr>
            <w:r>
              <w:t xml:space="preserve">lead (falsification)</w:t>
            </w:r>
          </w:p>
        </w:tc>
        <w:tc>
          <w:tcPr/>
          <w:p>
            <w:pPr>
              <w:pStyle w:val="Compact"/>
              <w:jc w:val="right"/>
            </w:pPr>
            <w:r>
              <w:t xml:space="preserve">-1</w:t>
            </w:r>
          </w:p>
        </w:tc>
        <w:tc>
          <w:tcPr/>
          <w:p>
            <w:pPr>
              <w:pStyle w:val="Compact"/>
              <w:jc w:val="right"/>
            </w:pPr>
            <w:r>
              <w:t xml:space="preserve">1.15 (0.91–1.46)</w:t>
            </w:r>
          </w:p>
        </w:tc>
        <w:tc>
          <w:tcPr/>
          <w:p>
            <w:pPr>
              <w:pStyle w:val="Compact"/>
              <w:jc w:val="right"/>
            </w:pPr>
            <w:r>
              <w:t xml:space="preserve">0.208</w:t>
            </w:r>
          </w:p>
        </w:tc>
        <w:tc>
          <w:tcPr/>
          <w:p>
            <w:pPr>
              <w:pStyle w:val="Compact"/>
              <w:jc w:val="right"/>
            </w:pPr>
            <w:r>
              <w:t xml:space="preserve">0.332</w:t>
            </w:r>
          </w:p>
        </w:tc>
      </w:tr>
      <w:tr>
        <w:tc>
          <w:tcPr/>
          <w:p>
            <w:pPr>
              <w:pStyle w:val="Compact"/>
              <w:jc w:val="left"/>
            </w:pPr>
            <w:r>
              <w:t xml:space="preserve">TB, Non-UK born</w:t>
            </w:r>
          </w:p>
        </w:tc>
        <w:tc>
          <w:tcPr/>
          <w:p>
            <w:pPr>
              <w:pStyle w:val="Compact"/>
              <w:jc w:val="right"/>
            </w:pPr>
            <w:r>
              <w:t xml:space="preserve">mg_pred_equivalent</w:t>
            </w:r>
          </w:p>
        </w:tc>
        <w:tc>
          <w:tcPr/>
          <w:p>
            <w:pPr>
              <w:pStyle w:val="Compact"/>
              <w:jc w:val="right"/>
            </w:pPr>
            <w:r>
              <w:t xml:space="preserve">lead (falsification)</w:t>
            </w:r>
          </w:p>
        </w:tc>
        <w:tc>
          <w:tcPr/>
          <w:p>
            <w:pPr>
              <w:pStyle w:val="Compact"/>
              <w:jc w:val="right"/>
            </w:pPr>
            <w:r>
              <w:t xml:space="preserve">-2</w:t>
            </w:r>
          </w:p>
        </w:tc>
        <w:tc>
          <w:tcPr/>
          <w:p>
            <w:pPr>
              <w:pStyle w:val="Compact"/>
              <w:jc w:val="right"/>
            </w:pPr>
            <w:r>
              <w:t xml:space="preserve">1.31 (0.94–1.83)</w:t>
            </w:r>
          </w:p>
        </w:tc>
        <w:tc>
          <w:tcPr/>
          <w:p>
            <w:pPr>
              <w:pStyle w:val="Compact"/>
              <w:jc w:val="right"/>
            </w:pPr>
            <w:r>
              <w:t xml:space="preserve">0.101</w:t>
            </w:r>
          </w:p>
        </w:tc>
        <w:tc>
          <w:tcPr/>
          <w:p>
            <w:pPr>
              <w:pStyle w:val="Compact"/>
              <w:jc w:val="right"/>
            </w:pPr>
            <w:r>
              <w:t xml:space="preserve">0.168</w:t>
            </w:r>
          </w:p>
        </w:tc>
      </w:tr>
      <w:tr>
        <w:tc>
          <w:tcPr/>
          <w:p>
            <w:pPr>
              <w:pStyle w:val="Compact"/>
              <w:jc w:val="left"/>
            </w:pPr>
            <w:r>
              <w:t xml:space="preserve">TB, Non-UK born</w:t>
            </w:r>
          </w:p>
        </w:tc>
        <w:tc>
          <w:tcPr/>
          <w:p>
            <w:pPr>
              <w:pStyle w:val="Compact"/>
              <w:jc w:val="right"/>
            </w:pPr>
            <w:r>
              <w:t xml:space="preserve">mg_pred_equivalent</w:t>
            </w:r>
          </w:p>
        </w:tc>
        <w:tc>
          <w:tcPr/>
          <w:p>
            <w:pPr>
              <w:pStyle w:val="Compact"/>
              <w:jc w:val="right"/>
            </w:pPr>
            <w:r>
              <w:t xml:space="preserve">lead (falsification)</w:t>
            </w:r>
          </w:p>
        </w:tc>
        <w:tc>
          <w:tcPr/>
          <w:p>
            <w:pPr>
              <w:pStyle w:val="Compact"/>
              <w:jc w:val="right"/>
            </w:pPr>
            <w:r>
              <w:t xml:space="preserve">-3</w:t>
            </w:r>
          </w:p>
        </w:tc>
        <w:tc>
          <w:tcPr/>
          <w:p>
            <w:pPr>
              <w:pStyle w:val="Compact"/>
              <w:jc w:val="right"/>
            </w:pPr>
            <w:r>
              <w:t xml:space="preserve">1.29 (1.03–1.60)</w:t>
            </w:r>
          </w:p>
        </w:tc>
        <w:tc>
          <w:tcPr/>
          <w:p>
            <w:pPr>
              <w:pStyle w:val="Compact"/>
              <w:jc w:val="right"/>
            </w:pPr>
            <w:r>
              <w:t xml:space="preserve">0.030</w:t>
            </w:r>
          </w:p>
        </w:tc>
        <w:tc>
          <w:tcPr/>
          <w:p>
            <w:pPr>
              <w:pStyle w:val="Compact"/>
              <w:jc w:val="right"/>
            </w:pPr>
            <w:r>
              <w:t xml:space="preserve">0.040</w:t>
            </w:r>
          </w:p>
        </w:tc>
      </w:tr>
      <w:tr>
        <w:tc>
          <w:tcPr/>
          <w:p>
            <w:pPr>
              <w:pStyle w:val="Compact"/>
              <w:jc w:val="left"/>
            </w:pPr>
            <w:r>
              <w:t xml:space="preserve">TB, Non-UK born</w:t>
            </w:r>
          </w:p>
        </w:tc>
        <w:tc>
          <w:tcPr/>
          <w:p>
            <w:pPr>
              <w:pStyle w:val="Compact"/>
              <w:jc w:val="right"/>
            </w:pPr>
            <w:r>
              <w:t xml:space="preserve">levothyroxine</w:t>
            </w:r>
          </w:p>
        </w:tc>
        <w:tc>
          <w:tcPr/>
          <w:p>
            <w:pPr>
              <w:pStyle w:val="Compact"/>
              <w:jc w:val="right"/>
            </w:pPr>
            <w:r>
              <w:t xml:space="preserve">lagged exposure</w:t>
            </w:r>
          </w:p>
        </w:tc>
        <w:tc>
          <w:tcPr/>
          <w:p>
            <w:pPr>
              <w:pStyle w:val="Compact"/>
              <w:jc w:val="right"/>
            </w:pPr>
            <w:r>
              <w:t xml:space="preserve">1</w:t>
            </w:r>
          </w:p>
        </w:tc>
        <w:tc>
          <w:tcPr/>
          <w:p>
            <w:pPr>
              <w:pStyle w:val="Compact"/>
              <w:jc w:val="right"/>
            </w:pPr>
            <w:r>
              <w:t xml:space="preserve">1.02 (0.90–1.16)</w:t>
            </w:r>
          </w:p>
        </w:tc>
        <w:tc>
          <w:tcPr/>
          <w:p>
            <w:pPr>
              <w:pStyle w:val="Compact"/>
              <w:jc w:val="right"/>
            </w:pPr>
            <w:r>
              <w:t xml:space="preserve">0.695</w:t>
            </w:r>
          </w:p>
        </w:tc>
        <w:tc>
          <w:tcPr/>
          <w:p>
            <w:pPr>
              <w:pStyle w:val="Compact"/>
              <w:jc w:val="right"/>
            </w:pPr>
            <w:r>
              <w:t xml:space="preserve">0.778</w:t>
            </w:r>
          </w:p>
        </w:tc>
      </w:tr>
      <w:tr>
        <w:tc>
          <w:tcPr/>
          <w:p>
            <w:pPr>
              <w:pStyle w:val="Compact"/>
              <w:jc w:val="left"/>
            </w:pPr>
            <w:r>
              <w:t xml:space="preserve">TB, Non-UK born</w:t>
            </w:r>
          </w:p>
        </w:tc>
        <w:tc>
          <w:tcPr/>
          <w:p>
            <w:pPr>
              <w:pStyle w:val="Compact"/>
              <w:jc w:val="right"/>
            </w:pPr>
            <w:r>
              <w:t xml:space="preserve">levothyroxine</w:t>
            </w:r>
          </w:p>
        </w:tc>
        <w:tc>
          <w:tcPr/>
          <w:p>
            <w:pPr>
              <w:pStyle w:val="Compact"/>
              <w:jc w:val="right"/>
            </w:pPr>
            <w:r>
              <w:t xml:space="preserve">lagged exposure</w:t>
            </w:r>
          </w:p>
        </w:tc>
        <w:tc>
          <w:tcPr/>
          <w:p>
            <w:pPr>
              <w:pStyle w:val="Compact"/>
              <w:jc w:val="right"/>
            </w:pPr>
            <w:r>
              <w:t xml:space="preserve">2</w:t>
            </w:r>
          </w:p>
        </w:tc>
        <w:tc>
          <w:tcPr/>
          <w:p>
            <w:pPr>
              <w:pStyle w:val="Compact"/>
              <w:jc w:val="right"/>
            </w:pPr>
            <w:r>
              <w:t xml:space="preserve">1.02 (0.88–1.17)</w:t>
            </w:r>
          </w:p>
        </w:tc>
        <w:tc>
          <w:tcPr/>
          <w:p>
            <w:pPr>
              <w:pStyle w:val="Compact"/>
              <w:jc w:val="right"/>
            </w:pPr>
            <w:r>
              <w:t xml:space="preserve">0.767</w:t>
            </w:r>
          </w:p>
        </w:tc>
        <w:tc>
          <w:tcPr/>
          <w:p>
            <w:pPr>
              <w:pStyle w:val="Compact"/>
              <w:jc w:val="right"/>
            </w:pPr>
            <w:r>
              <w:t xml:space="preserve">0.854</w:t>
            </w:r>
          </w:p>
        </w:tc>
      </w:tr>
      <w:tr>
        <w:tc>
          <w:tcPr/>
          <w:p>
            <w:pPr>
              <w:pStyle w:val="Compact"/>
              <w:jc w:val="left"/>
            </w:pPr>
            <w:r>
              <w:t xml:space="preserve">TB, Non-UK born</w:t>
            </w:r>
          </w:p>
        </w:tc>
        <w:tc>
          <w:tcPr/>
          <w:p>
            <w:pPr>
              <w:pStyle w:val="Compact"/>
              <w:jc w:val="right"/>
            </w:pPr>
            <w:r>
              <w:t xml:space="preserve">levothyroxine</w:t>
            </w:r>
          </w:p>
        </w:tc>
        <w:tc>
          <w:tcPr/>
          <w:p>
            <w:pPr>
              <w:pStyle w:val="Compact"/>
              <w:jc w:val="right"/>
            </w:pPr>
            <w:r>
              <w:t xml:space="preserve">lagged exposure</w:t>
            </w:r>
          </w:p>
        </w:tc>
        <w:tc>
          <w:tcPr/>
          <w:p>
            <w:pPr>
              <w:pStyle w:val="Compact"/>
              <w:jc w:val="right"/>
            </w:pPr>
            <w:r>
              <w:t xml:space="preserve">3</w:t>
            </w:r>
          </w:p>
        </w:tc>
        <w:tc>
          <w:tcPr/>
          <w:p>
            <w:pPr>
              <w:pStyle w:val="Compact"/>
              <w:jc w:val="right"/>
            </w:pPr>
            <w:r>
              <w:t xml:space="preserve">1.01 (0.88–1.17)</w:t>
            </w:r>
          </w:p>
        </w:tc>
        <w:tc>
          <w:tcPr/>
          <w:p>
            <w:pPr>
              <w:pStyle w:val="Compact"/>
              <w:jc w:val="right"/>
            </w:pPr>
            <w:r>
              <w:t xml:space="preserve">0.835</w:t>
            </w:r>
          </w:p>
        </w:tc>
        <w:tc>
          <w:tcPr/>
          <w:p>
            <w:pPr>
              <w:pStyle w:val="Compact"/>
              <w:jc w:val="right"/>
            </w:pPr>
            <w:r>
              <w:t xml:space="preserve">0.866</w:t>
            </w:r>
          </w:p>
        </w:tc>
      </w:tr>
      <w:tr>
        <w:tc>
          <w:tcPr/>
          <w:p>
            <w:pPr>
              <w:pStyle w:val="Compact"/>
              <w:jc w:val="left"/>
            </w:pPr>
            <w:r>
              <w:t xml:space="preserve">TB, Non-UK born</w:t>
            </w:r>
          </w:p>
        </w:tc>
        <w:tc>
          <w:tcPr/>
          <w:p>
            <w:pPr>
              <w:pStyle w:val="Compact"/>
              <w:jc w:val="right"/>
            </w:pPr>
            <w:r>
              <w:t xml:space="preserve">levothyroxine</w:t>
            </w:r>
          </w:p>
        </w:tc>
        <w:tc>
          <w:tcPr/>
          <w:p>
            <w:pPr>
              <w:pStyle w:val="Compact"/>
              <w:jc w:val="right"/>
            </w:pPr>
            <w:r>
              <w:t xml:space="preserve">lagged, excluding 2020-21</w:t>
            </w:r>
          </w:p>
        </w:tc>
        <w:tc>
          <w:tcPr/>
          <w:p>
            <w:pPr>
              <w:pStyle w:val="Compact"/>
              <w:jc w:val="right"/>
            </w:pPr>
            <w:r>
              <w:t xml:space="preserve">1</w:t>
            </w:r>
          </w:p>
        </w:tc>
        <w:tc>
          <w:tcPr/>
          <w:p>
            <w:pPr>
              <w:pStyle w:val="Compact"/>
              <w:jc w:val="right"/>
            </w:pPr>
            <w:r>
              <w:t xml:space="preserve">1.02 (0.90–1.16)</w:t>
            </w:r>
          </w:p>
        </w:tc>
        <w:tc>
          <w:tcPr/>
          <w:p>
            <w:pPr>
              <w:pStyle w:val="Compact"/>
              <w:jc w:val="right"/>
            </w:pPr>
            <w:r>
              <w:t xml:space="preserve">0.682</w:t>
            </w:r>
          </w:p>
        </w:tc>
        <w:tc>
          <w:tcPr/>
          <w:p>
            <w:pPr>
              <w:pStyle w:val="Compact"/>
              <w:jc w:val="right"/>
            </w:pPr>
            <w:r>
              <w:t xml:space="preserve">0.798</w:t>
            </w:r>
          </w:p>
        </w:tc>
      </w:tr>
      <w:tr>
        <w:tc>
          <w:tcPr/>
          <w:p>
            <w:pPr>
              <w:pStyle w:val="Compact"/>
              <w:jc w:val="left"/>
            </w:pPr>
            <w:r>
              <w:t xml:space="preserve">TB, Non-UK born</w:t>
            </w:r>
          </w:p>
        </w:tc>
        <w:tc>
          <w:tcPr/>
          <w:p>
            <w:pPr>
              <w:pStyle w:val="Compact"/>
              <w:jc w:val="right"/>
            </w:pPr>
            <w:r>
              <w:t xml:space="preserve">levothyroxine</w:t>
            </w:r>
          </w:p>
        </w:tc>
        <w:tc>
          <w:tcPr/>
          <w:p>
            <w:pPr>
              <w:pStyle w:val="Compact"/>
              <w:jc w:val="right"/>
            </w:pPr>
            <w:r>
              <w:t xml:space="preserve">lagged, excluding 2020-21</w:t>
            </w:r>
          </w:p>
        </w:tc>
        <w:tc>
          <w:tcPr/>
          <w:p>
            <w:pPr>
              <w:pStyle w:val="Compact"/>
              <w:jc w:val="right"/>
            </w:pPr>
            <w:r>
              <w:t xml:space="preserve">2</w:t>
            </w:r>
          </w:p>
        </w:tc>
        <w:tc>
          <w:tcPr/>
          <w:p>
            <w:pPr>
              <w:pStyle w:val="Compact"/>
              <w:jc w:val="right"/>
            </w:pPr>
            <w:r>
              <w:t xml:space="preserve">1.02 (0.88–1.17)</w:t>
            </w:r>
          </w:p>
        </w:tc>
        <w:tc>
          <w:tcPr/>
          <w:p>
            <w:pPr>
              <w:pStyle w:val="Compact"/>
              <w:jc w:val="right"/>
            </w:pPr>
            <w:r>
              <w:t xml:space="preserve">0.771</w:t>
            </w:r>
          </w:p>
        </w:tc>
        <w:tc>
          <w:tcPr/>
          <w:p>
            <w:pPr>
              <w:pStyle w:val="Compact"/>
              <w:jc w:val="right"/>
            </w:pPr>
            <w:r>
              <w:t xml:space="preserve">0.844</w:t>
            </w:r>
          </w:p>
        </w:tc>
      </w:tr>
      <w:tr>
        <w:tc>
          <w:tcPr/>
          <w:p>
            <w:pPr>
              <w:pStyle w:val="Compact"/>
              <w:jc w:val="left"/>
            </w:pPr>
            <w:r>
              <w:t xml:space="preserve">TB, Non-UK born</w:t>
            </w:r>
          </w:p>
        </w:tc>
        <w:tc>
          <w:tcPr/>
          <w:p>
            <w:pPr>
              <w:pStyle w:val="Compact"/>
              <w:jc w:val="right"/>
            </w:pPr>
            <w:r>
              <w:t xml:space="preserve">levothyroxine</w:t>
            </w:r>
          </w:p>
        </w:tc>
        <w:tc>
          <w:tcPr/>
          <w:p>
            <w:pPr>
              <w:pStyle w:val="Compact"/>
              <w:jc w:val="right"/>
            </w:pPr>
            <w:r>
              <w:t xml:space="preserve">lagged, excluding 2020-21</w:t>
            </w:r>
          </w:p>
        </w:tc>
        <w:tc>
          <w:tcPr/>
          <w:p>
            <w:pPr>
              <w:pStyle w:val="Compact"/>
              <w:jc w:val="right"/>
            </w:pPr>
            <w:r>
              <w:t xml:space="preserve">3</w:t>
            </w:r>
          </w:p>
        </w:tc>
        <w:tc>
          <w:tcPr/>
          <w:p>
            <w:pPr>
              <w:pStyle w:val="Compact"/>
              <w:jc w:val="right"/>
            </w:pPr>
            <w:r>
              <w:t xml:space="preserve">1.01 (0.88–1.17)</w:t>
            </w:r>
          </w:p>
        </w:tc>
        <w:tc>
          <w:tcPr/>
          <w:p>
            <w:pPr>
              <w:pStyle w:val="Compact"/>
              <w:jc w:val="right"/>
            </w:pPr>
            <w:r>
              <w:t xml:space="preserve">0.835</w:t>
            </w:r>
          </w:p>
        </w:tc>
        <w:tc>
          <w:tcPr/>
          <w:p>
            <w:pPr>
              <w:pStyle w:val="Compact"/>
              <w:jc w:val="right"/>
            </w:pPr>
            <w:r>
              <w:t xml:space="preserve">0.860</w:t>
            </w:r>
          </w:p>
        </w:tc>
      </w:tr>
      <w:tr>
        <w:tc>
          <w:tcPr/>
          <w:p>
            <w:pPr>
              <w:pStyle w:val="Compact"/>
              <w:jc w:val="left"/>
            </w:pPr>
            <w:r>
              <w:t xml:space="preserve">TB, Non-UK born</w:t>
            </w:r>
          </w:p>
        </w:tc>
        <w:tc>
          <w:tcPr/>
          <w:p>
            <w:pPr>
              <w:pStyle w:val="Compact"/>
              <w:jc w:val="right"/>
            </w:pPr>
            <w:r>
              <w:t xml:space="preserve">levothyroxine</w:t>
            </w:r>
          </w:p>
        </w:tc>
        <w:tc>
          <w:tcPr/>
          <w:p>
            <w:pPr>
              <w:pStyle w:val="Compact"/>
              <w:jc w:val="right"/>
            </w:pPr>
            <w:r>
              <w:t xml:space="preserve">lead (falsification)</w:t>
            </w:r>
          </w:p>
        </w:tc>
        <w:tc>
          <w:tcPr/>
          <w:p>
            <w:pPr>
              <w:pStyle w:val="Compact"/>
              <w:jc w:val="right"/>
            </w:pPr>
            <w:r>
              <w:t xml:space="preserve">-1</w:t>
            </w:r>
          </w:p>
        </w:tc>
        <w:tc>
          <w:tcPr/>
          <w:p>
            <w:pPr>
              <w:pStyle w:val="Compact"/>
              <w:jc w:val="right"/>
            </w:pPr>
            <w:r>
              <w:t xml:space="preserve">1.00 (0.86–1.15)</w:t>
            </w:r>
          </w:p>
        </w:tc>
        <w:tc>
          <w:tcPr/>
          <w:p>
            <w:pPr>
              <w:pStyle w:val="Compact"/>
              <w:jc w:val="right"/>
            </w:pPr>
            <w:r>
              <w:t xml:space="preserve">0.947</w:t>
            </w:r>
          </w:p>
        </w:tc>
        <w:tc>
          <w:tcPr/>
          <w:p>
            <w:pPr>
              <w:pStyle w:val="Compact"/>
              <w:jc w:val="right"/>
            </w:pPr>
            <w:r>
              <w:t xml:space="preserve">0.964</w:t>
            </w:r>
          </w:p>
        </w:tc>
      </w:tr>
      <w:tr>
        <w:tc>
          <w:tcPr/>
          <w:p>
            <w:pPr>
              <w:pStyle w:val="Compact"/>
              <w:jc w:val="left"/>
            </w:pPr>
            <w:r>
              <w:t xml:space="preserve">TB, Non-UK born</w:t>
            </w:r>
          </w:p>
        </w:tc>
        <w:tc>
          <w:tcPr/>
          <w:p>
            <w:pPr>
              <w:pStyle w:val="Compact"/>
              <w:jc w:val="right"/>
            </w:pPr>
            <w:r>
              <w:t xml:space="preserve">levothyroxine</w:t>
            </w:r>
          </w:p>
        </w:tc>
        <w:tc>
          <w:tcPr/>
          <w:p>
            <w:pPr>
              <w:pStyle w:val="Compact"/>
              <w:jc w:val="right"/>
            </w:pPr>
            <w:r>
              <w:t xml:space="preserve">lead (falsification)</w:t>
            </w:r>
          </w:p>
        </w:tc>
        <w:tc>
          <w:tcPr/>
          <w:p>
            <w:pPr>
              <w:pStyle w:val="Compact"/>
              <w:jc w:val="right"/>
            </w:pPr>
            <w:r>
              <w:t xml:space="preserve">-2</w:t>
            </w:r>
          </w:p>
        </w:tc>
        <w:tc>
          <w:tcPr/>
          <w:p>
            <w:pPr>
              <w:pStyle w:val="Compact"/>
              <w:jc w:val="right"/>
            </w:pPr>
            <w:r>
              <w:t xml:space="preserve">1.01 (0.88–1.16)</w:t>
            </w:r>
          </w:p>
        </w:tc>
        <w:tc>
          <w:tcPr/>
          <w:p>
            <w:pPr>
              <w:pStyle w:val="Compact"/>
              <w:jc w:val="right"/>
            </w:pPr>
            <w:r>
              <w:t xml:space="preserve">0.839</w:t>
            </w:r>
          </w:p>
        </w:tc>
        <w:tc>
          <w:tcPr/>
          <w:p>
            <w:pPr>
              <w:pStyle w:val="Compact"/>
              <w:jc w:val="right"/>
            </w:pPr>
            <w:r>
              <w:t xml:space="preserve">0.878</w:t>
            </w:r>
          </w:p>
        </w:tc>
      </w:tr>
      <w:tr>
        <w:tc>
          <w:tcPr/>
          <w:p>
            <w:pPr>
              <w:pStyle w:val="Compact"/>
              <w:jc w:val="left"/>
            </w:pPr>
            <w:r>
              <w:t xml:space="preserve">TB, Non-UK born</w:t>
            </w:r>
          </w:p>
        </w:tc>
        <w:tc>
          <w:tcPr/>
          <w:p>
            <w:pPr>
              <w:pStyle w:val="Compact"/>
              <w:jc w:val="right"/>
            </w:pPr>
            <w:r>
              <w:t xml:space="preserve">levothyroxine</w:t>
            </w:r>
          </w:p>
        </w:tc>
        <w:tc>
          <w:tcPr/>
          <w:p>
            <w:pPr>
              <w:pStyle w:val="Compact"/>
              <w:jc w:val="right"/>
            </w:pPr>
            <w:r>
              <w:t xml:space="preserve">lead (falsification)</w:t>
            </w:r>
          </w:p>
        </w:tc>
        <w:tc>
          <w:tcPr/>
          <w:p>
            <w:pPr>
              <w:pStyle w:val="Compact"/>
              <w:jc w:val="right"/>
            </w:pPr>
            <w:r>
              <w:t xml:space="preserve">-3</w:t>
            </w:r>
          </w:p>
        </w:tc>
        <w:tc>
          <w:tcPr/>
          <w:p>
            <w:pPr>
              <w:pStyle w:val="Compact"/>
              <w:jc w:val="right"/>
            </w:pPr>
            <w:r>
              <w:t xml:space="preserve">1.10 (0.91–1.31)</w:t>
            </w:r>
          </w:p>
        </w:tc>
        <w:tc>
          <w:tcPr/>
          <w:p>
            <w:pPr>
              <w:pStyle w:val="Compact"/>
              <w:jc w:val="right"/>
            </w:pPr>
            <w:r>
              <w:t xml:space="preserve">0.279</w:t>
            </w:r>
          </w:p>
        </w:tc>
        <w:tc>
          <w:tcPr/>
          <w:p>
            <w:pPr>
              <w:pStyle w:val="Compact"/>
              <w:jc w:val="right"/>
            </w:pPr>
            <w:r>
              <w:t xml:space="preserve">0.476</w:t>
            </w:r>
          </w:p>
        </w:tc>
      </w:tr>
      <w:tr>
        <w:tc>
          <w:tcPr/>
          <w:p>
            <w:pPr>
              <w:pStyle w:val="Compact"/>
              <w:jc w:val="left"/>
            </w:pPr>
            <w:r>
              <w:t xml:space="preserve">TB, UK born aged 65+</w:t>
            </w:r>
          </w:p>
        </w:tc>
        <w:tc>
          <w:tcPr/>
          <w:p>
            <w:pPr>
              <w:pStyle w:val="Compact"/>
              <w:jc w:val="right"/>
            </w:pPr>
            <w:r>
              <w:t xml:space="preserve">oral_glucocorticoids</w:t>
            </w:r>
          </w:p>
        </w:tc>
        <w:tc>
          <w:tcPr/>
          <w:p>
            <w:pPr>
              <w:pStyle w:val="Compact"/>
              <w:jc w:val="right"/>
            </w:pPr>
            <w:r>
              <w:t xml:space="preserve">lagged exposure</w:t>
            </w:r>
          </w:p>
        </w:tc>
        <w:tc>
          <w:tcPr/>
          <w:p>
            <w:pPr>
              <w:pStyle w:val="Compact"/>
              <w:jc w:val="right"/>
            </w:pPr>
            <w:r>
              <w:t xml:space="preserve">1</w:t>
            </w:r>
          </w:p>
        </w:tc>
        <w:tc>
          <w:tcPr/>
          <w:p>
            <w:pPr>
              <w:pStyle w:val="Compact"/>
              <w:jc w:val="right"/>
            </w:pPr>
            <w:r>
              <w:t xml:space="preserve">1.05 (0.75–1.46)</w:t>
            </w:r>
          </w:p>
        </w:tc>
        <w:tc>
          <w:tcPr/>
          <w:p>
            <w:pPr>
              <w:pStyle w:val="Compact"/>
              <w:jc w:val="right"/>
            </w:pPr>
            <w:r>
              <w:t xml:space="preserve">0.750</w:t>
            </w:r>
          </w:p>
        </w:tc>
        <w:tc>
          <w:tcPr/>
          <w:p>
            <w:pPr>
              <w:pStyle w:val="Compact"/>
              <w:jc w:val="right"/>
            </w:pPr>
            <w:r>
              <w:t xml:space="preserve">0.790</w:t>
            </w:r>
          </w:p>
        </w:tc>
      </w:tr>
      <w:tr>
        <w:tc>
          <w:tcPr/>
          <w:p>
            <w:pPr>
              <w:pStyle w:val="Compact"/>
              <w:jc w:val="left"/>
            </w:pPr>
            <w:r>
              <w:t xml:space="preserve">TB, UK born aged 65+</w:t>
            </w:r>
          </w:p>
        </w:tc>
        <w:tc>
          <w:tcPr/>
          <w:p>
            <w:pPr>
              <w:pStyle w:val="Compact"/>
              <w:jc w:val="right"/>
            </w:pPr>
            <w:r>
              <w:t xml:space="preserve">oral_glucocorticoids</w:t>
            </w:r>
          </w:p>
        </w:tc>
        <w:tc>
          <w:tcPr/>
          <w:p>
            <w:pPr>
              <w:pStyle w:val="Compact"/>
              <w:jc w:val="right"/>
            </w:pPr>
            <w:r>
              <w:t xml:space="preserve">lagged exposure</w:t>
            </w:r>
          </w:p>
        </w:tc>
        <w:tc>
          <w:tcPr/>
          <w:p>
            <w:pPr>
              <w:pStyle w:val="Compact"/>
              <w:jc w:val="right"/>
            </w:pPr>
            <w:r>
              <w:t xml:space="preserve">2</w:t>
            </w:r>
          </w:p>
        </w:tc>
        <w:tc>
          <w:tcPr/>
          <w:p>
            <w:pPr>
              <w:pStyle w:val="Compact"/>
              <w:jc w:val="right"/>
            </w:pPr>
            <w:r>
              <w:t xml:space="preserve">1.06 (0.75–1.50)</w:t>
            </w:r>
          </w:p>
        </w:tc>
        <w:tc>
          <w:tcPr/>
          <w:p>
            <w:pPr>
              <w:pStyle w:val="Compact"/>
              <w:jc w:val="right"/>
            </w:pPr>
            <w:r>
              <w:t xml:space="preserve">0.714</w:t>
            </w:r>
          </w:p>
        </w:tc>
        <w:tc>
          <w:tcPr/>
          <w:p>
            <w:pPr>
              <w:pStyle w:val="Compact"/>
              <w:jc w:val="right"/>
            </w:pPr>
            <w:r>
              <w:t xml:space="preserve">0.712</w:t>
            </w:r>
          </w:p>
        </w:tc>
      </w:tr>
      <w:tr>
        <w:tc>
          <w:tcPr/>
          <w:p>
            <w:pPr>
              <w:pStyle w:val="Compact"/>
              <w:jc w:val="left"/>
            </w:pPr>
            <w:r>
              <w:t xml:space="preserve">TB, UK born aged 65+</w:t>
            </w:r>
          </w:p>
        </w:tc>
        <w:tc>
          <w:tcPr/>
          <w:p>
            <w:pPr>
              <w:pStyle w:val="Compact"/>
              <w:jc w:val="right"/>
            </w:pPr>
            <w:r>
              <w:t xml:space="preserve">oral_glucocorticoids</w:t>
            </w:r>
          </w:p>
        </w:tc>
        <w:tc>
          <w:tcPr/>
          <w:p>
            <w:pPr>
              <w:pStyle w:val="Compact"/>
              <w:jc w:val="right"/>
            </w:pPr>
            <w:r>
              <w:t xml:space="preserve">lagged exposure</w:t>
            </w:r>
          </w:p>
        </w:tc>
        <w:tc>
          <w:tcPr/>
          <w:p>
            <w:pPr>
              <w:pStyle w:val="Compact"/>
              <w:jc w:val="right"/>
            </w:pPr>
            <w:r>
              <w:t xml:space="preserve">3</w:t>
            </w:r>
          </w:p>
        </w:tc>
        <w:tc>
          <w:tcPr/>
          <w:p>
            <w:pPr>
              <w:pStyle w:val="Compact"/>
              <w:jc w:val="right"/>
            </w:pPr>
            <w:r>
              <w:t xml:space="preserve">0.85 (0.48–1.51)</w:t>
            </w:r>
          </w:p>
        </w:tc>
        <w:tc>
          <w:tcPr/>
          <w:p>
            <w:pPr>
              <w:pStyle w:val="Compact"/>
              <w:jc w:val="right"/>
            </w:pPr>
            <w:r>
              <w:t xml:space="preserve">0.539</w:t>
            </w:r>
          </w:p>
        </w:tc>
        <w:tc>
          <w:tcPr/>
          <w:p>
            <w:pPr>
              <w:pStyle w:val="Compact"/>
              <w:jc w:val="right"/>
            </w:pPr>
            <w:r>
              <w:t xml:space="preserve">0.578</w:t>
            </w:r>
          </w:p>
        </w:tc>
      </w:tr>
      <w:tr>
        <w:tc>
          <w:tcPr/>
          <w:p>
            <w:pPr>
              <w:pStyle w:val="Compact"/>
              <w:jc w:val="left"/>
            </w:pPr>
            <w:r>
              <w:t xml:space="preserve">TB, UK born aged 65+</w:t>
            </w:r>
          </w:p>
        </w:tc>
        <w:tc>
          <w:tcPr/>
          <w:p>
            <w:pPr>
              <w:pStyle w:val="Compact"/>
              <w:jc w:val="right"/>
            </w:pPr>
            <w:r>
              <w:t xml:space="preserve">oral_glucocorticoids</w:t>
            </w:r>
          </w:p>
        </w:tc>
        <w:tc>
          <w:tcPr/>
          <w:p>
            <w:pPr>
              <w:pStyle w:val="Compact"/>
              <w:jc w:val="right"/>
            </w:pPr>
            <w:r>
              <w:t xml:space="preserve">lagged, excluding 2020-21</w:t>
            </w:r>
          </w:p>
        </w:tc>
        <w:tc>
          <w:tcPr/>
          <w:p>
            <w:pPr>
              <w:pStyle w:val="Compact"/>
              <w:jc w:val="right"/>
            </w:pPr>
            <w:r>
              <w:t xml:space="preserve">1</w:t>
            </w:r>
          </w:p>
        </w:tc>
        <w:tc>
          <w:tcPr/>
          <w:p>
            <w:pPr>
              <w:pStyle w:val="Compact"/>
              <w:jc w:val="right"/>
            </w:pPr>
            <w:r>
              <w:t xml:space="preserve">1.09 (0.80–1.49)</w:t>
            </w:r>
          </w:p>
        </w:tc>
        <w:tc>
          <w:tcPr/>
          <w:p>
            <w:pPr>
              <w:pStyle w:val="Compact"/>
              <w:jc w:val="right"/>
            </w:pPr>
            <w:r>
              <w:t xml:space="preserve">0.524</w:t>
            </w:r>
          </w:p>
        </w:tc>
        <w:tc>
          <w:tcPr/>
          <w:p>
            <w:pPr>
              <w:pStyle w:val="Compact"/>
              <w:jc w:val="right"/>
            </w:pPr>
            <w:r>
              <w:t xml:space="preserve">0.592</w:t>
            </w:r>
          </w:p>
        </w:tc>
      </w:tr>
      <w:tr>
        <w:tc>
          <w:tcPr/>
          <w:p>
            <w:pPr>
              <w:pStyle w:val="Compact"/>
              <w:jc w:val="left"/>
            </w:pPr>
            <w:r>
              <w:t xml:space="preserve">TB, UK born aged 65+</w:t>
            </w:r>
          </w:p>
        </w:tc>
        <w:tc>
          <w:tcPr/>
          <w:p>
            <w:pPr>
              <w:pStyle w:val="Compact"/>
              <w:jc w:val="right"/>
            </w:pPr>
            <w:r>
              <w:t xml:space="preserve">oral_glucocorticoids</w:t>
            </w:r>
          </w:p>
        </w:tc>
        <w:tc>
          <w:tcPr/>
          <w:p>
            <w:pPr>
              <w:pStyle w:val="Compact"/>
              <w:jc w:val="right"/>
            </w:pPr>
            <w:r>
              <w:t xml:space="preserve">lagged, excluding 2020-21</w:t>
            </w:r>
          </w:p>
        </w:tc>
        <w:tc>
          <w:tcPr/>
          <w:p>
            <w:pPr>
              <w:pStyle w:val="Compact"/>
              <w:jc w:val="right"/>
            </w:pPr>
            <w:r>
              <w:t xml:space="preserve">2</w:t>
            </w:r>
          </w:p>
        </w:tc>
        <w:tc>
          <w:tcPr/>
          <w:p>
            <w:pPr>
              <w:pStyle w:val="Compact"/>
              <w:jc w:val="right"/>
            </w:pPr>
            <w:r>
              <w:t xml:space="preserve">1.10 (0.79–1.53)</w:t>
            </w:r>
          </w:p>
        </w:tc>
        <w:tc>
          <w:tcPr/>
          <w:p>
            <w:pPr>
              <w:pStyle w:val="Compact"/>
              <w:jc w:val="right"/>
            </w:pPr>
            <w:r>
              <w:t xml:space="preserve">0.512</w:t>
            </w:r>
          </w:p>
        </w:tc>
        <w:tc>
          <w:tcPr/>
          <w:p>
            <w:pPr>
              <w:pStyle w:val="Compact"/>
              <w:jc w:val="right"/>
            </w:pPr>
            <w:r>
              <w:t xml:space="preserve">0.472</w:t>
            </w:r>
          </w:p>
        </w:tc>
      </w:tr>
      <w:tr>
        <w:tc>
          <w:tcPr/>
          <w:p>
            <w:pPr>
              <w:pStyle w:val="Compact"/>
              <w:jc w:val="left"/>
            </w:pPr>
            <w:r>
              <w:t xml:space="preserve">TB, UK born aged 65+</w:t>
            </w:r>
          </w:p>
        </w:tc>
        <w:tc>
          <w:tcPr/>
          <w:p>
            <w:pPr>
              <w:pStyle w:val="Compact"/>
              <w:jc w:val="right"/>
            </w:pPr>
            <w:r>
              <w:t xml:space="preserve">oral_glucocorticoids</w:t>
            </w:r>
          </w:p>
        </w:tc>
        <w:tc>
          <w:tcPr/>
          <w:p>
            <w:pPr>
              <w:pStyle w:val="Compact"/>
              <w:jc w:val="right"/>
            </w:pPr>
            <w:r>
              <w:t xml:space="preserve">lagged, excluding 2020-21</w:t>
            </w:r>
          </w:p>
        </w:tc>
        <w:tc>
          <w:tcPr/>
          <w:p>
            <w:pPr>
              <w:pStyle w:val="Compact"/>
              <w:jc w:val="right"/>
            </w:pPr>
            <w:r>
              <w:t xml:space="preserve">3</w:t>
            </w:r>
          </w:p>
        </w:tc>
        <w:tc>
          <w:tcPr/>
          <w:p>
            <w:pPr>
              <w:pStyle w:val="Compact"/>
              <w:jc w:val="right"/>
            </w:pPr>
            <w:r>
              <w:t xml:space="preserve">0.88 (0.53–1.45)</w:t>
            </w:r>
          </w:p>
        </w:tc>
        <w:tc>
          <w:tcPr/>
          <w:p>
            <w:pPr>
              <w:pStyle w:val="Compact"/>
              <w:jc w:val="right"/>
            </w:pPr>
            <w:r>
              <w:t xml:space="preserve">0.572</w:t>
            </w:r>
          </w:p>
        </w:tc>
        <w:tc>
          <w:tcPr/>
          <w:p>
            <w:pPr>
              <w:pStyle w:val="Compact"/>
              <w:jc w:val="right"/>
            </w:pPr>
            <w:r>
              <w:t xml:space="preserve">0.572</w:t>
            </w:r>
          </w:p>
        </w:tc>
      </w:tr>
      <w:tr>
        <w:tc>
          <w:tcPr/>
          <w:p>
            <w:pPr>
              <w:pStyle w:val="Compact"/>
              <w:jc w:val="left"/>
            </w:pPr>
            <w:r>
              <w:t xml:space="preserve">TB, UK born aged 65+</w:t>
            </w:r>
          </w:p>
        </w:tc>
        <w:tc>
          <w:tcPr/>
          <w:p>
            <w:pPr>
              <w:pStyle w:val="Compact"/>
              <w:jc w:val="right"/>
            </w:pPr>
            <w:r>
              <w:t xml:space="preserve">oral_glucocorticoids</w:t>
            </w:r>
          </w:p>
        </w:tc>
        <w:tc>
          <w:tcPr/>
          <w:p>
            <w:pPr>
              <w:pStyle w:val="Compact"/>
              <w:jc w:val="right"/>
            </w:pPr>
            <w:r>
              <w:t xml:space="preserve">lead (falsification)</w:t>
            </w:r>
          </w:p>
        </w:tc>
        <w:tc>
          <w:tcPr/>
          <w:p>
            <w:pPr>
              <w:pStyle w:val="Compact"/>
              <w:jc w:val="right"/>
            </w:pPr>
            <w:r>
              <w:t xml:space="preserve">-1</w:t>
            </w:r>
          </w:p>
        </w:tc>
        <w:tc>
          <w:tcPr/>
          <w:p>
            <w:pPr>
              <w:pStyle w:val="Compact"/>
              <w:jc w:val="right"/>
            </w:pPr>
            <w:r>
              <w:t xml:space="preserve">1.27 (0.88–1.85)</w:t>
            </w:r>
          </w:p>
        </w:tc>
        <w:tc>
          <w:tcPr/>
          <w:p>
            <w:pPr>
              <w:pStyle w:val="Compact"/>
              <w:jc w:val="right"/>
            </w:pPr>
            <w:r>
              <w:t xml:space="preserve">0.173</w:t>
            </w:r>
          </w:p>
        </w:tc>
        <w:tc>
          <w:tcPr/>
          <w:p>
            <w:pPr>
              <w:pStyle w:val="Compact"/>
              <w:jc w:val="right"/>
            </w:pPr>
            <w:r>
              <w:t xml:space="preserve">0.198</w:t>
            </w:r>
          </w:p>
        </w:tc>
      </w:tr>
      <w:tr>
        <w:tc>
          <w:tcPr/>
          <w:p>
            <w:pPr>
              <w:pStyle w:val="Compact"/>
              <w:jc w:val="left"/>
            </w:pPr>
            <w:r>
              <w:t xml:space="preserve">TB, UK born aged 65+</w:t>
            </w:r>
          </w:p>
        </w:tc>
        <w:tc>
          <w:tcPr/>
          <w:p>
            <w:pPr>
              <w:pStyle w:val="Compact"/>
              <w:jc w:val="right"/>
            </w:pPr>
            <w:r>
              <w:t xml:space="preserve">oral_glucocorticoids</w:t>
            </w:r>
          </w:p>
        </w:tc>
        <w:tc>
          <w:tcPr/>
          <w:p>
            <w:pPr>
              <w:pStyle w:val="Compact"/>
              <w:jc w:val="right"/>
            </w:pPr>
            <w:r>
              <w:t xml:space="preserve">lead (falsification)</w:t>
            </w:r>
          </w:p>
        </w:tc>
        <w:tc>
          <w:tcPr/>
          <w:p>
            <w:pPr>
              <w:pStyle w:val="Compact"/>
              <w:jc w:val="right"/>
            </w:pPr>
            <w:r>
              <w:t xml:space="preserve">-2</w:t>
            </w:r>
          </w:p>
        </w:tc>
        <w:tc>
          <w:tcPr/>
          <w:p>
            <w:pPr>
              <w:pStyle w:val="Compact"/>
              <w:jc w:val="right"/>
            </w:pPr>
            <w:r>
              <w:t xml:space="preserve">1.68 (1.04–2.70)</w:t>
            </w:r>
          </w:p>
        </w:tc>
        <w:tc>
          <w:tcPr/>
          <w:p>
            <w:pPr>
              <w:pStyle w:val="Compact"/>
              <w:jc w:val="right"/>
            </w:pPr>
            <w:r>
              <w:t xml:space="preserve">0.036</w:t>
            </w:r>
          </w:p>
        </w:tc>
        <w:tc>
          <w:tcPr/>
          <w:p>
            <w:pPr>
              <w:pStyle w:val="Compact"/>
              <w:jc w:val="right"/>
            </w:pPr>
            <w:r>
              <w:t xml:space="preserve">0.044</w:t>
            </w:r>
          </w:p>
        </w:tc>
      </w:tr>
      <w:tr>
        <w:tc>
          <w:tcPr/>
          <w:p>
            <w:pPr>
              <w:pStyle w:val="Compact"/>
              <w:jc w:val="left"/>
            </w:pPr>
            <w:r>
              <w:t xml:space="preserve">TB, UK born aged 65+</w:t>
            </w:r>
          </w:p>
        </w:tc>
        <w:tc>
          <w:tcPr/>
          <w:p>
            <w:pPr>
              <w:pStyle w:val="Compact"/>
              <w:jc w:val="right"/>
            </w:pPr>
            <w:r>
              <w:t xml:space="preserve">oral_glucocorticoids</w:t>
            </w:r>
          </w:p>
        </w:tc>
        <w:tc>
          <w:tcPr/>
          <w:p>
            <w:pPr>
              <w:pStyle w:val="Compact"/>
              <w:jc w:val="right"/>
            </w:pPr>
            <w:r>
              <w:t xml:space="preserve">lead (falsification)</w:t>
            </w:r>
          </w:p>
        </w:tc>
        <w:tc>
          <w:tcPr/>
          <w:p>
            <w:pPr>
              <w:pStyle w:val="Compact"/>
              <w:jc w:val="right"/>
            </w:pPr>
            <w:r>
              <w:t xml:space="preserve">-3</w:t>
            </w:r>
          </w:p>
        </w:tc>
        <w:tc>
          <w:tcPr/>
          <w:p>
            <w:pPr>
              <w:pStyle w:val="Compact"/>
              <w:jc w:val="right"/>
            </w:pPr>
            <w:r>
              <w:t xml:space="preserve">1.53 (0.93–2.54)</w:t>
            </w:r>
          </w:p>
        </w:tc>
        <w:tc>
          <w:tcPr/>
          <w:p>
            <w:pPr>
              <w:pStyle w:val="Compact"/>
              <w:jc w:val="right"/>
            </w:pPr>
            <w:r>
              <w:t xml:space="preserve">0.086</w:t>
            </w:r>
          </w:p>
        </w:tc>
        <w:tc>
          <w:tcPr/>
          <w:p>
            <w:pPr>
              <w:pStyle w:val="Compact"/>
              <w:jc w:val="right"/>
            </w:pPr>
            <w:r>
              <w:t xml:space="preserve">0.108</w:t>
            </w:r>
          </w:p>
        </w:tc>
      </w:tr>
      <w:tr>
        <w:tc>
          <w:tcPr/>
          <w:p>
            <w:pPr>
              <w:pStyle w:val="Compact"/>
              <w:jc w:val="left"/>
            </w:pPr>
            <w:r>
              <w:t xml:space="preserve">TB, UK born aged 65+</w:t>
            </w:r>
          </w:p>
        </w:tc>
        <w:tc>
          <w:tcPr/>
          <w:p>
            <w:pPr>
              <w:pStyle w:val="Compact"/>
              <w:jc w:val="right"/>
            </w:pPr>
            <w:r>
              <w:t xml:space="preserve">mg_pred_equivalent</w:t>
            </w:r>
          </w:p>
        </w:tc>
        <w:tc>
          <w:tcPr/>
          <w:p>
            <w:pPr>
              <w:pStyle w:val="Compact"/>
              <w:jc w:val="right"/>
            </w:pPr>
            <w:r>
              <w:t xml:space="preserve">lagged exposure</w:t>
            </w:r>
          </w:p>
        </w:tc>
        <w:tc>
          <w:tcPr/>
          <w:p>
            <w:pPr>
              <w:pStyle w:val="Compact"/>
              <w:jc w:val="right"/>
            </w:pPr>
            <w:r>
              <w:t xml:space="preserve">1</w:t>
            </w:r>
          </w:p>
        </w:tc>
        <w:tc>
          <w:tcPr/>
          <w:p>
            <w:pPr>
              <w:pStyle w:val="Compact"/>
              <w:jc w:val="right"/>
            </w:pPr>
            <w:r>
              <w:t xml:space="preserve">1.06 (0.76–1.48)</w:t>
            </w:r>
          </w:p>
        </w:tc>
        <w:tc>
          <w:tcPr/>
          <w:p>
            <w:pPr>
              <w:pStyle w:val="Compact"/>
              <w:jc w:val="right"/>
            </w:pPr>
            <w:r>
              <w:t xml:space="preserve">0.679</w:t>
            </w:r>
          </w:p>
        </w:tc>
        <w:tc>
          <w:tcPr/>
          <w:p>
            <w:pPr>
              <w:pStyle w:val="Compact"/>
              <w:jc w:val="right"/>
            </w:pPr>
            <w:r>
              <w:t xml:space="preserve">0.712</w:t>
            </w:r>
          </w:p>
        </w:tc>
      </w:tr>
      <w:tr>
        <w:tc>
          <w:tcPr/>
          <w:p>
            <w:pPr>
              <w:pStyle w:val="Compact"/>
              <w:jc w:val="left"/>
            </w:pPr>
            <w:r>
              <w:t xml:space="preserve">TB, UK born aged 65+</w:t>
            </w:r>
          </w:p>
        </w:tc>
        <w:tc>
          <w:tcPr/>
          <w:p>
            <w:pPr>
              <w:pStyle w:val="Compact"/>
              <w:jc w:val="right"/>
            </w:pPr>
            <w:r>
              <w:t xml:space="preserve">mg_pred_equivalent</w:t>
            </w:r>
          </w:p>
        </w:tc>
        <w:tc>
          <w:tcPr/>
          <w:p>
            <w:pPr>
              <w:pStyle w:val="Compact"/>
              <w:jc w:val="right"/>
            </w:pPr>
            <w:r>
              <w:t xml:space="preserve">lagged exposure</w:t>
            </w:r>
          </w:p>
        </w:tc>
        <w:tc>
          <w:tcPr/>
          <w:p>
            <w:pPr>
              <w:pStyle w:val="Compact"/>
              <w:jc w:val="right"/>
            </w:pPr>
            <w:r>
              <w:t xml:space="preserve">2</w:t>
            </w:r>
          </w:p>
        </w:tc>
        <w:tc>
          <w:tcPr/>
          <w:p>
            <w:pPr>
              <w:pStyle w:val="Compact"/>
              <w:jc w:val="right"/>
            </w:pPr>
            <w:r>
              <w:t xml:space="preserve">1.13 (0.83–1.54)</w:t>
            </w:r>
          </w:p>
        </w:tc>
        <w:tc>
          <w:tcPr/>
          <w:p>
            <w:pPr>
              <w:pStyle w:val="Compact"/>
              <w:jc w:val="right"/>
            </w:pPr>
            <w:r>
              <w:t xml:space="preserve">0.388</w:t>
            </w:r>
          </w:p>
        </w:tc>
        <w:tc>
          <w:tcPr/>
          <w:p>
            <w:pPr>
              <w:pStyle w:val="Compact"/>
              <w:jc w:val="right"/>
            </w:pPr>
            <w:r>
              <w:t xml:space="preserve">0.478</w:t>
            </w:r>
          </w:p>
        </w:tc>
      </w:tr>
      <w:tr>
        <w:tc>
          <w:tcPr/>
          <w:p>
            <w:pPr>
              <w:pStyle w:val="Compact"/>
              <w:jc w:val="left"/>
            </w:pPr>
            <w:r>
              <w:t xml:space="preserve">TB, UK born aged 65+</w:t>
            </w:r>
          </w:p>
        </w:tc>
        <w:tc>
          <w:tcPr/>
          <w:p>
            <w:pPr>
              <w:pStyle w:val="Compact"/>
              <w:jc w:val="right"/>
            </w:pPr>
            <w:r>
              <w:t xml:space="preserve">mg_pred_equivalent</w:t>
            </w:r>
          </w:p>
        </w:tc>
        <w:tc>
          <w:tcPr/>
          <w:p>
            <w:pPr>
              <w:pStyle w:val="Compact"/>
              <w:jc w:val="right"/>
            </w:pPr>
            <w:r>
              <w:t xml:space="preserve">lagged exposure</w:t>
            </w:r>
          </w:p>
        </w:tc>
        <w:tc>
          <w:tcPr/>
          <w:p>
            <w:pPr>
              <w:pStyle w:val="Compact"/>
              <w:jc w:val="right"/>
            </w:pPr>
            <w:r>
              <w:t xml:space="preserve">3</w:t>
            </w:r>
          </w:p>
        </w:tc>
        <w:tc>
          <w:tcPr/>
          <w:p>
            <w:pPr>
              <w:pStyle w:val="Compact"/>
              <w:jc w:val="right"/>
            </w:pPr>
            <w:r>
              <w:t xml:space="preserve">0.94 (0.56–1.58)</w:t>
            </w:r>
          </w:p>
        </w:tc>
        <w:tc>
          <w:tcPr/>
          <w:p>
            <w:pPr>
              <w:pStyle w:val="Compact"/>
              <w:jc w:val="right"/>
            </w:pPr>
            <w:r>
              <w:t xml:space="preserve">0.803</w:t>
            </w:r>
          </w:p>
        </w:tc>
        <w:tc>
          <w:tcPr/>
          <w:p>
            <w:pPr>
              <w:pStyle w:val="Compact"/>
              <w:jc w:val="right"/>
            </w:pPr>
            <w:r>
              <w:t xml:space="preserve">0.844</w:t>
            </w:r>
          </w:p>
        </w:tc>
      </w:tr>
      <w:tr>
        <w:tc>
          <w:tcPr/>
          <w:p>
            <w:pPr>
              <w:pStyle w:val="Compact"/>
              <w:jc w:val="left"/>
            </w:pPr>
            <w:r>
              <w:t xml:space="preserve">TB, UK born aged 65+</w:t>
            </w:r>
          </w:p>
        </w:tc>
        <w:tc>
          <w:tcPr/>
          <w:p>
            <w:pPr>
              <w:pStyle w:val="Compact"/>
              <w:jc w:val="right"/>
            </w:pPr>
            <w:r>
              <w:t xml:space="preserve">mg_pred_equivalent</w:t>
            </w:r>
          </w:p>
        </w:tc>
        <w:tc>
          <w:tcPr/>
          <w:p>
            <w:pPr>
              <w:pStyle w:val="Compact"/>
              <w:jc w:val="right"/>
            </w:pPr>
            <w:r>
              <w:t xml:space="preserve">lagged, excluding 2020-21</w:t>
            </w:r>
          </w:p>
        </w:tc>
        <w:tc>
          <w:tcPr/>
          <w:p>
            <w:pPr>
              <w:pStyle w:val="Compact"/>
              <w:jc w:val="right"/>
            </w:pPr>
            <w:r>
              <w:t xml:space="preserve">1</w:t>
            </w:r>
          </w:p>
        </w:tc>
        <w:tc>
          <w:tcPr/>
          <w:p>
            <w:pPr>
              <w:pStyle w:val="Compact"/>
              <w:jc w:val="right"/>
            </w:pPr>
            <w:r>
              <w:t xml:space="preserve">1.12 (0.77–1.61)</w:t>
            </w:r>
          </w:p>
        </w:tc>
        <w:tc>
          <w:tcPr/>
          <w:p>
            <w:pPr>
              <w:pStyle w:val="Compact"/>
              <w:jc w:val="right"/>
            </w:pPr>
            <w:r>
              <w:t xml:space="preserve">0.513</w:t>
            </w:r>
          </w:p>
        </w:tc>
        <w:tc>
          <w:tcPr/>
          <w:p>
            <w:pPr>
              <w:pStyle w:val="Compact"/>
              <w:jc w:val="right"/>
            </w:pPr>
            <w:r>
              <w:t xml:space="preserve">0.566</w:t>
            </w:r>
          </w:p>
        </w:tc>
      </w:tr>
      <w:tr>
        <w:tc>
          <w:tcPr/>
          <w:p>
            <w:pPr>
              <w:pStyle w:val="Compact"/>
              <w:jc w:val="left"/>
            </w:pPr>
            <w:r>
              <w:t xml:space="preserve">TB, UK born aged 65+</w:t>
            </w:r>
          </w:p>
        </w:tc>
        <w:tc>
          <w:tcPr/>
          <w:p>
            <w:pPr>
              <w:pStyle w:val="Compact"/>
              <w:jc w:val="right"/>
            </w:pPr>
            <w:r>
              <w:t xml:space="preserve">mg_pred_equivalent</w:t>
            </w:r>
          </w:p>
        </w:tc>
        <w:tc>
          <w:tcPr/>
          <w:p>
            <w:pPr>
              <w:pStyle w:val="Compact"/>
              <w:jc w:val="right"/>
            </w:pPr>
            <w:r>
              <w:t xml:space="preserve">lagged, excluding 2020-21</w:t>
            </w:r>
          </w:p>
        </w:tc>
        <w:tc>
          <w:tcPr/>
          <w:p>
            <w:pPr>
              <w:pStyle w:val="Compact"/>
              <w:jc w:val="right"/>
            </w:pPr>
            <w:r>
              <w:t xml:space="preserve">2</w:t>
            </w:r>
          </w:p>
        </w:tc>
        <w:tc>
          <w:tcPr/>
          <w:p>
            <w:pPr>
              <w:pStyle w:val="Compact"/>
              <w:jc w:val="right"/>
            </w:pPr>
            <w:r>
              <w:t xml:space="preserve">1.12 (0.80–1.56)</w:t>
            </w:r>
          </w:p>
        </w:tc>
        <w:tc>
          <w:tcPr/>
          <w:p>
            <w:pPr>
              <w:pStyle w:val="Compact"/>
              <w:jc w:val="right"/>
            </w:pPr>
            <w:r>
              <w:t xml:space="preserve">0.452</w:t>
            </w:r>
          </w:p>
        </w:tc>
        <w:tc>
          <w:tcPr/>
          <w:p>
            <w:pPr>
              <w:pStyle w:val="Compact"/>
              <w:jc w:val="right"/>
            </w:pPr>
            <w:r>
              <w:t xml:space="preserve">0.490</w:t>
            </w:r>
          </w:p>
        </w:tc>
      </w:tr>
      <w:tr>
        <w:tc>
          <w:tcPr/>
          <w:p>
            <w:pPr>
              <w:pStyle w:val="Compact"/>
              <w:jc w:val="left"/>
            </w:pPr>
            <w:r>
              <w:t xml:space="preserve">TB, UK born aged 65+</w:t>
            </w:r>
          </w:p>
        </w:tc>
        <w:tc>
          <w:tcPr/>
          <w:p>
            <w:pPr>
              <w:pStyle w:val="Compact"/>
              <w:jc w:val="right"/>
            </w:pPr>
            <w:r>
              <w:t xml:space="preserve">mg_pred_equivalent</w:t>
            </w:r>
          </w:p>
        </w:tc>
        <w:tc>
          <w:tcPr/>
          <w:p>
            <w:pPr>
              <w:pStyle w:val="Compact"/>
              <w:jc w:val="right"/>
            </w:pPr>
            <w:r>
              <w:t xml:space="preserve">lagged, excluding 2020-21</w:t>
            </w:r>
          </w:p>
        </w:tc>
        <w:tc>
          <w:tcPr/>
          <w:p>
            <w:pPr>
              <w:pStyle w:val="Compact"/>
              <w:jc w:val="right"/>
            </w:pPr>
            <w:r>
              <w:t xml:space="preserve">3</w:t>
            </w:r>
          </w:p>
        </w:tc>
        <w:tc>
          <w:tcPr/>
          <w:p>
            <w:pPr>
              <w:pStyle w:val="Compact"/>
              <w:jc w:val="right"/>
            </w:pPr>
            <w:r>
              <w:t xml:space="preserve">0.88 (0.49–1.60)</w:t>
            </w:r>
          </w:p>
        </w:tc>
        <w:tc>
          <w:tcPr/>
          <w:p>
            <w:pPr>
              <w:pStyle w:val="Compact"/>
              <w:jc w:val="right"/>
            </w:pPr>
            <w:r>
              <w:t xml:space="preserve">0.640</w:t>
            </w:r>
          </w:p>
        </w:tc>
        <w:tc>
          <w:tcPr/>
          <w:p>
            <w:pPr>
              <w:pStyle w:val="Compact"/>
              <w:jc w:val="right"/>
            </w:pPr>
            <w:r>
              <w:t xml:space="preserve">0.618</w:t>
            </w:r>
          </w:p>
        </w:tc>
      </w:tr>
      <w:tr>
        <w:tc>
          <w:tcPr/>
          <w:p>
            <w:pPr>
              <w:pStyle w:val="Compact"/>
              <w:jc w:val="left"/>
            </w:pPr>
            <w:r>
              <w:t xml:space="preserve">TB, UK born aged 65+</w:t>
            </w:r>
          </w:p>
        </w:tc>
        <w:tc>
          <w:tcPr/>
          <w:p>
            <w:pPr>
              <w:pStyle w:val="Compact"/>
              <w:jc w:val="right"/>
            </w:pPr>
            <w:r>
              <w:t xml:space="preserve">mg_pred_equivalent</w:t>
            </w:r>
          </w:p>
        </w:tc>
        <w:tc>
          <w:tcPr/>
          <w:p>
            <w:pPr>
              <w:pStyle w:val="Compact"/>
              <w:jc w:val="right"/>
            </w:pPr>
            <w:r>
              <w:t xml:space="preserve">lead (falsification)</w:t>
            </w:r>
          </w:p>
        </w:tc>
        <w:tc>
          <w:tcPr/>
          <w:p>
            <w:pPr>
              <w:pStyle w:val="Compact"/>
              <w:jc w:val="right"/>
            </w:pPr>
            <w:r>
              <w:t xml:space="preserve">-1</w:t>
            </w:r>
          </w:p>
        </w:tc>
        <w:tc>
          <w:tcPr/>
          <w:p>
            <w:pPr>
              <w:pStyle w:val="Compact"/>
              <w:jc w:val="right"/>
            </w:pPr>
            <w:r>
              <w:t xml:space="preserve">1.28 (0.89–1.85)</w:t>
            </w:r>
          </w:p>
        </w:tc>
        <w:tc>
          <w:tcPr/>
          <w:p>
            <w:pPr>
              <w:pStyle w:val="Compact"/>
              <w:jc w:val="right"/>
            </w:pPr>
            <w:r>
              <w:t xml:space="preserve">0.151</w:t>
            </w:r>
          </w:p>
        </w:tc>
        <w:tc>
          <w:tcPr/>
          <w:p>
            <w:pPr>
              <w:pStyle w:val="Compact"/>
              <w:jc w:val="right"/>
            </w:pPr>
            <w:r>
              <w:t xml:space="preserve">0.204</w:t>
            </w:r>
          </w:p>
        </w:tc>
      </w:tr>
      <w:tr>
        <w:tc>
          <w:tcPr/>
          <w:p>
            <w:pPr>
              <w:pStyle w:val="Compact"/>
              <w:jc w:val="left"/>
            </w:pPr>
            <w:r>
              <w:t xml:space="preserve">TB, UK born aged 65+</w:t>
            </w:r>
          </w:p>
        </w:tc>
        <w:tc>
          <w:tcPr/>
          <w:p>
            <w:pPr>
              <w:pStyle w:val="Compact"/>
              <w:jc w:val="right"/>
            </w:pPr>
            <w:r>
              <w:t xml:space="preserve">mg_pred_equivalent</w:t>
            </w:r>
          </w:p>
        </w:tc>
        <w:tc>
          <w:tcPr/>
          <w:p>
            <w:pPr>
              <w:pStyle w:val="Compact"/>
              <w:jc w:val="right"/>
            </w:pPr>
            <w:r>
              <w:t xml:space="preserve">lead (falsification)</w:t>
            </w:r>
          </w:p>
        </w:tc>
        <w:tc>
          <w:tcPr/>
          <w:p>
            <w:pPr>
              <w:pStyle w:val="Compact"/>
              <w:jc w:val="right"/>
            </w:pPr>
            <w:r>
              <w:t xml:space="preserve">-2</w:t>
            </w:r>
          </w:p>
        </w:tc>
        <w:tc>
          <w:tcPr/>
          <w:p>
            <w:pPr>
              <w:pStyle w:val="Compact"/>
              <w:jc w:val="right"/>
            </w:pPr>
            <w:r>
              <w:t xml:space="preserve">1.58 (0.92–2.73)</w:t>
            </w:r>
          </w:p>
        </w:tc>
        <w:tc>
          <w:tcPr/>
          <w:p>
            <w:pPr>
              <w:pStyle w:val="Compact"/>
              <w:jc w:val="right"/>
            </w:pPr>
            <w:r>
              <w:t xml:space="preserve">0.089</w:t>
            </w:r>
          </w:p>
        </w:tc>
        <w:tc>
          <w:tcPr/>
          <w:p>
            <w:pPr>
              <w:pStyle w:val="Compact"/>
              <w:jc w:val="right"/>
            </w:pPr>
            <w:r>
              <w:t xml:space="preserve">0.086</w:t>
            </w:r>
          </w:p>
        </w:tc>
      </w:tr>
      <w:tr>
        <w:tc>
          <w:tcPr/>
          <w:p>
            <w:pPr>
              <w:pStyle w:val="Compact"/>
              <w:jc w:val="left"/>
            </w:pPr>
            <w:r>
              <w:t xml:space="preserve">TB, UK born aged 65+</w:t>
            </w:r>
          </w:p>
        </w:tc>
        <w:tc>
          <w:tcPr/>
          <w:p>
            <w:pPr>
              <w:pStyle w:val="Compact"/>
              <w:jc w:val="right"/>
            </w:pPr>
            <w:r>
              <w:t xml:space="preserve">mg_pred_equivalent</w:t>
            </w:r>
          </w:p>
        </w:tc>
        <w:tc>
          <w:tcPr/>
          <w:p>
            <w:pPr>
              <w:pStyle w:val="Compact"/>
              <w:jc w:val="right"/>
            </w:pPr>
            <w:r>
              <w:t xml:space="preserve">lead (falsification)</w:t>
            </w:r>
          </w:p>
        </w:tc>
        <w:tc>
          <w:tcPr/>
          <w:p>
            <w:pPr>
              <w:pStyle w:val="Compact"/>
              <w:jc w:val="right"/>
            </w:pPr>
            <w:r>
              <w:t xml:space="preserve">-3</w:t>
            </w:r>
          </w:p>
        </w:tc>
        <w:tc>
          <w:tcPr/>
          <w:p>
            <w:pPr>
              <w:pStyle w:val="Compact"/>
              <w:jc w:val="right"/>
            </w:pPr>
            <w:r>
              <w:t xml:space="preserve">1.30 (0.78–2.19)</w:t>
            </w:r>
          </w:p>
        </w:tc>
        <w:tc>
          <w:tcPr/>
          <w:p>
            <w:pPr>
              <w:pStyle w:val="Compact"/>
              <w:jc w:val="right"/>
            </w:pPr>
            <w:r>
              <w:t xml:space="preserve">0.271</w:t>
            </w:r>
          </w:p>
        </w:tc>
        <w:tc>
          <w:tcPr/>
          <w:p>
            <w:pPr>
              <w:pStyle w:val="Compact"/>
              <w:jc w:val="right"/>
            </w:pPr>
            <w:r>
              <w:t xml:space="preserve">0.320</w:t>
            </w:r>
          </w:p>
        </w:tc>
      </w:tr>
      <w:tr>
        <w:tc>
          <w:tcPr/>
          <w:p>
            <w:pPr>
              <w:pStyle w:val="Compact"/>
              <w:jc w:val="left"/>
            </w:pPr>
            <w:r>
              <w:t xml:space="preserve">TB, UK born aged 65+</w:t>
            </w:r>
          </w:p>
        </w:tc>
        <w:tc>
          <w:tcPr/>
          <w:p>
            <w:pPr>
              <w:pStyle w:val="Compact"/>
              <w:jc w:val="right"/>
            </w:pPr>
            <w:r>
              <w:t xml:space="preserve">levothyroxine</w:t>
            </w:r>
          </w:p>
        </w:tc>
        <w:tc>
          <w:tcPr/>
          <w:p>
            <w:pPr>
              <w:pStyle w:val="Compact"/>
              <w:jc w:val="right"/>
            </w:pPr>
            <w:r>
              <w:t xml:space="preserve">lagged exposure</w:t>
            </w:r>
          </w:p>
        </w:tc>
        <w:tc>
          <w:tcPr/>
          <w:p>
            <w:pPr>
              <w:pStyle w:val="Compact"/>
              <w:jc w:val="right"/>
            </w:pPr>
            <w:r>
              <w:t xml:space="preserve">1</w:t>
            </w:r>
          </w:p>
        </w:tc>
        <w:tc>
          <w:tcPr/>
          <w:p>
            <w:pPr>
              <w:pStyle w:val="Compact"/>
              <w:jc w:val="right"/>
            </w:pPr>
            <w:r>
              <w:t xml:space="preserve">1.23 (1.00–1.51)</w:t>
            </w:r>
          </w:p>
        </w:tc>
        <w:tc>
          <w:tcPr/>
          <w:p>
            <w:pPr>
              <w:pStyle w:val="Compact"/>
              <w:jc w:val="right"/>
            </w:pPr>
            <w:r>
              <w:t xml:space="preserve">0.051</w:t>
            </w:r>
          </w:p>
        </w:tc>
        <w:tc>
          <w:tcPr/>
          <w:p>
            <w:pPr>
              <w:pStyle w:val="Compact"/>
              <w:jc w:val="right"/>
            </w:pPr>
            <w:r>
              <w:t xml:space="preserve">0.074</w:t>
            </w:r>
          </w:p>
        </w:tc>
      </w:tr>
      <w:tr>
        <w:tc>
          <w:tcPr/>
          <w:p>
            <w:pPr>
              <w:pStyle w:val="Compact"/>
              <w:jc w:val="left"/>
            </w:pPr>
            <w:r>
              <w:t xml:space="preserve">TB, UK born aged 65+</w:t>
            </w:r>
          </w:p>
        </w:tc>
        <w:tc>
          <w:tcPr/>
          <w:p>
            <w:pPr>
              <w:pStyle w:val="Compact"/>
              <w:jc w:val="right"/>
            </w:pPr>
            <w:r>
              <w:t xml:space="preserve">levothyroxine</w:t>
            </w:r>
          </w:p>
        </w:tc>
        <w:tc>
          <w:tcPr/>
          <w:p>
            <w:pPr>
              <w:pStyle w:val="Compact"/>
              <w:jc w:val="right"/>
            </w:pPr>
            <w:r>
              <w:t xml:space="preserve">lagged exposure</w:t>
            </w:r>
          </w:p>
        </w:tc>
        <w:tc>
          <w:tcPr/>
          <w:p>
            <w:pPr>
              <w:pStyle w:val="Compact"/>
              <w:jc w:val="right"/>
            </w:pPr>
            <w:r>
              <w:t xml:space="preserve">2</w:t>
            </w:r>
          </w:p>
        </w:tc>
        <w:tc>
          <w:tcPr/>
          <w:p>
            <w:pPr>
              <w:pStyle w:val="Compact"/>
              <w:jc w:val="right"/>
            </w:pPr>
            <w:r>
              <w:t xml:space="preserve">1.19 (0.95–1.48)</w:t>
            </w:r>
          </w:p>
        </w:tc>
        <w:tc>
          <w:tcPr/>
          <w:p>
            <w:pPr>
              <w:pStyle w:val="Compact"/>
              <w:jc w:val="right"/>
            </w:pPr>
            <w:r>
              <w:t xml:space="preserve">0.111</w:t>
            </w:r>
          </w:p>
        </w:tc>
        <w:tc>
          <w:tcPr/>
          <w:p>
            <w:pPr>
              <w:pStyle w:val="Compact"/>
              <w:jc w:val="right"/>
            </w:pPr>
            <w:r>
              <w:t xml:space="preserve">0.168</w:t>
            </w:r>
          </w:p>
        </w:tc>
      </w:tr>
      <w:tr>
        <w:tc>
          <w:tcPr/>
          <w:p>
            <w:pPr>
              <w:pStyle w:val="Compact"/>
              <w:jc w:val="left"/>
            </w:pPr>
            <w:r>
              <w:t xml:space="preserve">TB, UK born aged 65+</w:t>
            </w:r>
          </w:p>
        </w:tc>
        <w:tc>
          <w:tcPr/>
          <w:p>
            <w:pPr>
              <w:pStyle w:val="Compact"/>
              <w:jc w:val="right"/>
            </w:pPr>
            <w:r>
              <w:t xml:space="preserve">levothyroxine</w:t>
            </w:r>
          </w:p>
        </w:tc>
        <w:tc>
          <w:tcPr/>
          <w:p>
            <w:pPr>
              <w:pStyle w:val="Compact"/>
              <w:jc w:val="right"/>
            </w:pPr>
            <w:r>
              <w:t xml:space="preserve">lagged exposure</w:t>
            </w:r>
          </w:p>
        </w:tc>
        <w:tc>
          <w:tcPr/>
          <w:p>
            <w:pPr>
              <w:pStyle w:val="Compact"/>
              <w:jc w:val="right"/>
            </w:pPr>
            <w:r>
              <w:t xml:space="preserve">3</w:t>
            </w:r>
          </w:p>
        </w:tc>
        <w:tc>
          <w:tcPr/>
          <w:p>
            <w:pPr>
              <w:pStyle w:val="Compact"/>
              <w:jc w:val="right"/>
            </w:pPr>
            <w:r>
              <w:t xml:space="preserve">1.06 (0.89–1.27)</w:t>
            </w:r>
          </w:p>
        </w:tc>
        <w:tc>
          <w:tcPr/>
          <w:p>
            <w:pPr>
              <w:pStyle w:val="Compact"/>
              <w:jc w:val="right"/>
            </w:pPr>
            <w:r>
              <w:t xml:space="preserve">0.463</w:t>
            </w:r>
          </w:p>
        </w:tc>
        <w:tc>
          <w:tcPr/>
          <w:p>
            <w:pPr>
              <w:pStyle w:val="Compact"/>
              <w:jc w:val="right"/>
            </w:pPr>
            <w:r>
              <w:t xml:space="preserve">0.534</w:t>
            </w:r>
          </w:p>
        </w:tc>
      </w:tr>
      <w:tr>
        <w:tc>
          <w:tcPr/>
          <w:p>
            <w:pPr>
              <w:pStyle w:val="Compact"/>
              <w:jc w:val="left"/>
            </w:pPr>
            <w:r>
              <w:t xml:space="preserve">TB, UK born aged 65+</w:t>
            </w:r>
          </w:p>
        </w:tc>
        <w:tc>
          <w:tcPr/>
          <w:p>
            <w:pPr>
              <w:pStyle w:val="Compact"/>
              <w:jc w:val="right"/>
            </w:pPr>
            <w:r>
              <w:t xml:space="preserve">levothyroxine</w:t>
            </w:r>
          </w:p>
        </w:tc>
        <w:tc>
          <w:tcPr/>
          <w:p>
            <w:pPr>
              <w:pStyle w:val="Compact"/>
              <w:jc w:val="right"/>
            </w:pPr>
            <w:r>
              <w:t xml:space="preserve">lagged, excluding 2020-21</w:t>
            </w:r>
          </w:p>
        </w:tc>
        <w:tc>
          <w:tcPr/>
          <w:p>
            <w:pPr>
              <w:pStyle w:val="Compact"/>
              <w:jc w:val="right"/>
            </w:pPr>
            <w:r>
              <w:t xml:space="preserve">1</w:t>
            </w:r>
          </w:p>
        </w:tc>
        <w:tc>
          <w:tcPr/>
          <w:p>
            <w:pPr>
              <w:pStyle w:val="Compact"/>
              <w:jc w:val="right"/>
            </w:pPr>
            <w:r>
              <w:t xml:space="preserve">1.22 (0.99–1.50)</w:t>
            </w:r>
          </w:p>
        </w:tc>
        <w:tc>
          <w:tcPr/>
          <w:p>
            <w:pPr>
              <w:pStyle w:val="Compact"/>
              <w:jc w:val="right"/>
            </w:pPr>
            <w:r>
              <w:t xml:space="preserve">0.055</w:t>
            </w:r>
          </w:p>
        </w:tc>
        <w:tc>
          <w:tcPr/>
          <w:p>
            <w:pPr>
              <w:pStyle w:val="Compact"/>
              <w:jc w:val="right"/>
            </w:pPr>
            <w:r>
              <w:t xml:space="preserve">0.068</w:t>
            </w:r>
          </w:p>
        </w:tc>
      </w:tr>
      <w:tr>
        <w:tc>
          <w:tcPr/>
          <w:p>
            <w:pPr>
              <w:pStyle w:val="Compact"/>
              <w:jc w:val="left"/>
            </w:pPr>
            <w:r>
              <w:t xml:space="preserve">TB, UK born aged 65+</w:t>
            </w:r>
          </w:p>
        </w:tc>
        <w:tc>
          <w:tcPr/>
          <w:p>
            <w:pPr>
              <w:pStyle w:val="Compact"/>
              <w:jc w:val="right"/>
            </w:pPr>
            <w:r>
              <w:t xml:space="preserve">levothyroxine</w:t>
            </w:r>
          </w:p>
        </w:tc>
        <w:tc>
          <w:tcPr/>
          <w:p>
            <w:pPr>
              <w:pStyle w:val="Compact"/>
              <w:jc w:val="right"/>
            </w:pPr>
            <w:r>
              <w:t xml:space="preserve">lagged, excluding 2020-21</w:t>
            </w:r>
          </w:p>
        </w:tc>
        <w:tc>
          <w:tcPr/>
          <w:p>
            <w:pPr>
              <w:pStyle w:val="Compact"/>
              <w:jc w:val="right"/>
            </w:pPr>
            <w:r>
              <w:t xml:space="preserve">2</w:t>
            </w:r>
          </w:p>
        </w:tc>
        <w:tc>
          <w:tcPr/>
          <w:p>
            <w:pPr>
              <w:pStyle w:val="Compact"/>
              <w:jc w:val="right"/>
            </w:pPr>
            <w:r>
              <w:t xml:space="preserve">1.20 (0.96–1.50)</w:t>
            </w:r>
          </w:p>
        </w:tc>
        <w:tc>
          <w:tcPr/>
          <w:p>
            <w:pPr>
              <w:pStyle w:val="Compact"/>
              <w:jc w:val="right"/>
            </w:pPr>
            <w:r>
              <w:t xml:space="preserve">0.098</w:t>
            </w:r>
          </w:p>
        </w:tc>
        <w:tc>
          <w:tcPr/>
          <w:p>
            <w:pPr>
              <w:pStyle w:val="Compact"/>
              <w:jc w:val="right"/>
            </w:pPr>
            <w:r>
              <w:t xml:space="preserve">0.152</w:t>
            </w:r>
          </w:p>
        </w:tc>
      </w:tr>
      <w:tr>
        <w:tc>
          <w:tcPr/>
          <w:p>
            <w:pPr>
              <w:pStyle w:val="Compact"/>
              <w:jc w:val="left"/>
            </w:pPr>
            <w:r>
              <w:t xml:space="preserve">TB, UK born aged 65+</w:t>
            </w:r>
          </w:p>
        </w:tc>
        <w:tc>
          <w:tcPr/>
          <w:p>
            <w:pPr>
              <w:pStyle w:val="Compact"/>
              <w:jc w:val="right"/>
            </w:pPr>
            <w:r>
              <w:t xml:space="preserve">levothyroxine</w:t>
            </w:r>
          </w:p>
        </w:tc>
        <w:tc>
          <w:tcPr/>
          <w:p>
            <w:pPr>
              <w:pStyle w:val="Compact"/>
              <w:jc w:val="right"/>
            </w:pPr>
            <w:r>
              <w:t xml:space="preserve">lagged, excluding 2020-21</w:t>
            </w:r>
          </w:p>
        </w:tc>
        <w:tc>
          <w:tcPr/>
          <w:p>
            <w:pPr>
              <w:pStyle w:val="Compact"/>
              <w:jc w:val="right"/>
            </w:pPr>
            <w:r>
              <w:t xml:space="preserve">3</w:t>
            </w:r>
          </w:p>
        </w:tc>
        <w:tc>
          <w:tcPr/>
          <w:p>
            <w:pPr>
              <w:pStyle w:val="Compact"/>
              <w:jc w:val="right"/>
            </w:pPr>
            <w:r>
              <w:t xml:space="preserve">1.09 (0.91–1.30)</w:t>
            </w:r>
          </w:p>
        </w:tc>
        <w:tc>
          <w:tcPr/>
          <w:p>
            <w:pPr>
              <w:pStyle w:val="Compact"/>
              <w:jc w:val="right"/>
            </w:pPr>
            <w:r>
              <w:t xml:space="preserve">0.304</w:t>
            </w:r>
          </w:p>
        </w:tc>
        <w:tc>
          <w:tcPr/>
          <w:p>
            <w:pPr>
              <w:pStyle w:val="Compact"/>
              <w:jc w:val="right"/>
            </w:pPr>
            <w:r>
              <w:t xml:space="preserve">0.406</w:t>
            </w:r>
          </w:p>
        </w:tc>
      </w:tr>
      <w:tr>
        <w:tc>
          <w:tcPr/>
          <w:p>
            <w:pPr>
              <w:pStyle w:val="Compact"/>
              <w:jc w:val="left"/>
            </w:pPr>
            <w:r>
              <w:t xml:space="preserve">TB, UK born aged 65+</w:t>
            </w:r>
          </w:p>
        </w:tc>
        <w:tc>
          <w:tcPr/>
          <w:p>
            <w:pPr>
              <w:pStyle w:val="Compact"/>
              <w:jc w:val="right"/>
            </w:pPr>
            <w:r>
              <w:t xml:space="preserve">levothyroxine</w:t>
            </w:r>
          </w:p>
        </w:tc>
        <w:tc>
          <w:tcPr/>
          <w:p>
            <w:pPr>
              <w:pStyle w:val="Compact"/>
              <w:jc w:val="right"/>
            </w:pPr>
            <w:r>
              <w:t xml:space="preserve">lead (falsification)</w:t>
            </w:r>
          </w:p>
        </w:tc>
        <w:tc>
          <w:tcPr/>
          <w:p>
            <w:pPr>
              <w:pStyle w:val="Compact"/>
              <w:jc w:val="right"/>
            </w:pPr>
            <w:r>
              <w:t xml:space="preserve">-1</w:t>
            </w:r>
          </w:p>
        </w:tc>
        <w:tc>
          <w:tcPr/>
          <w:p>
            <w:pPr>
              <w:pStyle w:val="Compact"/>
              <w:jc w:val="right"/>
            </w:pPr>
            <w:r>
              <w:t xml:space="preserve">1.38 (1.05–1.80)</w:t>
            </w:r>
          </w:p>
        </w:tc>
        <w:tc>
          <w:tcPr/>
          <w:p>
            <w:pPr>
              <w:pStyle w:val="Compact"/>
              <w:jc w:val="right"/>
            </w:pPr>
            <w:r>
              <w:t xml:space="preserve">0.025</w:t>
            </w:r>
          </w:p>
        </w:tc>
        <w:tc>
          <w:tcPr/>
          <w:p>
            <w:pPr>
              <w:pStyle w:val="Compact"/>
              <w:jc w:val="right"/>
            </w:pPr>
            <w:r>
              <w:t xml:space="preserve">0.038</w:t>
            </w:r>
          </w:p>
        </w:tc>
      </w:tr>
      <w:tr>
        <w:tc>
          <w:tcPr/>
          <w:p>
            <w:pPr>
              <w:pStyle w:val="Compact"/>
              <w:jc w:val="left"/>
            </w:pPr>
            <w:r>
              <w:t xml:space="preserve">TB, UK born aged 65+</w:t>
            </w:r>
          </w:p>
        </w:tc>
        <w:tc>
          <w:tcPr/>
          <w:p>
            <w:pPr>
              <w:pStyle w:val="Compact"/>
              <w:jc w:val="right"/>
            </w:pPr>
            <w:r>
              <w:t xml:space="preserve">levothyroxine</w:t>
            </w:r>
          </w:p>
        </w:tc>
        <w:tc>
          <w:tcPr/>
          <w:p>
            <w:pPr>
              <w:pStyle w:val="Compact"/>
              <w:jc w:val="right"/>
            </w:pPr>
            <w:r>
              <w:t xml:space="preserve">lead (falsification)</w:t>
            </w:r>
          </w:p>
        </w:tc>
        <w:tc>
          <w:tcPr/>
          <w:p>
            <w:pPr>
              <w:pStyle w:val="Compact"/>
              <w:jc w:val="right"/>
            </w:pPr>
            <w:r>
              <w:t xml:space="preserve">-2</w:t>
            </w:r>
          </w:p>
        </w:tc>
        <w:tc>
          <w:tcPr/>
          <w:p>
            <w:pPr>
              <w:pStyle w:val="Compact"/>
              <w:jc w:val="right"/>
            </w:pPr>
            <w:r>
              <w:t xml:space="preserve">1.20 (0.85–1.71)</w:t>
            </w:r>
          </w:p>
        </w:tc>
        <w:tc>
          <w:tcPr/>
          <w:p>
            <w:pPr>
              <w:pStyle w:val="Compact"/>
              <w:jc w:val="right"/>
            </w:pPr>
            <w:r>
              <w:t xml:space="preserve">0.262</w:t>
            </w:r>
          </w:p>
        </w:tc>
        <w:tc>
          <w:tcPr/>
          <w:p>
            <w:pPr>
              <w:pStyle w:val="Compact"/>
              <w:jc w:val="right"/>
            </w:pPr>
            <w:r>
              <w:t xml:space="preserve">0.382</w:t>
            </w:r>
          </w:p>
        </w:tc>
      </w:tr>
      <w:tr>
        <w:tc>
          <w:tcPr/>
          <w:p>
            <w:pPr>
              <w:pStyle w:val="Compact"/>
              <w:jc w:val="left"/>
            </w:pPr>
            <w:r>
              <w:t xml:space="preserve">TB, UK born aged 65+</w:t>
            </w:r>
          </w:p>
        </w:tc>
        <w:tc>
          <w:tcPr/>
          <w:p>
            <w:pPr>
              <w:pStyle w:val="Compact"/>
              <w:jc w:val="right"/>
            </w:pPr>
            <w:r>
              <w:t xml:space="preserve">levothyroxine</w:t>
            </w:r>
          </w:p>
        </w:tc>
        <w:tc>
          <w:tcPr/>
          <w:p>
            <w:pPr>
              <w:pStyle w:val="Compact"/>
              <w:jc w:val="right"/>
            </w:pPr>
            <w:r>
              <w:t xml:space="preserve">lead (falsification)</w:t>
            </w:r>
          </w:p>
        </w:tc>
        <w:tc>
          <w:tcPr/>
          <w:p>
            <w:pPr>
              <w:pStyle w:val="Compact"/>
              <w:jc w:val="right"/>
            </w:pPr>
            <w:r>
              <w:t xml:space="preserve">-3</w:t>
            </w:r>
          </w:p>
        </w:tc>
        <w:tc>
          <w:tcPr/>
          <w:p>
            <w:pPr>
              <w:pStyle w:val="Compact"/>
              <w:jc w:val="right"/>
            </w:pPr>
            <w:r>
              <w:t xml:space="preserve">1.29 (0.85–1.97)</w:t>
            </w:r>
          </w:p>
        </w:tc>
        <w:tc>
          <w:tcPr/>
          <w:p>
            <w:pPr>
              <w:pStyle w:val="Compact"/>
              <w:jc w:val="right"/>
            </w:pPr>
            <w:r>
              <w:t xml:space="preserve">0.195</w:t>
            </w:r>
          </w:p>
        </w:tc>
        <w:tc>
          <w:tcPr/>
          <w:p>
            <w:pPr>
              <w:pStyle w:val="Compact"/>
              <w:jc w:val="right"/>
            </w:pPr>
            <w:r>
              <w:t xml:space="preserve">0.308</w:t>
            </w:r>
          </w:p>
        </w:tc>
      </w:tr>
    </w:tbl>
    <w:p>
      <w:pPr>
        <w:pStyle w:val="BodyText"/>
      </w:pPr>
      <w:r>
        <w:t xml:space="preserve">Randomisation p-values compare the cluster-robust t statistic with 499 permutations of whole regional exposure histories across regions, valid under exchangeability of those histories; p = (1 + count)/(1 + 499), so the minimum is 0.002.</w:t>
      </w:r>
    </w:p>
    <w:p>
      <w:pPr>
        <w:pStyle w:val="BodyText"/>
      </w:pPr>
      <w:r>
        <w:rPr>
          <w:b/>
          <w:bCs/>
        </w:rPr>
        <w:t xml:space="preserve">Table S6. Regional models: lag 2 and lead 2 estimated jointly</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Outcome</w:t>
            </w:r>
          </w:p>
        </w:tc>
        <w:tc>
          <w:tcPr/>
          <w:p>
            <w:pPr>
              <w:pStyle w:val="Compact"/>
              <w:jc w:val="right"/>
            </w:pPr>
            <w:r>
              <w:t xml:space="preserve">Exposure</w:t>
            </w:r>
          </w:p>
        </w:tc>
        <w:tc>
          <w:tcPr/>
          <w:p>
            <w:pPr>
              <w:pStyle w:val="Compact"/>
              <w:jc w:val="right"/>
            </w:pPr>
            <w:r>
              <w:t xml:space="preserve">Regions excluded</w:t>
            </w:r>
          </w:p>
        </w:tc>
        <w:tc>
          <w:tcPr/>
          <w:p>
            <w:pPr>
              <w:pStyle w:val="Compact"/>
              <w:jc w:val="right"/>
            </w:pPr>
            <w:r>
              <w:t xml:space="preserve">Years</w:t>
            </w:r>
          </w:p>
        </w:tc>
        <w:tc>
          <w:tcPr/>
          <w:p>
            <w:pPr>
              <w:pStyle w:val="Compact"/>
              <w:jc w:val="right"/>
            </w:pPr>
            <w:r>
              <w:t xml:space="preserve">IRR lag (per 10%)</w:t>
            </w:r>
          </w:p>
        </w:tc>
        <w:tc>
          <w:tcPr/>
          <w:p>
            <w:pPr>
              <w:pStyle w:val="Compact"/>
              <w:jc w:val="right"/>
            </w:pPr>
            <w:r>
              <w:t xml:space="preserve">IRR lead (per 10%)</w:t>
            </w:r>
          </w:p>
        </w:tc>
        <w:tc>
          <w:tcPr/>
          <w:p>
            <w:pPr>
              <w:pStyle w:val="Compact"/>
              <w:jc w:val="right"/>
            </w:pPr>
            <w:r>
              <w:t xml:space="preserve">Lag ÷ lead</w:t>
            </w:r>
          </w:p>
        </w:tc>
        <w:tc>
          <w:tcPr/>
          <w:p>
            <w:pPr>
              <w:pStyle w:val="Compact"/>
              <w:jc w:val="right"/>
            </w:pPr>
            <w:r>
              <w:t xml:space="preserve">p difference</w:t>
            </w:r>
          </w:p>
        </w:tc>
        <w:tc>
          <w:tcPr/>
          <w:p>
            <w:pPr>
              <w:pStyle w:val="Compact"/>
              <w:jc w:val="right"/>
            </w:pPr>
            <w:r>
              <w:t xml:space="preserve">p randomisation (lag)</w:t>
            </w:r>
          </w:p>
        </w:tc>
      </w:tr>
      <w:tr>
        <w:tc>
          <w:tcPr/>
          <w:p>
            <w:pPr>
              <w:pStyle w:val="Compact"/>
              <w:jc w:val="left"/>
            </w:pPr>
            <w:r>
              <w:t xml:space="preserve">TB, UK born</w:t>
            </w:r>
          </w:p>
        </w:tc>
        <w:tc>
          <w:tcPr/>
          <w:p>
            <w:pPr>
              <w:pStyle w:val="Compact"/>
              <w:jc w:val="right"/>
            </w:pPr>
            <w:r>
              <w:t xml:space="preserve">oral_glucocorticoids</w:t>
            </w:r>
          </w:p>
        </w:tc>
        <w:tc>
          <w:tcPr/>
          <w:p>
            <w:pPr>
              <w:pStyle w:val="Compact"/>
              <w:jc w:val="right"/>
            </w:pPr>
            <w:r>
              <w:t xml:space="preserve">none</w:t>
            </w:r>
          </w:p>
        </w:tc>
        <w:tc>
          <w:tcPr/>
          <w:p>
            <w:pPr>
              <w:pStyle w:val="Compact"/>
              <w:jc w:val="right"/>
            </w:pPr>
            <w:r>
              <w:t xml:space="preserve">2013-2022</w:t>
            </w:r>
          </w:p>
        </w:tc>
        <w:tc>
          <w:tcPr/>
          <w:p>
            <w:pPr>
              <w:pStyle w:val="Compact"/>
              <w:jc w:val="right"/>
            </w:pPr>
            <w:r>
              <w:t xml:space="preserve">1.26</w:t>
            </w:r>
          </w:p>
        </w:tc>
        <w:tc>
          <w:tcPr/>
          <w:p>
            <w:pPr>
              <w:pStyle w:val="Compact"/>
              <w:jc w:val="right"/>
            </w:pPr>
            <w:r>
              <w:t xml:space="preserve">0.95</w:t>
            </w:r>
          </w:p>
        </w:tc>
        <w:tc>
          <w:tcPr/>
          <w:p>
            <w:pPr>
              <w:pStyle w:val="Compact"/>
              <w:jc w:val="right"/>
            </w:pPr>
            <w:r>
              <w:t xml:space="preserve">1.33</w:t>
            </w:r>
          </w:p>
        </w:tc>
        <w:tc>
          <w:tcPr/>
          <w:p>
            <w:pPr>
              <w:pStyle w:val="Compact"/>
              <w:jc w:val="right"/>
            </w:pPr>
            <w:r>
              <w:t xml:space="preserve">0.151</w:t>
            </w:r>
          </w:p>
        </w:tc>
        <w:tc>
          <w:tcPr/>
          <w:p>
            <w:pPr>
              <w:pStyle w:val="Compact"/>
              <w:jc w:val="right"/>
            </w:pPr>
            <w:r>
              <w:t xml:space="preserve">0.460</w:t>
            </w:r>
          </w:p>
        </w:tc>
      </w:tr>
      <w:tr>
        <w:tc>
          <w:tcPr/>
          <w:p>
            <w:pPr>
              <w:pStyle w:val="Compact"/>
              <w:jc w:val="left"/>
            </w:pPr>
            <w:r>
              <w:t xml:space="preserve">TB, UK born</w:t>
            </w:r>
          </w:p>
        </w:tc>
        <w:tc>
          <w:tcPr/>
          <w:p>
            <w:pPr>
              <w:pStyle w:val="Compact"/>
              <w:jc w:val="right"/>
            </w:pPr>
            <w:r>
              <w:t xml:space="preserve">oral_glucocorticoids</w:t>
            </w:r>
          </w:p>
        </w:tc>
        <w:tc>
          <w:tcPr/>
          <w:p>
            <w:pPr>
              <w:pStyle w:val="Compact"/>
              <w:jc w:val="right"/>
            </w:pPr>
            <w:r>
              <w:t xml:space="preserve">London</w:t>
            </w:r>
          </w:p>
        </w:tc>
        <w:tc>
          <w:tcPr/>
          <w:p>
            <w:pPr>
              <w:pStyle w:val="Compact"/>
              <w:jc w:val="right"/>
            </w:pPr>
            <w:r>
              <w:t xml:space="preserve">2013-2022</w:t>
            </w:r>
          </w:p>
        </w:tc>
        <w:tc>
          <w:tcPr/>
          <w:p>
            <w:pPr>
              <w:pStyle w:val="Compact"/>
              <w:jc w:val="right"/>
            </w:pPr>
            <w:r>
              <w:t xml:space="preserve">0.99</w:t>
            </w:r>
          </w:p>
        </w:tc>
        <w:tc>
          <w:tcPr/>
          <w:p>
            <w:pPr>
              <w:pStyle w:val="Compact"/>
              <w:jc w:val="right"/>
            </w:pPr>
            <w:r>
              <w:t xml:space="preserve">0.97</w:t>
            </w:r>
          </w:p>
        </w:tc>
        <w:tc>
          <w:tcPr/>
          <w:p>
            <w:pPr>
              <w:pStyle w:val="Compact"/>
              <w:jc w:val="right"/>
            </w:pPr>
            <w:r>
              <w:t xml:space="preserve">1.02</w:t>
            </w:r>
          </w:p>
        </w:tc>
        <w:tc>
          <w:tcPr/>
          <w:p>
            <w:pPr>
              <w:pStyle w:val="Compact"/>
              <w:jc w:val="right"/>
            </w:pPr>
            <w:r>
              <w:t xml:space="preserve">0.919</w:t>
            </w:r>
          </w:p>
        </w:tc>
        <w:tc>
          <w:tcPr/>
          <w:p>
            <w:pPr>
              <w:pStyle w:val="Compact"/>
              <w:jc w:val="right"/>
            </w:pPr>
            <w:r>
              <w:t xml:space="preserve">0.964</w:t>
            </w:r>
          </w:p>
        </w:tc>
      </w:tr>
      <w:tr>
        <w:tc>
          <w:tcPr/>
          <w:p>
            <w:pPr>
              <w:pStyle w:val="Compact"/>
              <w:jc w:val="left"/>
            </w:pPr>
            <w:r>
              <w:t xml:space="preserve">TB, UK born</w:t>
            </w:r>
          </w:p>
        </w:tc>
        <w:tc>
          <w:tcPr/>
          <w:p>
            <w:pPr>
              <w:pStyle w:val="Compact"/>
              <w:jc w:val="right"/>
            </w:pPr>
            <w:r>
              <w:t xml:space="preserve">mg_pred_equivalent</w:t>
            </w:r>
          </w:p>
        </w:tc>
        <w:tc>
          <w:tcPr/>
          <w:p>
            <w:pPr>
              <w:pStyle w:val="Compact"/>
              <w:jc w:val="right"/>
            </w:pPr>
            <w:r>
              <w:t xml:space="preserve">none</w:t>
            </w:r>
          </w:p>
        </w:tc>
        <w:tc>
          <w:tcPr/>
          <w:p>
            <w:pPr>
              <w:pStyle w:val="Compact"/>
              <w:jc w:val="right"/>
            </w:pPr>
            <w:r>
              <w:t xml:space="preserve">2013-2022</w:t>
            </w:r>
          </w:p>
        </w:tc>
        <w:tc>
          <w:tcPr/>
          <w:p>
            <w:pPr>
              <w:pStyle w:val="Compact"/>
              <w:jc w:val="right"/>
            </w:pPr>
            <w:r>
              <w:t xml:space="preserve">1.45</w:t>
            </w:r>
          </w:p>
        </w:tc>
        <w:tc>
          <w:tcPr/>
          <w:p>
            <w:pPr>
              <w:pStyle w:val="Compact"/>
              <w:jc w:val="right"/>
            </w:pPr>
            <w:r>
              <w:t xml:space="preserve">0.88</w:t>
            </w:r>
          </w:p>
        </w:tc>
        <w:tc>
          <w:tcPr/>
          <w:p>
            <w:pPr>
              <w:pStyle w:val="Compact"/>
              <w:jc w:val="right"/>
            </w:pPr>
            <w:r>
              <w:t xml:space="preserve">1.65</w:t>
            </w:r>
          </w:p>
        </w:tc>
        <w:tc>
          <w:tcPr/>
          <w:p>
            <w:pPr>
              <w:pStyle w:val="Compact"/>
              <w:jc w:val="right"/>
            </w:pPr>
            <w:r>
              <w:t xml:space="preserve">0.035</w:t>
            </w:r>
          </w:p>
        </w:tc>
        <w:tc>
          <w:tcPr/>
          <w:p>
            <w:pPr>
              <w:pStyle w:val="Compact"/>
              <w:jc w:val="right"/>
            </w:pPr>
            <w:r>
              <w:t xml:space="preserve">0.232</w:t>
            </w:r>
          </w:p>
        </w:tc>
      </w:tr>
      <w:tr>
        <w:tc>
          <w:tcPr/>
          <w:p>
            <w:pPr>
              <w:pStyle w:val="Compact"/>
              <w:jc w:val="left"/>
            </w:pPr>
            <w:r>
              <w:t xml:space="preserve">TB, UK born</w:t>
            </w:r>
          </w:p>
        </w:tc>
        <w:tc>
          <w:tcPr/>
          <w:p>
            <w:pPr>
              <w:pStyle w:val="Compact"/>
              <w:jc w:val="right"/>
            </w:pPr>
            <w:r>
              <w:t xml:space="preserve">mg_pred_equivalent</w:t>
            </w:r>
          </w:p>
        </w:tc>
        <w:tc>
          <w:tcPr/>
          <w:p>
            <w:pPr>
              <w:pStyle w:val="Compact"/>
              <w:jc w:val="right"/>
            </w:pPr>
            <w:r>
              <w:t xml:space="preserve">London</w:t>
            </w:r>
          </w:p>
        </w:tc>
        <w:tc>
          <w:tcPr/>
          <w:p>
            <w:pPr>
              <w:pStyle w:val="Compact"/>
              <w:jc w:val="right"/>
            </w:pPr>
            <w:r>
              <w:t xml:space="preserve">2013-2022</w:t>
            </w:r>
          </w:p>
        </w:tc>
        <w:tc>
          <w:tcPr/>
          <w:p>
            <w:pPr>
              <w:pStyle w:val="Compact"/>
              <w:jc w:val="right"/>
            </w:pPr>
            <w:r>
              <w:t xml:space="preserve">1.12</w:t>
            </w:r>
          </w:p>
        </w:tc>
        <w:tc>
          <w:tcPr/>
          <w:p>
            <w:pPr>
              <w:pStyle w:val="Compact"/>
              <w:jc w:val="right"/>
            </w:pPr>
            <w:r>
              <w:t xml:space="preserve">0.90</w:t>
            </w:r>
          </w:p>
        </w:tc>
        <w:tc>
          <w:tcPr/>
          <w:p>
            <w:pPr>
              <w:pStyle w:val="Compact"/>
              <w:jc w:val="right"/>
            </w:pPr>
            <w:r>
              <w:t xml:space="preserve">1.25</w:t>
            </w:r>
          </w:p>
        </w:tc>
        <w:tc>
          <w:tcPr/>
          <w:p>
            <w:pPr>
              <w:pStyle w:val="Compact"/>
              <w:jc w:val="right"/>
            </w:pPr>
            <w:r>
              <w:t xml:space="preserve">0.430</w:t>
            </w:r>
          </w:p>
        </w:tc>
        <w:tc>
          <w:tcPr/>
          <w:p>
            <w:pPr>
              <w:pStyle w:val="Compact"/>
              <w:jc w:val="right"/>
            </w:pPr>
            <w:r>
              <w:t xml:space="preserve">0.730</w:t>
            </w:r>
          </w:p>
        </w:tc>
      </w:tr>
      <w:tr>
        <w:tc>
          <w:tcPr/>
          <w:p>
            <w:pPr>
              <w:pStyle w:val="Compact"/>
              <w:jc w:val="left"/>
            </w:pPr>
            <w:r>
              <w:t xml:space="preserve">TB, UK born</w:t>
            </w:r>
          </w:p>
        </w:tc>
        <w:tc>
          <w:tcPr/>
          <w:p>
            <w:pPr>
              <w:pStyle w:val="Compact"/>
              <w:jc w:val="right"/>
            </w:pPr>
            <w:r>
              <w:t xml:space="preserve">levothyroxine</w:t>
            </w:r>
          </w:p>
        </w:tc>
        <w:tc>
          <w:tcPr/>
          <w:p>
            <w:pPr>
              <w:pStyle w:val="Compact"/>
              <w:jc w:val="right"/>
            </w:pPr>
            <w:r>
              <w:t xml:space="preserve">none</w:t>
            </w:r>
          </w:p>
        </w:tc>
        <w:tc>
          <w:tcPr/>
          <w:p>
            <w:pPr>
              <w:pStyle w:val="Compact"/>
              <w:jc w:val="right"/>
            </w:pPr>
            <w:r>
              <w:t xml:space="preserve">2013-2022</w:t>
            </w:r>
          </w:p>
        </w:tc>
        <w:tc>
          <w:tcPr/>
          <w:p>
            <w:pPr>
              <w:pStyle w:val="Compact"/>
              <w:jc w:val="right"/>
            </w:pPr>
            <w:r>
              <w:t xml:space="preserve">0.94</w:t>
            </w:r>
          </w:p>
        </w:tc>
        <w:tc>
          <w:tcPr/>
          <w:p>
            <w:pPr>
              <w:pStyle w:val="Compact"/>
              <w:jc w:val="right"/>
            </w:pPr>
            <w:r>
              <w:t xml:space="preserve">0.91</w:t>
            </w:r>
          </w:p>
        </w:tc>
        <w:tc>
          <w:tcPr/>
          <w:p>
            <w:pPr>
              <w:pStyle w:val="Compact"/>
              <w:jc w:val="right"/>
            </w:pPr>
            <w:r>
              <w:t xml:space="preserve">1.03</w:t>
            </w:r>
          </w:p>
        </w:tc>
        <w:tc>
          <w:tcPr/>
          <w:p>
            <w:pPr>
              <w:pStyle w:val="Compact"/>
              <w:jc w:val="right"/>
            </w:pPr>
            <w:r>
              <w:t xml:space="preserve">0.953</w:t>
            </w:r>
          </w:p>
        </w:tc>
        <w:tc>
          <w:tcPr/>
          <w:p>
            <w:pPr>
              <w:pStyle w:val="Compact"/>
              <w:jc w:val="right"/>
            </w:pPr>
            <w:r>
              <w:t xml:space="preserve">0.830</w:t>
            </w:r>
          </w:p>
        </w:tc>
      </w:tr>
      <w:tr>
        <w:tc>
          <w:tcPr/>
          <w:p>
            <w:pPr>
              <w:pStyle w:val="Compact"/>
              <w:jc w:val="left"/>
            </w:pPr>
            <w:r>
              <w:t xml:space="preserve">TB, UK born</w:t>
            </w:r>
          </w:p>
        </w:tc>
        <w:tc>
          <w:tcPr/>
          <w:p>
            <w:pPr>
              <w:pStyle w:val="Compact"/>
              <w:jc w:val="right"/>
            </w:pPr>
            <w:r>
              <w:t xml:space="preserve">levothyroxine</w:t>
            </w:r>
          </w:p>
        </w:tc>
        <w:tc>
          <w:tcPr/>
          <w:p>
            <w:pPr>
              <w:pStyle w:val="Compact"/>
              <w:jc w:val="right"/>
            </w:pPr>
            <w:r>
              <w:t xml:space="preserve">London</w:t>
            </w:r>
          </w:p>
        </w:tc>
        <w:tc>
          <w:tcPr/>
          <w:p>
            <w:pPr>
              <w:pStyle w:val="Compact"/>
              <w:jc w:val="right"/>
            </w:pPr>
            <w:r>
              <w:t xml:space="preserve">2013-2022</w:t>
            </w:r>
          </w:p>
        </w:tc>
        <w:tc>
          <w:tcPr/>
          <w:p>
            <w:pPr>
              <w:pStyle w:val="Compact"/>
              <w:jc w:val="right"/>
            </w:pPr>
            <w:r>
              <w:t xml:space="preserve">1.20</w:t>
            </w:r>
          </w:p>
        </w:tc>
        <w:tc>
          <w:tcPr/>
          <w:p>
            <w:pPr>
              <w:pStyle w:val="Compact"/>
              <w:jc w:val="right"/>
            </w:pPr>
            <w:r>
              <w:t xml:space="preserve">1.23</w:t>
            </w:r>
          </w:p>
        </w:tc>
        <w:tc>
          <w:tcPr/>
          <w:p>
            <w:pPr>
              <w:pStyle w:val="Compact"/>
              <w:jc w:val="right"/>
            </w:pPr>
            <w:r>
              <w:t xml:space="preserve">0.97</w:t>
            </w:r>
          </w:p>
        </w:tc>
        <w:tc>
          <w:tcPr/>
          <w:p>
            <w:pPr>
              <w:pStyle w:val="Compact"/>
              <w:jc w:val="right"/>
            </w:pPr>
            <w:r>
              <w:t xml:space="preserve">0.945</w:t>
            </w:r>
          </w:p>
        </w:tc>
        <w:tc>
          <w:tcPr/>
          <w:p>
            <w:pPr>
              <w:pStyle w:val="Compact"/>
              <w:jc w:val="right"/>
            </w:pPr>
            <w:r>
              <w:t xml:space="preserve">0.634</w:t>
            </w:r>
          </w:p>
        </w:tc>
      </w:tr>
      <w:tr>
        <w:tc>
          <w:tcPr/>
          <w:p>
            <w:pPr>
              <w:pStyle w:val="Compact"/>
              <w:jc w:val="left"/>
            </w:pPr>
            <w:r>
              <w:t xml:space="preserve">TB, Non-UK born</w:t>
            </w:r>
          </w:p>
        </w:tc>
        <w:tc>
          <w:tcPr/>
          <w:p>
            <w:pPr>
              <w:pStyle w:val="Compact"/>
              <w:jc w:val="right"/>
            </w:pPr>
            <w:r>
              <w:t xml:space="preserve">oral_glucocorticoids</w:t>
            </w:r>
          </w:p>
        </w:tc>
        <w:tc>
          <w:tcPr/>
          <w:p>
            <w:pPr>
              <w:pStyle w:val="Compact"/>
              <w:jc w:val="right"/>
            </w:pPr>
            <w:r>
              <w:t xml:space="preserve">none</w:t>
            </w:r>
          </w:p>
        </w:tc>
        <w:tc>
          <w:tcPr/>
          <w:p>
            <w:pPr>
              <w:pStyle w:val="Compact"/>
              <w:jc w:val="right"/>
            </w:pPr>
            <w:r>
              <w:t xml:space="preserve">2013-2022</w:t>
            </w:r>
          </w:p>
        </w:tc>
        <w:tc>
          <w:tcPr/>
          <w:p>
            <w:pPr>
              <w:pStyle w:val="Compact"/>
              <w:jc w:val="right"/>
            </w:pPr>
            <w:r>
              <w:t xml:space="preserve">0.98</w:t>
            </w:r>
          </w:p>
        </w:tc>
        <w:tc>
          <w:tcPr/>
          <w:p>
            <w:pPr>
              <w:pStyle w:val="Compact"/>
              <w:jc w:val="right"/>
            </w:pPr>
            <w:r>
              <w:t xml:space="preserve">1.38</w:t>
            </w:r>
          </w:p>
        </w:tc>
        <w:tc>
          <w:tcPr/>
          <w:p>
            <w:pPr>
              <w:pStyle w:val="Compact"/>
              <w:jc w:val="right"/>
            </w:pPr>
            <w:r>
              <w:t xml:space="preserve">0.71</w:t>
            </w:r>
          </w:p>
        </w:tc>
        <w:tc>
          <w:tcPr/>
          <w:p>
            <w:pPr>
              <w:pStyle w:val="Compact"/>
              <w:jc w:val="right"/>
            </w:pPr>
            <w:r>
              <w:t xml:space="preserve">0.181</w:t>
            </w:r>
          </w:p>
        </w:tc>
        <w:tc>
          <w:tcPr/>
          <w:p>
            <w:pPr>
              <w:pStyle w:val="Compact"/>
              <w:jc w:val="right"/>
            </w:pPr>
            <w:r>
              <w:t xml:space="preserve">0.916</w:t>
            </w:r>
          </w:p>
        </w:tc>
      </w:tr>
      <w:tr>
        <w:tc>
          <w:tcPr/>
          <w:p>
            <w:pPr>
              <w:pStyle w:val="Compact"/>
              <w:jc w:val="left"/>
            </w:pPr>
            <w:r>
              <w:t xml:space="preserve">TB, Non-UK born</w:t>
            </w:r>
          </w:p>
        </w:tc>
        <w:tc>
          <w:tcPr/>
          <w:p>
            <w:pPr>
              <w:pStyle w:val="Compact"/>
              <w:jc w:val="right"/>
            </w:pPr>
            <w:r>
              <w:t xml:space="preserve">mg_pred_equivalent</w:t>
            </w:r>
          </w:p>
        </w:tc>
        <w:tc>
          <w:tcPr/>
          <w:p>
            <w:pPr>
              <w:pStyle w:val="Compact"/>
              <w:jc w:val="right"/>
            </w:pPr>
            <w:r>
              <w:t xml:space="preserve">none</w:t>
            </w:r>
          </w:p>
        </w:tc>
        <w:tc>
          <w:tcPr/>
          <w:p>
            <w:pPr>
              <w:pStyle w:val="Compact"/>
              <w:jc w:val="right"/>
            </w:pPr>
            <w:r>
              <w:t xml:space="preserve">2013-2022</w:t>
            </w:r>
          </w:p>
        </w:tc>
        <w:tc>
          <w:tcPr/>
          <w:p>
            <w:pPr>
              <w:pStyle w:val="Compact"/>
              <w:jc w:val="right"/>
            </w:pPr>
            <w:r>
              <w:t xml:space="preserve">1.14</w:t>
            </w:r>
          </w:p>
        </w:tc>
        <w:tc>
          <w:tcPr/>
          <w:p>
            <w:pPr>
              <w:pStyle w:val="Compact"/>
              <w:jc w:val="right"/>
            </w:pPr>
            <w:r>
              <w:t xml:space="preserve">1.27</w:t>
            </w:r>
          </w:p>
        </w:tc>
        <w:tc>
          <w:tcPr/>
          <w:p>
            <w:pPr>
              <w:pStyle w:val="Compact"/>
              <w:jc w:val="right"/>
            </w:pPr>
            <w:r>
              <w:t xml:space="preserve">0.89</w:t>
            </w:r>
          </w:p>
        </w:tc>
        <w:tc>
          <w:tcPr/>
          <w:p>
            <w:pPr>
              <w:pStyle w:val="Compact"/>
              <w:jc w:val="right"/>
            </w:pPr>
            <w:r>
              <w:t xml:space="preserve">0.653</w:t>
            </w:r>
          </w:p>
        </w:tc>
        <w:tc>
          <w:tcPr/>
          <w:p>
            <w:pPr>
              <w:pStyle w:val="Compact"/>
              <w:jc w:val="right"/>
            </w:pPr>
            <w:r>
              <w:t xml:space="preserve">0.502</w:t>
            </w:r>
          </w:p>
        </w:tc>
      </w:tr>
      <w:tr>
        <w:tc>
          <w:tcPr/>
          <w:p>
            <w:pPr>
              <w:pStyle w:val="Compact"/>
              <w:jc w:val="left"/>
            </w:pPr>
            <w:r>
              <w:t xml:space="preserve">TB, Non-UK born</w:t>
            </w:r>
          </w:p>
        </w:tc>
        <w:tc>
          <w:tcPr/>
          <w:p>
            <w:pPr>
              <w:pStyle w:val="Compact"/>
              <w:jc w:val="right"/>
            </w:pPr>
            <w:r>
              <w:t xml:space="preserve">levothyroxine</w:t>
            </w:r>
          </w:p>
        </w:tc>
        <w:tc>
          <w:tcPr/>
          <w:p>
            <w:pPr>
              <w:pStyle w:val="Compact"/>
              <w:jc w:val="right"/>
            </w:pPr>
            <w:r>
              <w:t xml:space="preserve">none</w:t>
            </w:r>
          </w:p>
        </w:tc>
        <w:tc>
          <w:tcPr/>
          <w:p>
            <w:pPr>
              <w:pStyle w:val="Compact"/>
              <w:jc w:val="right"/>
            </w:pPr>
            <w:r>
              <w:t xml:space="preserve">2013-2022</w:t>
            </w:r>
          </w:p>
        </w:tc>
        <w:tc>
          <w:tcPr/>
          <w:p>
            <w:pPr>
              <w:pStyle w:val="Compact"/>
              <w:jc w:val="right"/>
            </w:pPr>
            <w:r>
              <w:t xml:space="preserve">0.95</w:t>
            </w:r>
          </w:p>
        </w:tc>
        <w:tc>
          <w:tcPr/>
          <w:p>
            <w:pPr>
              <w:pStyle w:val="Compact"/>
              <w:jc w:val="right"/>
            </w:pPr>
            <w:r>
              <w:t xml:space="preserve">1.00</w:t>
            </w:r>
          </w:p>
        </w:tc>
        <w:tc>
          <w:tcPr/>
          <w:p>
            <w:pPr>
              <w:pStyle w:val="Compact"/>
              <w:jc w:val="right"/>
            </w:pPr>
            <w:r>
              <w:t xml:space="preserve">0.94</w:t>
            </w:r>
          </w:p>
        </w:tc>
        <w:tc>
          <w:tcPr/>
          <w:p>
            <w:pPr>
              <w:pStyle w:val="Compact"/>
              <w:jc w:val="right"/>
            </w:pPr>
            <w:r>
              <w:t xml:space="preserve">0.903</w:t>
            </w:r>
          </w:p>
        </w:tc>
        <w:tc>
          <w:tcPr/>
          <w:p>
            <w:pPr>
              <w:pStyle w:val="Compact"/>
              <w:jc w:val="right"/>
            </w:pPr>
            <w:r>
              <w:t xml:space="preserve">0.830</w:t>
            </w:r>
          </w:p>
        </w:tc>
      </w:tr>
      <w:tr>
        <w:tc>
          <w:tcPr/>
          <w:p>
            <w:pPr>
              <w:pStyle w:val="Compact"/>
              <w:jc w:val="left"/>
            </w:pPr>
            <w:r>
              <w:t xml:space="preserve">TB, UK born aged 65+</w:t>
            </w:r>
          </w:p>
        </w:tc>
        <w:tc>
          <w:tcPr/>
          <w:p>
            <w:pPr>
              <w:pStyle w:val="Compact"/>
              <w:jc w:val="right"/>
            </w:pPr>
            <w:r>
              <w:t xml:space="preserve">oral_glucocorticoids</w:t>
            </w:r>
          </w:p>
        </w:tc>
        <w:tc>
          <w:tcPr/>
          <w:p>
            <w:pPr>
              <w:pStyle w:val="Compact"/>
              <w:jc w:val="right"/>
            </w:pPr>
            <w:r>
              <w:t xml:space="preserve">none</w:t>
            </w:r>
          </w:p>
        </w:tc>
        <w:tc>
          <w:tcPr/>
          <w:p>
            <w:pPr>
              <w:pStyle w:val="Compact"/>
              <w:jc w:val="right"/>
            </w:pPr>
            <w:r>
              <w:t xml:space="preserve">2013-2022</w:t>
            </w:r>
          </w:p>
        </w:tc>
        <w:tc>
          <w:tcPr/>
          <w:p>
            <w:pPr>
              <w:pStyle w:val="Compact"/>
              <w:jc w:val="right"/>
            </w:pPr>
            <w:r>
              <w:t xml:space="preserve">0.87</w:t>
            </w:r>
          </w:p>
        </w:tc>
        <w:tc>
          <w:tcPr/>
          <w:p>
            <w:pPr>
              <w:pStyle w:val="Compact"/>
              <w:jc w:val="right"/>
            </w:pPr>
            <w:r>
              <w:t xml:space="preserve">1.79</w:t>
            </w:r>
          </w:p>
        </w:tc>
        <w:tc>
          <w:tcPr/>
          <w:p>
            <w:pPr>
              <w:pStyle w:val="Compact"/>
              <w:jc w:val="right"/>
            </w:pPr>
            <w:r>
              <w:t xml:space="preserve">0.49</w:t>
            </w:r>
          </w:p>
        </w:tc>
        <w:tc>
          <w:tcPr/>
          <w:p>
            <w:pPr>
              <w:pStyle w:val="Compact"/>
              <w:jc w:val="right"/>
            </w:pPr>
            <w:r>
              <w:t xml:space="preserve">0.065</w:t>
            </w:r>
          </w:p>
        </w:tc>
        <w:tc>
          <w:tcPr/>
          <w:p>
            <w:pPr>
              <w:pStyle w:val="Compact"/>
              <w:jc w:val="right"/>
            </w:pPr>
            <w:r>
              <w:t xml:space="preserve">0.506</w:t>
            </w:r>
          </w:p>
        </w:tc>
      </w:tr>
      <w:tr>
        <w:tc>
          <w:tcPr/>
          <w:p>
            <w:pPr>
              <w:pStyle w:val="Compact"/>
              <w:jc w:val="left"/>
            </w:pPr>
            <w:r>
              <w:t xml:space="preserve">TB, UK born aged 65+</w:t>
            </w:r>
          </w:p>
        </w:tc>
        <w:tc>
          <w:tcPr/>
          <w:p>
            <w:pPr>
              <w:pStyle w:val="Compact"/>
              <w:jc w:val="right"/>
            </w:pPr>
            <w:r>
              <w:t xml:space="preserve">mg_pred_equivalent</w:t>
            </w:r>
          </w:p>
        </w:tc>
        <w:tc>
          <w:tcPr/>
          <w:p>
            <w:pPr>
              <w:pStyle w:val="Compact"/>
              <w:jc w:val="right"/>
            </w:pPr>
            <w:r>
              <w:t xml:space="preserve">none</w:t>
            </w:r>
          </w:p>
        </w:tc>
        <w:tc>
          <w:tcPr/>
          <w:p>
            <w:pPr>
              <w:pStyle w:val="Compact"/>
              <w:jc w:val="right"/>
            </w:pPr>
            <w:r>
              <w:t xml:space="preserve">2013-2022</w:t>
            </w:r>
          </w:p>
        </w:tc>
        <w:tc>
          <w:tcPr/>
          <w:p>
            <w:pPr>
              <w:pStyle w:val="Compact"/>
              <w:jc w:val="right"/>
            </w:pPr>
            <w:r>
              <w:t xml:space="preserve">1.08</w:t>
            </w:r>
          </w:p>
        </w:tc>
        <w:tc>
          <w:tcPr/>
          <w:p>
            <w:pPr>
              <w:pStyle w:val="Compact"/>
              <w:jc w:val="right"/>
            </w:pPr>
            <w:r>
              <w:t xml:space="preserve">1.57</w:t>
            </w:r>
          </w:p>
        </w:tc>
        <w:tc>
          <w:tcPr/>
          <w:p>
            <w:pPr>
              <w:pStyle w:val="Compact"/>
              <w:jc w:val="right"/>
            </w:pPr>
            <w:r>
              <w:t xml:space="preserve">0.69</w:t>
            </w:r>
          </w:p>
        </w:tc>
        <w:tc>
          <w:tcPr/>
          <w:p>
            <w:pPr>
              <w:pStyle w:val="Compact"/>
              <w:jc w:val="right"/>
            </w:pPr>
            <w:r>
              <w:t xml:space="preserve">0.306</w:t>
            </w:r>
          </w:p>
        </w:tc>
        <w:tc>
          <w:tcPr/>
          <w:p>
            <w:pPr>
              <w:pStyle w:val="Compact"/>
              <w:jc w:val="right"/>
            </w:pPr>
            <w:r>
              <w:t xml:space="preserve">0.786</w:t>
            </w:r>
          </w:p>
        </w:tc>
      </w:tr>
      <w:tr>
        <w:tc>
          <w:tcPr/>
          <w:p>
            <w:pPr>
              <w:pStyle w:val="Compact"/>
              <w:jc w:val="left"/>
            </w:pPr>
            <w:r>
              <w:t xml:space="preserve">TB, UK born aged 65+</w:t>
            </w:r>
          </w:p>
        </w:tc>
        <w:tc>
          <w:tcPr/>
          <w:p>
            <w:pPr>
              <w:pStyle w:val="Compact"/>
              <w:jc w:val="right"/>
            </w:pPr>
            <w:r>
              <w:t xml:space="preserve">levothyroxine</w:t>
            </w:r>
          </w:p>
        </w:tc>
        <w:tc>
          <w:tcPr/>
          <w:p>
            <w:pPr>
              <w:pStyle w:val="Compact"/>
              <w:jc w:val="right"/>
            </w:pPr>
            <w:r>
              <w:t xml:space="preserve">none</w:t>
            </w:r>
          </w:p>
        </w:tc>
        <w:tc>
          <w:tcPr/>
          <w:p>
            <w:pPr>
              <w:pStyle w:val="Compact"/>
              <w:jc w:val="right"/>
            </w:pPr>
            <w:r>
              <w:t xml:space="preserve">2013-2022</w:t>
            </w:r>
          </w:p>
        </w:tc>
        <w:tc>
          <w:tcPr/>
          <w:p>
            <w:pPr>
              <w:pStyle w:val="Compact"/>
              <w:jc w:val="right"/>
            </w:pPr>
            <w:r>
              <w:t xml:space="preserve">1.00</w:t>
            </w:r>
          </w:p>
        </w:tc>
        <w:tc>
          <w:tcPr/>
          <w:p>
            <w:pPr>
              <w:pStyle w:val="Compact"/>
              <w:jc w:val="right"/>
            </w:pPr>
            <w:r>
              <w:t xml:space="preserve">1.09</w:t>
            </w:r>
          </w:p>
        </w:tc>
        <w:tc>
          <w:tcPr/>
          <w:p>
            <w:pPr>
              <w:pStyle w:val="Compact"/>
              <w:jc w:val="right"/>
            </w:pPr>
            <w:r>
              <w:t xml:space="preserve">0.91</w:t>
            </w:r>
          </w:p>
        </w:tc>
        <w:tc>
          <w:tcPr/>
          <w:p>
            <w:pPr>
              <w:pStyle w:val="Compact"/>
              <w:jc w:val="right"/>
            </w:pPr>
            <w:r>
              <w:t xml:space="preserve">0.833</w:t>
            </w:r>
          </w:p>
        </w:tc>
        <w:tc>
          <w:tcPr/>
          <w:p>
            <w:pPr>
              <w:pStyle w:val="Compact"/>
              <w:jc w:val="right"/>
            </w:pPr>
            <w:r>
              <w:t xml:space="preserve">1.000</w:t>
            </w:r>
          </w:p>
        </w:tc>
      </w:tr>
    </w:tbl>
    <w:p>
      <w:pPr>
        <w:pStyle w:val="BodyText"/>
      </w:pPr>
      <w:r>
        <w:rPr>
          <w:b/>
          <w:bCs/>
        </w:rPr>
        <w:t xml:space="preserve">Table S7. Hospital medicines: share of DDD from trusts matched to catchments directly, via successor trusts, or unmatched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Drug group</w:t>
            </w:r>
          </w:p>
        </w:tc>
        <w:tc>
          <w:tcPr/>
          <w:p>
            <w:pPr>
              <w:pStyle w:val="Compact"/>
              <w:jc w:val="right"/>
            </w:pPr>
            <w:r>
              <w:t xml:space="preserve">Year</w:t>
            </w:r>
          </w:p>
        </w:tc>
        <w:tc>
          <w:tcPr/>
          <w:p>
            <w:pPr>
              <w:pStyle w:val="Compact"/>
              <w:jc w:val="right"/>
            </w:pPr>
            <w:r>
              <w:t xml:space="preserve">Direct</w:t>
            </w:r>
          </w:p>
        </w:tc>
        <w:tc>
          <w:tcPr/>
          <w:p>
            <w:pPr>
              <w:pStyle w:val="Compact"/>
              <w:jc w:val="right"/>
            </w:pPr>
            <w:r>
              <w:t xml:space="preserve">Successor</w:t>
            </w:r>
          </w:p>
        </w:tc>
        <w:tc>
          <w:tcPr/>
          <w:p>
            <w:pPr>
              <w:pStyle w:val="Compact"/>
              <w:jc w:val="right"/>
            </w:pPr>
            <w:r>
              <w:t xml:space="preserve">Unmatched</w:t>
            </w:r>
          </w:p>
        </w:tc>
      </w:tr>
      <w:tr>
        <w:tc>
          <w:tcPr/>
          <w:p>
            <w:pPr>
              <w:pStyle w:val="Compact"/>
              <w:jc w:val="left"/>
            </w:pPr>
            <w:r>
              <w:t xml:space="preserve">Antiproliferatives</w:t>
            </w:r>
          </w:p>
        </w:tc>
        <w:tc>
          <w:tcPr/>
          <w:p>
            <w:pPr>
              <w:pStyle w:val="Compact"/>
              <w:jc w:val="right"/>
            </w:pPr>
            <w:r>
              <w:t xml:space="preserve">2019</w:t>
            </w:r>
          </w:p>
        </w:tc>
        <w:tc>
          <w:tcPr/>
          <w:p>
            <w:pPr>
              <w:pStyle w:val="Compact"/>
              <w:jc w:val="right"/>
            </w:pPr>
            <w:r>
              <w:t xml:space="preserve">90.9%</w:t>
            </w:r>
          </w:p>
        </w:tc>
        <w:tc>
          <w:tcPr/>
          <w:p>
            <w:pPr>
              <w:pStyle w:val="Compact"/>
              <w:jc w:val="right"/>
            </w:pPr>
            <w:r>
              <w:t xml:space="preserve">8.4%</w:t>
            </w:r>
          </w:p>
        </w:tc>
        <w:tc>
          <w:tcPr/>
          <w:p>
            <w:pPr>
              <w:pStyle w:val="Compact"/>
              <w:jc w:val="right"/>
            </w:pPr>
            <w:r>
              <w:t xml:space="preserve">0.7%</w:t>
            </w:r>
          </w:p>
        </w:tc>
      </w:tr>
      <w:tr>
        <w:tc>
          <w:tcPr/>
          <w:p>
            <w:pPr>
              <w:pStyle w:val="Compact"/>
              <w:jc w:val="left"/>
            </w:pPr>
            <w:r>
              <w:t xml:space="preserve">Antiproliferatives</w:t>
            </w:r>
          </w:p>
        </w:tc>
        <w:tc>
          <w:tcPr/>
          <w:p>
            <w:pPr>
              <w:pStyle w:val="Compact"/>
              <w:jc w:val="right"/>
            </w:pPr>
            <w:r>
              <w:t xml:space="preserve">2020</w:t>
            </w:r>
          </w:p>
        </w:tc>
        <w:tc>
          <w:tcPr/>
          <w:p>
            <w:pPr>
              <w:pStyle w:val="Compact"/>
              <w:jc w:val="right"/>
            </w:pPr>
            <w:r>
              <w:t xml:space="preserve">93.8%</w:t>
            </w:r>
          </w:p>
        </w:tc>
        <w:tc>
          <w:tcPr/>
          <w:p>
            <w:pPr>
              <w:pStyle w:val="Compact"/>
              <w:jc w:val="right"/>
            </w:pPr>
            <w:r>
              <w:t xml:space="preserve">4.8%</w:t>
            </w:r>
          </w:p>
        </w:tc>
        <w:tc>
          <w:tcPr/>
          <w:p>
            <w:pPr>
              <w:pStyle w:val="Compact"/>
              <w:jc w:val="right"/>
            </w:pPr>
            <w:r>
              <w:t xml:space="preserve">1.4%</w:t>
            </w:r>
          </w:p>
        </w:tc>
      </w:tr>
      <w:tr>
        <w:tc>
          <w:tcPr/>
          <w:p>
            <w:pPr>
              <w:pStyle w:val="Compact"/>
              <w:jc w:val="left"/>
            </w:pPr>
            <w:r>
              <w:t xml:space="preserve">Antiproliferatives</w:t>
            </w:r>
          </w:p>
        </w:tc>
        <w:tc>
          <w:tcPr/>
          <w:p>
            <w:pPr>
              <w:pStyle w:val="Compact"/>
              <w:jc w:val="right"/>
            </w:pPr>
            <w:r>
              <w:t xml:space="preserve">2021</w:t>
            </w:r>
          </w:p>
        </w:tc>
        <w:tc>
          <w:tcPr/>
          <w:p>
            <w:pPr>
              <w:pStyle w:val="Compact"/>
              <w:jc w:val="right"/>
            </w:pPr>
            <w:r>
              <w:t xml:space="preserve">96.4%</w:t>
            </w:r>
          </w:p>
        </w:tc>
        <w:tc>
          <w:tcPr/>
          <w:p>
            <w:pPr>
              <w:pStyle w:val="Compact"/>
              <w:jc w:val="right"/>
            </w:pPr>
            <w:r>
              <w:t xml:space="preserve">2.4%</w:t>
            </w:r>
          </w:p>
        </w:tc>
        <w:tc>
          <w:tcPr/>
          <w:p>
            <w:pPr>
              <w:pStyle w:val="Compact"/>
              <w:jc w:val="right"/>
            </w:pPr>
            <w:r>
              <w:t xml:space="preserve">1.2%</w:t>
            </w:r>
          </w:p>
        </w:tc>
      </w:tr>
      <w:tr>
        <w:tc>
          <w:tcPr/>
          <w:p>
            <w:pPr>
              <w:pStyle w:val="Compact"/>
              <w:jc w:val="left"/>
            </w:pPr>
            <w:r>
              <w:t xml:space="preserve">Antiproliferatives</w:t>
            </w:r>
          </w:p>
        </w:tc>
        <w:tc>
          <w:tcPr/>
          <w:p>
            <w:pPr>
              <w:pStyle w:val="Compact"/>
              <w:jc w:val="right"/>
            </w:pPr>
            <w:r>
              <w:t xml:space="preserve">2022</w:t>
            </w:r>
          </w:p>
        </w:tc>
        <w:tc>
          <w:tcPr/>
          <w:p>
            <w:pPr>
              <w:pStyle w:val="Compact"/>
              <w:jc w:val="right"/>
            </w:pPr>
            <w:r>
              <w:t xml:space="preserve">97.7%</w:t>
            </w:r>
          </w:p>
        </w:tc>
        <w:tc>
          <w:tcPr/>
          <w:p>
            <w:pPr>
              <w:pStyle w:val="Compact"/>
              <w:jc w:val="right"/>
            </w:pPr>
            <w:r>
              <w:t xml:space="preserve">0.7%</w:t>
            </w:r>
          </w:p>
        </w:tc>
        <w:tc>
          <w:tcPr/>
          <w:p>
            <w:pPr>
              <w:pStyle w:val="Compact"/>
              <w:jc w:val="right"/>
            </w:pPr>
            <w:r>
              <w:t xml:space="preserve">1.6%</w:t>
            </w:r>
          </w:p>
        </w:tc>
      </w:tr>
      <w:tr>
        <w:tc>
          <w:tcPr/>
          <w:p>
            <w:pPr>
              <w:pStyle w:val="Compact"/>
              <w:jc w:val="left"/>
            </w:pPr>
            <w:r>
              <w:t xml:space="preserve">Antiproliferatives</w:t>
            </w:r>
          </w:p>
        </w:tc>
        <w:tc>
          <w:tcPr/>
          <w:p>
            <w:pPr>
              <w:pStyle w:val="Compact"/>
              <w:jc w:val="right"/>
            </w:pPr>
            <w:r>
              <w:t xml:space="preserve">2023</w:t>
            </w:r>
          </w:p>
        </w:tc>
        <w:tc>
          <w:tcPr/>
          <w:p>
            <w:pPr>
              <w:pStyle w:val="Compact"/>
              <w:jc w:val="right"/>
            </w:pPr>
            <w:r>
              <w:t xml:space="preserve">97.6%</w:t>
            </w:r>
          </w:p>
        </w:tc>
        <w:tc>
          <w:tcPr/>
          <w:p>
            <w:pPr>
              <w:pStyle w:val="Compact"/>
              <w:jc w:val="right"/>
            </w:pPr>
            <w:r>
              <w:t xml:space="preserve">0.5%</w:t>
            </w:r>
          </w:p>
        </w:tc>
        <w:tc>
          <w:tcPr/>
          <w:p>
            <w:pPr>
              <w:pStyle w:val="Compact"/>
              <w:jc w:val="right"/>
            </w:pPr>
            <w:r>
              <w:t xml:space="preserve">1.9%</w:t>
            </w:r>
          </w:p>
        </w:tc>
      </w:tr>
      <w:tr>
        <w:tc>
          <w:tcPr/>
          <w:p>
            <w:pPr>
              <w:pStyle w:val="Compact"/>
              <w:jc w:val="left"/>
            </w:pPr>
            <w:r>
              <w:t xml:space="preserve">Antiproliferatives</w:t>
            </w:r>
          </w:p>
        </w:tc>
        <w:tc>
          <w:tcPr/>
          <w:p>
            <w:pPr>
              <w:pStyle w:val="Compact"/>
              <w:jc w:val="right"/>
            </w:pPr>
            <w:r>
              <w:t xml:space="preserve">2024</w:t>
            </w:r>
          </w:p>
        </w:tc>
        <w:tc>
          <w:tcPr/>
          <w:p>
            <w:pPr>
              <w:pStyle w:val="Compact"/>
              <w:jc w:val="right"/>
            </w:pPr>
            <w:r>
              <w:t xml:space="preserve">97.7%</w:t>
            </w:r>
          </w:p>
        </w:tc>
        <w:tc>
          <w:tcPr/>
          <w:p>
            <w:pPr>
              <w:pStyle w:val="Compact"/>
              <w:jc w:val="right"/>
            </w:pPr>
            <w:r>
              <w:t xml:space="preserve">0.4%</w:t>
            </w:r>
          </w:p>
        </w:tc>
        <w:tc>
          <w:tcPr/>
          <w:p>
            <w:pPr>
              <w:pStyle w:val="Compact"/>
              <w:jc w:val="right"/>
            </w:pPr>
            <w:r>
              <w:t xml:space="preserve">1.9%</w:t>
            </w:r>
          </w:p>
        </w:tc>
      </w:tr>
      <w:tr>
        <w:tc>
          <w:tcPr/>
          <w:p>
            <w:pPr>
              <w:pStyle w:val="Compact"/>
              <w:jc w:val="left"/>
            </w:pPr>
            <w:r>
              <w:t xml:space="preserve">Active-TB treatment (pyrazinamide DDD, including fixed-dose combinations; positive control)</w:t>
            </w:r>
          </w:p>
        </w:tc>
        <w:tc>
          <w:tcPr/>
          <w:p>
            <w:pPr>
              <w:pStyle w:val="Compact"/>
              <w:jc w:val="right"/>
            </w:pPr>
            <w:r>
              <w:t xml:space="preserve">2019</w:t>
            </w:r>
          </w:p>
        </w:tc>
        <w:tc>
          <w:tcPr/>
          <w:p>
            <w:pPr>
              <w:pStyle w:val="Compact"/>
              <w:jc w:val="right"/>
            </w:pPr>
            <w:r>
              <w:t xml:space="preserve">90.9%</w:t>
            </w:r>
          </w:p>
        </w:tc>
        <w:tc>
          <w:tcPr/>
          <w:p>
            <w:pPr>
              <w:pStyle w:val="Compact"/>
              <w:jc w:val="right"/>
            </w:pPr>
            <w:r>
              <w:t xml:space="preserve">8.9%</w:t>
            </w:r>
          </w:p>
        </w:tc>
        <w:tc>
          <w:tcPr/>
          <w:p>
            <w:pPr>
              <w:pStyle w:val="Compact"/>
              <w:jc w:val="right"/>
            </w:pPr>
            <w:r>
              <w:t xml:space="preserve">0.3%</w:t>
            </w:r>
          </w:p>
        </w:tc>
      </w:tr>
      <w:tr>
        <w:tc>
          <w:tcPr/>
          <w:p>
            <w:pPr>
              <w:pStyle w:val="Compact"/>
              <w:jc w:val="left"/>
            </w:pPr>
            <w:r>
              <w:t xml:space="preserve">Active-TB treatment (pyrazinamide DDD, including fixed-dose combinations; positive control)</w:t>
            </w:r>
          </w:p>
        </w:tc>
        <w:tc>
          <w:tcPr/>
          <w:p>
            <w:pPr>
              <w:pStyle w:val="Compact"/>
              <w:jc w:val="right"/>
            </w:pPr>
            <w:r>
              <w:t xml:space="preserve">2020</w:t>
            </w:r>
          </w:p>
        </w:tc>
        <w:tc>
          <w:tcPr/>
          <w:p>
            <w:pPr>
              <w:pStyle w:val="Compact"/>
              <w:jc w:val="right"/>
            </w:pPr>
            <w:r>
              <w:t xml:space="preserve">94.2%</w:t>
            </w:r>
          </w:p>
        </w:tc>
        <w:tc>
          <w:tcPr/>
          <w:p>
            <w:pPr>
              <w:pStyle w:val="Compact"/>
              <w:jc w:val="right"/>
            </w:pPr>
            <w:r>
              <w:t xml:space="preserve">5.7%</w:t>
            </w:r>
          </w:p>
        </w:tc>
        <w:tc>
          <w:tcPr/>
          <w:p>
            <w:pPr>
              <w:pStyle w:val="Compact"/>
              <w:jc w:val="right"/>
            </w:pPr>
            <w:r>
              <w:t xml:space="preserve">0.1%</w:t>
            </w:r>
          </w:p>
        </w:tc>
      </w:tr>
      <w:tr>
        <w:tc>
          <w:tcPr/>
          <w:p>
            <w:pPr>
              <w:pStyle w:val="Compact"/>
              <w:jc w:val="left"/>
            </w:pPr>
            <w:r>
              <w:t xml:space="preserve">Active-TB treatment (pyrazinamide DDD, including fixed-dose combinations; positive control)</w:t>
            </w:r>
          </w:p>
        </w:tc>
        <w:tc>
          <w:tcPr/>
          <w:p>
            <w:pPr>
              <w:pStyle w:val="Compact"/>
              <w:jc w:val="right"/>
            </w:pPr>
            <w:r>
              <w:t xml:space="preserve">2021</w:t>
            </w:r>
          </w:p>
        </w:tc>
        <w:tc>
          <w:tcPr/>
          <w:p>
            <w:pPr>
              <w:pStyle w:val="Compact"/>
              <w:jc w:val="right"/>
            </w:pPr>
            <w:r>
              <w:t xml:space="preserve">97.4%</w:t>
            </w:r>
          </w:p>
        </w:tc>
        <w:tc>
          <w:tcPr/>
          <w:p>
            <w:pPr>
              <w:pStyle w:val="Compact"/>
              <w:jc w:val="right"/>
            </w:pPr>
            <w:r>
              <w:t xml:space="preserve">2.5%</w:t>
            </w:r>
          </w:p>
        </w:tc>
        <w:tc>
          <w:tcPr/>
          <w:p>
            <w:pPr>
              <w:pStyle w:val="Compact"/>
              <w:jc w:val="right"/>
            </w:pPr>
            <w:r>
              <w:t xml:space="preserve">0.1%</w:t>
            </w:r>
          </w:p>
        </w:tc>
      </w:tr>
      <w:tr>
        <w:tc>
          <w:tcPr/>
          <w:p>
            <w:pPr>
              <w:pStyle w:val="Compact"/>
              <w:jc w:val="left"/>
            </w:pPr>
            <w:r>
              <w:t xml:space="preserve">Active-TB treatment (pyrazinamide DDD, including fixed-dose combinations; positive control)</w:t>
            </w:r>
          </w:p>
        </w:tc>
        <w:tc>
          <w:tcPr/>
          <w:p>
            <w:pPr>
              <w:pStyle w:val="Compact"/>
              <w:jc w:val="right"/>
            </w:pPr>
            <w:r>
              <w:t xml:space="preserve">2022</w:t>
            </w:r>
          </w:p>
        </w:tc>
        <w:tc>
          <w:tcPr/>
          <w:p>
            <w:pPr>
              <w:pStyle w:val="Compact"/>
              <w:jc w:val="right"/>
            </w:pPr>
            <w:r>
              <w:t xml:space="preserve">98.8%</w:t>
            </w:r>
          </w:p>
        </w:tc>
        <w:tc>
          <w:tcPr/>
          <w:p>
            <w:pPr>
              <w:pStyle w:val="Compact"/>
              <w:jc w:val="right"/>
            </w:pPr>
            <w:r>
              <w:t xml:space="preserve">1.1%</w:t>
            </w:r>
          </w:p>
        </w:tc>
        <w:tc>
          <w:tcPr/>
          <w:p>
            <w:pPr>
              <w:pStyle w:val="Compact"/>
              <w:jc w:val="right"/>
            </w:pPr>
            <w:r>
              <w:t xml:space="preserve">0.0%</w:t>
            </w:r>
          </w:p>
        </w:tc>
      </w:tr>
      <w:tr>
        <w:tc>
          <w:tcPr/>
          <w:p>
            <w:pPr>
              <w:pStyle w:val="Compact"/>
              <w:jc w:val="left"/>
            </w:pPr>
            <w:r>
              <w:t xml:space="preserve">Active-TB treatment (pyrazinamide DDD, including fixed-dose combinations; positive control)</w:t>
            </w:r>
          </w:p>
        </w:tc>
        <w:tc>
          <w:tcPr/>
          <w:p>
            <w:pPr>
              <w:pStyle w:val="Compact"/>
              <w:jc w:val="right"/>
            </w:pPr>
            <w:r>
              <w:t xml:space="preserve">2023</w:t>
            </w:r>
          </w:p>
        </w:tc>
        <w:tc>
          <w:tcPr/>
          <w:p>
            <w:pPr>
              <w:pStyle w:val="Compact"/>
              <w:jc w:val="right"/>
            </w:pPr>
            <w:r>
              <w:t xml:space="preserve">98.9%</w:t>
            </w:r>
          </w:p>
        </w:tc>
        <w:tc>
          <w:tcPr/>
          <w:p>
            <w:pPr>
              <w:pStyle w:val="Compact"/>
              <w:jc w:val="right"/>
            </w:pPr>
            <w:r>
              <w:t xml:space="preserve">1.0%</w:t>
            </w:r>
          </w:p>
        </w:tc>
        <w:tc>
          <w:tcPr/>
          <w:p>
            <w:pPr>
              <w:pStyle w:val="Compact"/>
              <w:jc w:val="right"/>
            </w:pPr>
            <w:r>
              <w:t xml:space="preserve">0.0%</w:t>
            </w:r>
          </w:p>
        </w:tc>
      </w:tr>
      <w:tr>
        <w:tc>
          <w:tcPr/>
          <w:p>
            <w:pPr>
              <w:pStyle w:val="Compact"/>
              <w:jc w:val="left"/>
            </w:pPr>
            <w:r>
              <w:t xml:space="preserve">Active-TB treatment (pyrazinamide DDD, including fixed-dose combinations; positive control)</w:t>
            </w:r>
          </w:p>
        </w:tc>
        <w:tc>
          <w:tcPr/>
          <w:p>
            <w:pPr>
              <w:pStyle w:val="Compact"/>
              <w:jc w:val="right"/>
            </w:pPr>
            <w:r>
              <w:t xml:space="preserve">2024</w:t>
            </w:r>
          </w:p>
        </w:tc>
        <w:tc>
          <w:tcPr/>
          <w:p>
            <w:pPr>
              <w:pStyle w:val="Compact"/>
              <w:jc w:val="right"/>
            </w:pPr>
            <w:r>
              <w:t xml:space="preserve">97.4%</w:t>
            </w:r>
          </w:p>
        </w:tc>
        <w:tc>
          <w:tcPr/>
          <w:p>
            <w:pPr>
              <w:pStyle w:val="Compact"/>
              <w:jc w:val="right"/>
            </w:pPr>
            <w:r>
              <w:t xml:space="preserve">1.1%</w:t>
            </w:r>
          </w:p>
        </w:tc>
        <w:tc>
          <w:tcPr/>
          <w:p>
            <w:pPr>
              <w:pStyle w:val="Compact"/>
              <w:jc w:val="right"/>
            </w:pPr>
            <w:r>
              <w:t xml:space="preserve">1.5%</w:t>
            </w:r>
          </w:p>
        </w:tc>
      </w:tr>
      <w:tr>
        <w:tc>
          <w:tcPr/>
          <w:p>
            <w:pPr>
              <w:pStyle w:val="Compact"/>
              <w:jc w:val="left"/>
            </w:pPr>
            <w:r>
              <w:t xml:space="preserve">Rifamycin/isoniazid (active and latent TB, other infections)</w:t>
            </w:r>
          </w:p>
        </w:tc>
        <w:tc>
          <w:tcPr/>
          <w:p>
            <w:pPr>
              <w:pStyle w:val="Compact"/>
              <w:jc w:val="right"/>
            </w:pPr>
            <w:r>
              <w:t xml:space="preserve">2019</w:t>
            </w:r>
          </w:p>
        </w:tc>
        <w:tc>
          <w:tcPr/>
          <w:p>
            <w:pPr>
              <w:pStyle w:val="Compact"/>
              <w:jc w:val="right"/>
            </w:pPr>
            <w:r>
              <w:t xml:space="preserve">90.6%</w:t>
            </w:r>
          </w:p>
        </w:tc>
        <w:tc>
          <w:tcPr/>
          <w:p>
            <w:pPr>
              <w:pStyle w:val="Compact"/>
              <w:jc w:val="right"/>
            </w:pPr>
            <w:r>
              <w:t xml:space="preserve">9.0%</w:t>
            </w:r>
          </w:p>
        </w:tc>
        <w:tc>
          <w:tcPr/>
          <w:p>
            <w:pPr>
              <w:pStyle w:val="Compact"/>
              <w:jc w:val="right"/>
            </w:pPr>
            <w:r>
              <w:t xml:space="preserve">0.3%</w:t>
            </w:r>
          </w:p>
        </w:tc>
      </w:tr>
      <w:tr>
        <w:tc>
          <w:tcPr/>
          <w:p>
            <w:pPr>
              <w:pStyle w:val="Compact"/>
              <w:jc w:val="left"/>
            </w:pPr>
            <w:r>
              <w:t xml:space="preserve">Rifamycin/isoniazid (active and latent TB, other infections)</w:t>
            </w:r>
          </w:p>
        </w:tc>
        <w:tc>
          <w:tcPr/>
          <w:p>
            <w:pPr>
              <w:pStyle w:val="Compact"/>
              <w:jc w:val="right"/>
            </w:pPr>
            <w:r>
              <w:t xml:space="preserve">2020</w:t>
            </w:r>
          </w:p>
        </w:tc>
        <w:tc>
          <w:tcPr/>
          <w:p>
            <w:pPr>
              <w:pStyle w:val="Compact"/>
              <w:jc w:val="right"/>
            </w:pPr>
            <w:r>
              <w:t xml:space="preserve">95.1%</w:t>
            </w:r>
          </w:p>
        </w:tc>
        <w:tc>
          <w:tcPr/>
          <w:p>
            <w:pPr>
              <w:pStyle w:val="Compact"/>
              <w:jc w:val="right"/>
            </w:pPr>
            <w:r>
              <w:t xml:space="preserve">4.6%</w:t>
            </w:r>
          </w:p>
        </w:tc>
        <w:tc>
          <w:tcPr/>
          <w:p>
            <w:pPr>
              <w:pStyle w:val="Compact"/>
              <w:jc w:val="right"/>
            </w:pPr>
            <w:r>
              <w:t xml:space="preserve">0.3%</w:t>
            </w:r>
          </w:p>
        </w:tc>
      </w:tr>
      <w:tr>
        <w:tc>
          <w:tcPr/>
          <w:p>
            <w:pPr>
              <w:pStyle w:val="Compact"/>
              <w:jc w:val="left"/>
            </w:pPr>
            <w:r>
              <w:t xml:space="preserve">Rifamycin/isoniazid (active and latent TB, other infections)</w:t>
            </w:r>
          </w:p>
        </w:tc>
        <w:tc>
          <w:tcPr/>
          <w:p>
            <w:pPr>
              <w:pStyle w:val="Compact"/>
              <w:jc w:val="right"/>
            </w:pPr>
            <w:r>
              <w:t xml:space="preserve">2021</w:t>
            </w:r>
          </w:p>
        </w:tc>
        <w:tc>
          <w:tcPr/>
          <w:p>
            <w:pPr>
              <w:pStyle w:val="Compact"/>
              <w:jc w:val="right"/>
            </w:pPr>
            <w:r>
              <w:t xml:space="preserve">97.7%</w:t>
            </w:r>
          </w:p>
        </w:tc>
        <w:tc>
          <w:tcPr/>
          <w:p>
            <w:pPr>
              <w:pStyle w:val="Compact"/>
              <w:jc w:val="right"/>
            </w:pPr>
            <w:r>
              <w:t xml:space="preserve">2.1%</w:t>
            </w:r>
          </w:p>
        </w:tc>
        <w:tc>
          <w:tcPr/>
          <w:p>
            <w:pPr>
              <w:pStyle w:val="Compact"/>
              <w:jc w:val="right"/>
            </w:pPr>
            <w:r>
              <w:t xml:space="preserve">0.2%</w:t>
            </w:r>
          </w:p>
        </w:tc>
      </w:tr>
      <w:tr>
        <w:tc>
          <w:tcPr/>
          <w:p>
            <w:pPr>
              <w:pStyle w:val="Compact"/>
              <w:jc w:val="left"/>
            </w:pPr>
            <w:r>
              <w:t xml:space="preserve">Rifamycin/isoniazid (active and latent TB, other infections)</w:t>
            </w:r>
          </w:p>
        </w:tc>
        <w:tc>
          <w:tcPr/>
          <w:p>
            <w:pPr>
              <w:pStyle w:val="Compact"/>
              <w:jc w:val="right"/>
            </w:pPr>
            <w:r>
              <w:t xml:space="preserve">2022</w:t>
            </w:r>
          </w:p>
        </w:tc>
        <w:tc>
          <w:tcPr/>
          <w:p>
            <w:pPr>
              <w:pStyle w:val="Compact"/>
              <w:jc w:val="right"/>
            </w:pPr>
            <w:r>
              <w:t xml:space="preserve">99.0%</w:t>
            </w:r>
          </w:p>
        </w:tc>
        <w:tc>
          <w:tcPr/>
          <w:p>
            <w:pPr>
              <w:pStyle w:val="Compact"/>
              <w:jc w:val="right"/>
            </w:pPr>
            <w:r>
              <w:t xml:space="preserve">0.8%</w:t>
            </w:r>
          </w:p>
        </w:tc>
        <w:tc>
          <w:tcPr/>
          <w:p>
            <w:pPr>
              <w:pStyle w:val="Compact"/>
              <w:jc w:val="right"/>
            </w:pPr>
            <w:r>
              <w:t xml:space="preserve">0.2%</w:t>
            </w:r>
          </w:p>
        </w:tc>
      </w:tr>
      <w:tr>
        <w:tc>
          <w:tcPr/>
          <w:p>
            <w:pPr>
              <w:pStyle w:val="Compact"/>
              <w:jc w:val="left"/>
            </w:pPr>
            <w:r>
              <w:t xml:space="preserve">Rifamycin/isoniazid (active and latent TB, other infections)</w:t>
            </w:r>
          </w:p>
        </w:tc>
        <w:tc>
          <w:tcPr/>
          <w:p>
            <w:pPr>
              <w:pStyle w:val="Compact"/>
              <w:jc w:val="right"/>
            </w:pPr>
            <w:r>
              <w:t xml:space="preserve">2023</w:t>
            </w:r>
          </w:p>
        </w:tc>
        <w:tc>
          <w:tcPr/>
          <w:p>
            <w:pPr>
              <w:pStyle w:val="Compact"/>
              <w:jc w:val="right"/>
            </w:pPr>
            <w:r>
              <w:t xml:space="preserve">99.0%</w:t>
            </w:r>
          </w:p>
        </w:tc>
        <w:tc>
          <w:tcPr/>
          <w:p>
            <w:pPr>
              <w:pStyle w:val="Compact"/>
              <w:jc w:val="right"/>
            </w:pPr>
            <w:r>
              <w:t xml:space="preserve">0.8%</w:t>
            </w:r>
          </w:p>
        </w:tc>
        <w:tc>
          <w:tcPr/>
          <w:p>
            <w:pPr>
              <w:pStyle w:val="Compact"/>
              <w:jc w:val="right"/>
            </w:pPr>
            <w:r>
              <w:t xml:space="preserve">0.2%</w:t>
            </w:r>
          </w:p>
        </w:tc>
      </w:tr>
      <w:tr>
        <w:tc>
          <w:tcPr/>
          <w:p>
            <w:pPr>
              <w:pStyle w:val="Compact"/>
              <w:jc w:val="left"/>
            </w:pPr>
            <w:r>
              <w:t xml:space="preserve">Rifamycin/isoniazid (active and latent TB, other infections)</w:t>
            </w:r>
          </w:p>
        </w:tc>
        <w:tc>
          <w:tcPr/>
          <w:p>
            <w:pPr>
              <w:pStyle w:val="Compact"/>
              <w:jc w:val="right"/>
            </w:pPr>
            <w:r>
              <w:t xml:space="preserve">2024</w:t>
            </w:r>
          </w:p>
        </w:tc>
        <w:tc>
          <w:tcPr/>
          <w:p>
            <w:pPr>
              <w:pStyle w:val="Compact"/>
              <w:jc w:val="right"/>
            </w:pPr>
            <w:r>
              <w:t xml:space="preserve">99.2%</w:t>
            </w:r>
          </w:p>
        </w:tc>
        <w:tc>
          <w:tcPr/>
          <w:p>
            <w:pPr>
              <w:pStyle w:val="Compact"/>
              <w:jc w:val="right"/>
            </w:pPr>
            <w:r>
              <w:t xml:space="preserve">0.6%</w:t>
            </w:r>
          </w:p>
        </w:tc>
        <w:tc>
          <w:tcPr/>
          <w:p>
            <w:pPr>
              <w:pStyle w:val="Compact"/>
              <w:jc w:val="right"/>
            </w:pPr>
            <w:r>
              <w:t xml:space="preserve">0.1%</w:t>
            </w:r>
          </w:p>
        </w:tc>
      </w:tr>
      <w:tr>
        <w:tc>
          <w:tcPr/>
          <w:p>
            <w:pPr>
              <w:pStyle w:val="Compact"/>
              <w:jc w:val="left"/>
            </w:pPr>
            <w:r>
              <w:t xml:space="preserve">Dexamethasone and hydrocortisone (descriptive)</w:t>
            </w:r>
          </w:p>
        </w:tc>
        <w:tc>
          <w:tcPr/>
          <w:p>
            <w:pPr>
              <w:pStyle w:val="Compact"/>
              <w:jc w:val="right"/>
            </w:pPr>
            <w:r>
              <w:t xml:space="preserve">2019</w:t>
            </w:r>
          </w:p>
        </w:tc>
        <w:tc>
          <w:tcPr/>
          <w:p>
            <w:pPr>
              <w:pStyle w:val="Compact"/>
              <w:jc w:val="right"/>
            </w:pPr>
            <w:r>
              <w:t xml:space="preserve">91.5%</w:t>
            </w:r>
          </w:p>
        </w:tc>
        <w:tc>
          <w:tcPr/>
          <w:p>
            <w:pPr>
              <w:pStyle w:val="Compact"/>
              <w:jc w:val="right"/>
            </w:pPr>
            <w:r>
              <w:t xml:space="preserve">8.1%</w:t>
            </w:r>
          </w:p>
        </w:tc>
        <w:tc>
          <w:tcPr/>
          <w:p>
            <w:pPr>
              <w:pStyle w:val="Compact"/>
              <w:jc w:val="right"/>
            </w:pPr>
            <w:r>
              <w:t xml:space="preserve">0.4%</w:t>
            </w:r>
          </w:p>
        </w:tc>
      </w:tr>
      <w:tr>
        <w:tc>
          <w:tcPr/>
          <w:p>
            <w:pPr>
              <w:pStyle w:val="Compact"/>
              <w:jc w:val="left"/>
            </w:pPr>
            <w:r>
              <w:t xml:space="preserve">Dexamethasone and hydrocortisone (descriptive)</w:t>
            </w:r>
          </w:p>
        </w:tc>
        <w:tc>
          <w:tcPr/>
          <w:p>
            <w:pPr>
              <w:pStyle w:val="Compact"/>
              <w:jc w:val="right"/>
            </w:pPr>
            <w:r>
              <w:t xml:space="preserve">2020</w:t>
            </w:r>
          </w:p>
        </w:tc>
        <w:tc>
          <w:tcPr/>
          <w:p>
            <w:pPr>
              <w:pStyle w:val="Compact"/>
              <w:jc w:val="right"/>
            </w:pPr>
            <w:r>
              <w:t xml:space="preserve">95.2%</w:t>
            </w:r>
          </w:p>
        </w:tc>
        <w:tc>
          <w:tcPr/>
          <w:p>
            <w:pPr>
              <w:pStyle w:val="Compact"/>
              <w:jc w:val="right"/>
            </w:pPr>
            <w:r>
              <w:t xml:space="preserve">4.4%</w:t>
            </w:r>
          </w:p>
        </w:tc>
        <w:tc>
          <w:tcPr/>
          <w:p>
            <w:pPr>
              <w:pStyle w:val="Compact"/>
              <w:jc w:val="right"/>
            </w:pPr>
            <w:r>
              <w:t xml:space="preserve">0.4%</w:t>
            </w:r>
          </w:p>
        </w:tc>
      </w:tr>
      <w:tr>
        <w:tc>
          <w:tcPr/>
          <w:p>
            <w:pPr>
              <w:pStyle w:val="Compact"/>
              <w:jc w:val="left"/>
            </w:pPr>
            <w:r>
              <w:t xml:space="preserve">Dexamethasone and hydrocortisone (descriptive)</w:t>
            </w:r>
          </w:p>
        </w:tc>
        <w:tc>
          <w:tcPr/>
          <w:p>
            <w:pPr>
              <w:pStyle w:val="Compact"/>
              <w:jc w:val="right"/>
            </w:pPr>
            <w:r>
              <w:t xml:space="preserve">2021</w:t>
            </w:r>
          </w:p>
        </w:tc>
        <w:tc>
          <w:tcPr/>
          <w:p>
            <w:pPr>
              <w:pStyle w:val="Compact"/>
              <w:jc w:val="right"/>
            </w:pPr>
            <w:r>
              <w:t xml:space="preserve">97.5%</w:t>
            </w:r>
          </w:p>
        </w:tc>
        <w:tc>
          <w:tcPr/>
          <w:p>
            <w:pPr>
              <w:pStyle w:val="Compact"/>
              <w:jc w:val="right"/>
            </w:pPr>
            <w:r>
              <w:t xml:space="preserve">2.1%</w:t>
            </w:r>
          </w:p>
        </w:tc>
        <w:tc>
          <w:tcPr/>
          <w:p>
            <w:pPr>
              <w:pStyle w:val="Compact"/>
              <w:jc w:val="right"/>
            </w:pPr>
            <w:r>
              <w:t xml:space="preserve">0.4%</w:t>
            </w:r>
          </w:p>
        </w:tc>
      </w:tr>
      <w:tr>
        <w:tc>
          <w:tcPr/>
          <w:p>
            <w:pPr>
              <w:pStyle w:val="Compact"/>
              <w:jc w:val="left"/>
            </w:pPr>
            <w:r>
              <w:t xml:space="preserve">Dexamethasone and hydrocortisone (descriptive)</w:t>
            </w:r>
          </w:p>
        </w:tc>
        <w:tc>
          <w:tcPr/>
          <w:p>
            <w:pPr>
              <w:pStyle w:val="Compact"/>
              <w:jc w:val="right"/>
            </w:pPr>
            <w:r>
              <w:t xml:space="preserve">2022</w:t>
            </w:r>
          </w:p>
        </w:tc>
        <w:tc>
          <w:tcPr/>
          <w:p>
            <w:pPr>
              <w:pStyle w:val="Compact"/>
              <w:jc w:val="right"/>
            </w:pPr>
            <w:r>
              <w:t xml:space="preserve">98.6%</w:t>
            </w:r>
          </w:p>
        </w:tc>
        <w:tc>
          <w:tcPr/>
          <w:p>
            <w:pPr>
              <w:pStyle w:val="Compact"/>
              <w:jc w:val="right"/>
            </w:pPr>
            <w:r>
              <w:t xml:space="preserve">1.0%</w:t>
            </w:r>
          </w:p>
        </w:tc>
        <w:tc>
          <w:tcPr/>
          <w:p>
            <w:pPr>
              <w:pStyle w:val="Compact"/>
              <w:jc w:val="right"/>
            </w:pPr>
            <w:r>
              <w:t xml:space="preserve">0.3%</w:t>
            </w:r>
          </w:p>
        </w:tc>
      </w:tr>
      <w:tr>
        <w:tc>
          <w:tcPr/>
          <w:p>
            <w:pPr>
              <w:pStyle w:val="Compact"/>
              <w:jc w:val="left"/>
            </w:pPr>
            <w:r>
              <w:t xml:space="preserve">Dexamethasone and hydrocortisone (descriptive)</w:t>
            </w:r>
          </w:p>
        </w:tc>
        <w:tc>
          <w:tcPr/>
          <w:p>
            <w:pPr>
              <w:pStyle w:val="Compact"/>
              <w:jc w:val="right"/>
            </w:pPr>
            <w:r>
              <w:t xml:space="preserve">2023</w:t>
            </w:r>
          </w:p>
        </w:tc>
        <w:tc>
          <w:tcPr/>
          <w:p>
            <w:pPr>
              <w:pStyle w:val="Compact"/>
              <w:jc w:val="right"/>
            </w:pPr>
            <w:r>
              <w:t xml:space="preserve">99.0%</w:t>
            </w:r>
          </w:p>
        </w:tc>
        <w:tc>
          <w:tcPr/>
          <w:p>
            <w:pPr>
              <w:pStyle w:val="Compact"/>
              <w:jc w:val="right"/>
            </w:pPr>
            <w:r>
              <w:t xml:space="preserve">0.7%</w:t>
            </w:r>
          </w:p>
        </w:tc>
        <w:tc>
          <w:tcPr/>
          <w:p>
            <w:pPr>
              <w:pStyle w:val="Compact"/>
              <w:jc w:val="right"/>
            </w:pPr>
            <w:r>
              <w:t xml:space="preserve">0.3%</w:t>
            </w:r>
          </w:p>
        </w:tc>
      </w:tr>
      <w:tr>
        <w:tc>
          <w:tcPr/>
          <w:p>
            <w:pPr>
              <w:pStyle w:val="Compact"/>
              <w:jc w:val="left"/>
            </w:pPr>
            <w:r>
              <w:t xml:space="preserve">Dexamethasone and hydrocortisone (descriptive)</w:t>
            </w:r>
          </w:p>
        </w:tc>
        <w:tc>
          <w:tcPr/>
          <w:p>
            <w:pPr>
              <w:pStyle w:val="Compact"/>
              <w:jc w:val="right"/>
            </w:pPr>
            <w:r>
              <w:t xml:space="preserve">2024</w:t>
            </w:r>
          </w:p>
        </w:tc>
        <w:tc>
          <w:tcPr/>
          <w:p>
            <w:pPr>
              <w:pStyle w:val="Compact"/>
              <w:jc w:val="right"/>
            </w:pPr>
            <w:r>
              <w:t xml:space="preserve">99.2%</w:t>
            </w:r>
          </w:p>
        </w:tc>
        <w:tc>
          <w:tcPr/>
          <w:p>
            <w:pPr>
              <w:pStyle w:val="Compact"/>
              <w:jc w:val="right"/>
            </w:pPr>
            <w:r>
              <w:t xml:space="preserve">0.5%</w:t>
            </w:r>
          </w:p>
        </w:tc>
        <w:tc>
          <w:tcPr/>
          <w:p>
            <w:pPr>
              <w:pStyle w:val="Compact"/>
              <w:jc w:val="right"/>
            </w:pPr>
            <w:r>
              <w:t xml:space="preserve">0.3%</w:t>
            </w:r>
          </w:p>
        </w:tc>
      </w:tr>
      <w:tr>
        <w:tc>
          <w:tcPr/>
          <w:p>
            <w:pPr>
              <w:pStyle w:val="Compact"/>
              <w:jc w:val="left"/>
            </w:pPr>
            <w:r>
              <w:t xml:space="preserve">IL-6 inhibitors and abatacept</w:t>
            </w:r>
          </w:p>
        </w:tc>
        <w:tc>
          <w:tcPr/>
          <w:p>
            <w:pPr>
              <w:pStyle w:val="Compact"/>
              <w:jc w:val="right"/>
            </w:pPr>
            <w:r>
              <w:t xml:space="preserve">2019</w:t>
            </w:r>
          </w:p>
        </w:tc>
        <w:tc>
          <w:tcPr/>
          <w:p>
            <w:pPr>
              <w:pStyle w:val="Compact"/>
              <w:jc w:val="right"/>
            </w:pPr>
            <w:r>
              <w:t xml:space="preserve">90.1%</w:t>
            </w:r>
          </w:p>
        </w:tc>
        <w:tc>
          <w:tcPr/>
          <w:p>
            <w:pPr>
              <w:pStyle w:val="Compact"/>
              <w:jc w:val="right"/>
            </w:pPr>
            <w:r>
              <w:t xml:space="preserve">8.7%</w:t>
            </w:r>
          </w:p>
        </w:tc>
        <w:tc>
          <w:tcPr/>
          <w:p>
            <w:pPr>
              <w:pStyle w:val="Compact"/>
              <w:jc w:val="right"/>
            </w:pPr>
            <w:r>
              <w:t xml:space="preserve">1.2%</w:t>
            </w:r>
          </w:p>
        </w:tc>
      </w:tr>
      <w:tr>
        <w:tc>
          <w:tcPr/>
          <w:p>
            <w:pPr>
              <w:pStyle w:val="Compact"/>
              <w:jc w:val="left"/>
            </w:pPr>
            <w:r>
              <w:t xml:space="preserve">IL-6 inhibitors and abatacept</w:t>
            </w:r>
          </w:p>
        </w:tc>
        <w:tc>
          <w:tcPr/>
          <w:p>
            <w:pPr>
              <w:pStyle w:val="Compact"/>
              <w:jc w:val="right"/>
            </w:pPr>
            <w:r>
              <w:t xml:space="preserve">2020</w:t>
            </w:r>
          </w:p>
        </w:tc>
        <w:tc>
          <w:tcPr/>
          <w:p>
            <w:pPr>
              <w:pStyle w:val="Compact"/>
              <w:jc w:val="right"/>
            </w:pPr>
            <w:r>
              <w:t xml:space="preserve">93.9%</w:t>
            </w:r>
          </w:p>
        </w:tc>
        <w:tc>
          <w:tcPr/>
          <w:p>
            <w:pPr>
              <w:pStyle w:val="Compact"/>
              <w:jc w:val="right"/>
            </w:pPr>
            <w:r>
              <w:t xml:space="preserve">4.9%</w:t>
            </w:r>
          </w:p>
        </w:tc>
        <w:tc>
          <w:tcPr/>
          <w:p>
            <w:pPr>
              <w:pStyle w:val="Compact"/>
              <w:jc w:val="right"/>
            </w:pPr>
            <w:r>
              <w:t xml:space="preserve">1.2%</w:t>
            </w:r>
          </w:p>
        </w:tc>
      </w:tr>
      <w:tr>
        <w:tc>
          <w:tcPr/>
          <w:p>
            <w:pPr>
              <w:pStyle w:val="Compact"/>
              <w:jc w:val="left"/>
            </w:pPr>
            <w:r>
              <w:t xml:space="preserve">IL-6 inhibitors and abatacept</w:t>
            </w:r>
          </w:p>
        </w:tc>
        <w:tc>
          <w:tcPr/>
          <w:p>
            <w:pPr>
              <w:pStyle w:val="Compact"/>
              <w:jc w:val="right"/>
            </w:pPr>
            <w:r>
              <w:t xml:space="preserve">2021</w:t>
            </w:r>
          </w:p>
        </w:tc>
        <w:tc>
          <w:tcPr/>
          <w:p>
            <w:pPr>
              <w:pStyle w:val="Compact"/>
              <w:jc w:val="right"/>
            </w:pPr>
            <w:r>
              <w:t xml:space="preserve">96.3%</w:t>
            </w:r>
          </w:p>
        </w:tc>
        <w:tc>
          <w:tcPr/>
          <w:p>
            <w:pPr>
              <w:pStyle w:val="Compact"/>
              <w:jc w:val="right"/>
            </w:pPr>
            <w:r>
              <w:t xml:space="preserve">2.8%</w:t>
            </w:r>
          </w:p>
        </w:tc>
        <w:tc>
          <w:tcPr/>
          <w:p>
            <w:pPr>
              <w:pStyle w:val="Compact"/>
              <w:jc w:val="right"/>
            </w:pPr>
            <w:r>
              <w:t xml:space="preserve">0.9%</w:t>
            </w:r>
          </w:p>
        </w:tc>
      </w:tr>
      <w:tr>
        <w:tc>
          <w:tcPr/>
          <w:p>
            <w:pPr>
              <w:pStyle w:val="Compact"/>
              <w:jc w:val="left"/>
            </w:pPr>
            <w:r>
              <w:t xml:space="preserve">IL-6 inhibitors and abatacept</w:t>
            </w:r>
          </w:p>
        </w:tc>
        <w:tc>
          <w:tcPr/>
          <w:p>
            <w:pPr>
              <w:pStyle w:val="Compact"/>
              <w:jc w:val="right"/>
            </w:pPr>
            <w:r>
              <w:t xml:space="preserve">2022</w:t>
            </w:r>
          </w:p>
        </w:tc>
        <w:tc>
          <w:tcPr/>
          <w:p>
            <w:pPr>
              <w:pStyle w:val="Compact"/>
              <w:jc w:val="right"/>
            </w:pPr>
            <w:r>
              <w:t xml:space="preserve">97.8%</w:t>
            </w:r>
          </w:p>
        </w:tc>
        <w:tc>
          <w:tcPr/>
          <w:p>
            <w:pPr>
              <w:pStyle w:val="Compact"/>
              <w:jc w:val="right"/>
            </w:pPr>
            <w:r>
              <w:t xml:space="preserve">1.0%</w:t>
            </w:r>
          </w:p>
        </w:tc>
        <w:tc>
          <w:tcPr/>
          <w:p>
            <w:pPr>
              <w:pStyle w:val="Compact"/>
              <w:jc w:val="right"/>
            </w:pPr>
            <w:r>
              <w:t xml:space="preserve">1.2%</w:t>
            </w:r>
          </w:p>
        </w:tc>
      </w:tr>
      <w:tr>
        <w:tc>
          <w:tcPr/>
          <w:p>
            <w:pPr>
              <w:pStyle w:val="Compact"/>
              <w:jc w:val="left"/>
            </w:pPr>
            <w:r>
              <w:t xml:space="preserve">IL-6 inhibitors and abatacept</w:t>
            </w:r>
          </w:p>
        </w:tc>
        <w:tc>
          <w:tcPr/>
          <w:p>
            <w:pPr>
              <w:pStyle w:val="Compact"/>
              <w:jc w:val="right"/>
            </w:pPr>
            <w:r>
              <w:t xml:space="preserve">2023</w:t>
            </w:r>
          </w:p>
        </w:tc>
        <w:tc>
          <w:tcPr/>
          <w:p>
            <w:pPr>
              <w:pStyle w:val="Compact"/>
              <w:jc w:val="right"/>
            </w:pPr>
            <w:r>
              <w:t xml:space="preserve">97.9%</w:t>
            </w:r>
          </w:p>
        </w:tc>
        <w:tc>
          <w:tcPr/>
          <w:p>
            <w:pPr>
              <w:pStyle w:val="Compact"/>
              <w:jc w:val="right"/>
            </w:pPr>
            <w:r>
              <w:t xml:space="preserve">0.5%</w:t>
            </w:r>
          </w:p>
        </w:tc>
        <w:tc>
          <w:tcPr/>
          <w:p>
            <w:pPr>
              <w:pStyle w:val="Compact"/>
              <w:jc w:val="right"/>
            </w:pPr>
            <w:r>
              <w:t xml:space="preserve">1.5%</w:t>
            </w:r>
          </w:p>
        </w:tc>
      </w:tr>
      <w:tr>
        <w:tc>
          <w:tcPr/>
          <w:p>
            <w:pPr>
              <w:pStyle w:val="Compact"/>
              <w:jc w:val="left"/>
            </w:pPr>
            <w:r>
              <w:t xml:space="preserve">IL-6 inhibitors and abatacept</w:t>
            </w:r>
          </w:p>
        </w:tc>
        <w:tc>
          <w:tcPr/>
          <w:p>
            <w:pPr>
              <w:pStyle w:val="Compact"/>
              <w:jc w:val="right"/>
            </w:pPr>
            <w:r>
              <w:t xml:space="preserve">2024</w:t>
            </w:r>
          </w:p>
        </w:tc>
        <w:tc>
          <w:tcPr/>
          <w:p>
            <w:pPr>
              <w:pStyle w:val="Compact"/>
              <w:jc w:val="right"/>
            </w:pPr>
            <w:r>
              <w:t xml:space="preserve">97.8%</w:t>
            </w:r>
          </w:p>
        </w:tc>
        <w:tc>
          <w:tcPr/>
          <w:p>
            <w:pPr>
              <w:pStyle w:val="Compact"/>
              <w:jc w:val="right"/>
            </w:pPr>
            <w:r>
              <w:t xml:space="preserve">0.4%</w:t>
            </w:r>
          </w:p>
        </w:tc>
        <w:tc>
          <w:tcPr/>
          <w:p>
            <w:pPr>
              <w:pStyle w:val="Compact"/>
              <w:jc w:val="right"/>
            </w:pPr>
            <w:r>
              <w:t xml:space="preserve">1.8%</w:t>
            </w:r>
          </w:p>
        </w:tc>
      </w:tr>
      <w:tr>
        <w:tc>
          <w:tcPr/>
          <w:p>
            <w:pPr>
              <w:pStyle w:val="Compact"/>
              <w:jc w:val="left"/>
            </w:pPr>
            <w:r>
              <w:t xml:space="preserve">JAK inhibitors (rheumatology)</w:t>
            </w:r>
          </w:p>
        </w:tc>
        <w:tc>
          <w:tcPr/>
          <w:p>
            <w:pPr>
              <w:pStyle w:val="Compact"/>
              <w:jc w:val="right"/>
            </w:pPr>
            <w:r>
              <w:t xml:space="preserve">2019</w:t>
            </w:r>
          </w:p>
        </w:tc>
        <w:tc>
          <w:tcPr/>
          <w:p>
            <w:pPr>
              <w:pStyle w:val="Compact"/>
              <w:jc w:val="right"/>
            </w:pPr>
            <w:r>
              <w:t xml:space="preserve">90.1%</w:t>
            </w:r>
          </w:p>
        </w:tc>
        <w:tc>
          <w:tcPr/>
          <w:p>
            <w:pPr>
              <w:pStyle w:val="Compact"/>
              <w:jc w:val="right"/>
            </w:pPr>
            <w:r>
              <w:t xml:space="preserve">8.9%</w:t>
            </w:r>
          </w:p>
        </w:tc>
        <w:tc>
          <w:tcPr/>
          <w:p>
            <w:pPr>
              <w:pStyle w:val="Compact"/>
              <w:jc w:val="right"/>
            </w:pPr>
            <w:r>
              <w:t xml:space="preserve">0.9%</w:t>
            </w:r>
          </w:p>
        </w:tc>
      </w:tr>
      <w:tr>
        <w:tc>
          <w:tcPr/>
          <w:p>
            <w:pPr>
              <w:pStyle w:val="Compact"/>
              <w:jc w:val="left"/>
            </w:pPr>
            <w:r>
              <w:t xml:space="preserve">JAK inhibitors (rheumatology)</w:t>
            </w:r>
          </w:p>
        </w:tc>
        <w:tc>
          <w:tcPr/>
          <w:p>
            <w:pPr>
              <w:pStyle w:val="Compact"/>
              <w:jc w:val="right"/>
            </w:pPr>
            <w:r>
              <w:t xml:space="preserve">2020</w:t>
            </w:r>
          </w:p>
        </w:tc>
        <w:tc>
          <w:tcPr/>
          <w:p>
            <w:pPr>
              <w:pStyle w:val="Compact"/>
              <w:jc w:val="right"/>
            </w:pPr>
            <w:r>
              <w:t xml:space="preserve">94.8%</w:t>
            </w:r>
          </w:p>
        </w:tc>
        <w:tc>
          <w:tcPr/>
          <w:p>
            <w:pPr>
              <w:pStyle w:val="Compact"/>
              <w:jc w:val="right"/>
            </w:pPr>
            <w:r>
              <w:t xml:space="preserve">4.4%</w:t>
            </w:r>
          </w:p>
        </w:tc>
        <w:tc>
          <w:tcPr/>
          <w:p>
            <w:pPr>
              <w:pStyle w:val="Compact"/>
              <w:jc w:val="right"/>
            </w:pPr>
            <w:r>
              <w:t xml:space="preserve">0.9%</w:t>
            </w:r>
          </w:p>
        </w:tc>
      </w:tr>
      <w:tr>
        <w:tc>
          <w:tcPr/>
          <w:p>
            <w:pPr>
              <w:pStyle w:val="Compact"/>
              <w:jc w:val="left"/>
            </w:pPr>
            <w:r>
              <w:t xml:space="preserve">JAK inhibitors (rheumatology)</w:t>
            </w:r>
          </w:p>
        </w:tc>
        <w:tc>
          <w:tcPr/>
          <w:p>
            <w:pPr>
              <w:pStyle w:val="Compact"/>
              <w:jc w:val="right"/>
            </w:pPr>
            <w:r>
              <w:t xml:space="preserve">2021</w:t>
            </w:r>
          </w:p>
        </w:tc>
        <w:tc>
          <w:tcPr/>
          <w:p>
            <w:pPr>
              <w:pStyle w:val="Compact"/>
              <w:jc w:val="right"/>
            </w:pPr>
            <w:r>
              <w:t xml:space="preserve">97.1%</w:t>
            </w:r>
          </w:p>
        </w:tc>
        <w:tc>
          <w:tcPr/>
          <w:p>
            <w:pPr>
              <w:pStyle w:val="Compact"/>
              <w:jc w:val="right"/>
            </w:pPr>
            <w:r>
              <w:t xml:space="preserve">2.5%</w:t>
            </w:r>
          </w:p>
        </w:tc>
        <w:tc>
          <w:tcPr/>
          <w:p>
            <w:pPr>
              <w:pStyle w:val="Compact"/>
              <w:jc w:val="right"/>
            </w:pPr>
            <w:r>
              <w:t xml:space="preserve">0.4%</w:t>
            </w:r>
          </w:p>
        </w:tc>
      </w:tr>
      <w:tr>
        <w:tc>
          <w:tcPr/>
          <w:p>
            <w:pPr>
              <w:pStyle w:val="Compact"/>
              <w:jc w:val="left"/>
            </w:pPr>
            <w:r>
              <w:t xml:space="preserve">JAK inhibitors (rheumatology)</w:t>
            </w:r>
          </w:p>
        </w:tc>
        <w:tc>
          <w:tcPr/>
          <w:p>
            <w:pPr>
              <w:pStyle w:val="Compact"/>
              <w:jc w:val="right"/>
            </w:pPr>
            <w:r>
              <w:t xml:space="preserve">2022</w:t>
            </w:r>
          </w:p>
        </w:tc>
        <w:tc>
          <w:tcPr/>
          <w:p>
            <w:pPr>
              <w:pStyle w:val="Compact"/>
              <w:jc w:val="right"/>
            </w:pPr>
            <w:r>
              <w:t xml:space="preserve">98.5%</w:t>
            </w:r>
          </w:p>
        </w:tc>
        <w:tc>
          <w:tcPr/>
          <w:p>
            <w:pPr>
              <w:pStyle w:val="Compact"/>
              <w:jc w:val="right"/>
            </w:pPr>
            <w:r>
              <w:t xml:space="preserve">1.1%</w:t>
            </w:r>
          </w:p>
        </w:tc>
        <w:tc>
          <w:tcPr/>
          <w:p>
            <w:pPr>
              <w:pStyle w:val="Compact"/>
              <w:jc w:val="right"/>
            </w:pPr>
            <w:r>
              <w:t xml:space="preserve">0.4%</w:t>
            </w:r>
          </w:p>
        </w:tc>
      </w:tr>
      <w:tr>
        <w:tc>
          <w:tcPr/>
          <w:p>
            <w:pPr>
              <w:pStyle w:val="Compact"/>
              <w:jc w:val="left"/>
            </w:pPr>
            <w:r>
              <w:t xml:space="preserve">JAK inhibitors (rheumatology)</w:t>
            </w:r>
          </w:p>
        </w:tc>
        <w:tc>
          <w:tcPr/>
          <w:p>
            <w:pPr>
              <w:pStyle w:val="Compact"/>
              <w:jc w:val="right"/>
            </w:pPr>
            <w:r>
              <w:t xml:space="preserve">2023</w:t>
            </w:r>
          </w:p>
        </w:tc>
        <w:tc>
          <w:tcPr/>
          <w:p>
            <w:pPr>
              <w:pStyle w:val="Compact"/>
              <w:jc w:val="right"/>
            </w:pPr>
            <w:r>
              <w:t xml:space="preserve">98.9%</w:t>
            </w:r>
          </w:p>
        </w:tc>
        <w:tc>
          <w:tcPr/>
          <w:p>
            <w:pPr>
              <w:pStyle w:val="Compact"/>
              <w:jc w:val="right"/>
            </w:pPr>
            <w:r>
              <w:t xml:space="preserve">0.4%</w:t>
            </w:r>
          </w:p>
        </w:tc>
        <w:tc>
          <w:tcPr/>
          <w:p>
            <w:pPr>
              <w:pStyle w:val="Compact"/>
              <w:jc w:val="right"/>
            </w:pPr>
            <w:r>
              <w:t xml:space="preserve">0.7%</w:t>
            </w:r>
          </w:p>
        </w:tc>
      </w:tr>
      <w:tr>
        <w:tc>
          <w:tcPr/>
          <w:p>
            <w:pPr>
              <w:pStyle w:val="Compact"/>
              <w:jc w:val="left"/>
            </w:pPr>
            <w:r>
              <w:t xml:space="preserve">JAK inhibitors (rheumatology)</w:t>
            </w:r>
          </w:p>
        </w:tc>
        <w:tc>
          <w:tcPr/>
          <w:p>
            <w:pPr>
              <w:pStyle w:val="Compact"/>
              <w:jc w:val="right"/>
            </w:pPr>
            <w:r>
              <w:t xml:space="preserve">2024</w:t>
            </w:r>
          </w:p>
        </w:tc>
        <w:tc>
          <w:tcPr/>
          <w:p>
            <w:pPr>
              <w:pStyle w:val="Compact"/>
              <w:jc w:val="right"/>
            </w:pPr>
            <w:r>
              <w:t xml:space="preserve">98.4%</w:t>
            </w:r>
          </w:p>
        </w:tc>
        <w:tc>
          <w:tcPr/>
          <w:p>
            <w:pPr>
              <w:pStyle w:val="Compact"/>
              <w:jc w:val="right"/>
            </w:pPr>
            <w:r>
              <w:t xml:space="preserve">0.3%</w:t>
            </w:r>
          </w:p>
        </w:tc>
        <w:tc>
          <w:tcPr/>
          <w:p>
            <w:pPr>
              <w:pStyle w:val="Compact"/>
              <w:jc w:val="right"/>
            </w:pPr>
            <w:r>
              <w:t xml:space="preserve">1.3%</w:t>
            </w:r>
          </w:p>
        </w:tc>
      </w:tr>
      <w:tr>
        <w:tc>
          <w:tcPr/>
          <w:p>
            <w:pPr>
              <w:pStyle w:val="Compact"/>
              <w:jc w:val="left"/>
            </w:pPr>
            <w:r>
              <w:t xml:space="preserve">Low-TB-risk biologics (negative control)</w:t>
            </w:r>
          </w:p>
        </w:tc>
        <w:tc>
          <w:tcPr/>
          <w:p>
            <w:pPr>
              <w:pStyle w:val="Compact"/>
              <w:jc w:val="right"/>
            </w:pPr>
            <w:r>
              <w:t xml:space="preserve">2019</w:t>
            </w:r>
          </w:p>
        </w:tc>
        <w:tc>
          <w:tcPr/>
          <w:p>
            <w:pPr>
              <w:pStyle w:val="Compact"/>
              <w:jc w:val="right"/>
            </w:pPr>
            <w:r>
              <w:t xml:space="preserve">91.9%</w:t>
            </w:r>
          </w:p>
        </w:tc>
        <w:tc>
          <w:tcPr/>
          <w:p>
            <w:pPr>
              <w:pStyle w:val="Compact"/>
              <w:jc w:val="right"/>
            </w:pPr>
            <w:r>
              <w:t xml:space="preserve">7.9%</w:t>
            </w:r>
          </w:p>
        </w:tc>
        <w:tc>
          <w:tcPr/>
          <w:p>
            <w:pPr>
              <w:pStyle w:val="Compact"/>
              <w:jc w:val="right"/>
            </w:pPr>
            <w:r>
              <w:t xml:space="preserve">0.2%</w:t>
            </w:r>
          </w:p>
        </w:tc>
      </w:tr>
      <w:tr>
        <w:tc>
          <w:tcPr/>
          <w:p>
            <w:pPr>
              <w:pStyle w:val="Compact"/>
              <w:jc w:val="left"/>
            </w:pPr>
            <w:r>
              <w:t xml:space="preserve">Low-TB-risk biologics (negative control)</w:t>
            </w:r>
          </w:p>
        </w:tc>
        <w:tc>
          <w:tcPr/>
          <w:p>
            <w:pPr>
              <w:pStyle w:val="Compact"/>
              <w:jc w:val="right"/>
            </w:pPr>
            <w:r>
              <w:t xml:space="preserve">2020</w:t>
            </w:r>
          </w:p>
        </w:tc>
        <w:tc>
          <w:tcPr/>
          <w:p>
            <w:pPr>
              <w:pStyle w:val="Compact"/>
              <w:jc w:val="right"/>
            </w:pPr>
            <w:r>
              <w:t xml:space="preserve">96.0%</w:t>
            </w:r>
          </w:p>
        </w:tc>
        <w:tc>
          <w:tcPr/>
          <w:p>
            <w:pPr>
              <w:pStyle w:val="Compact"/>
              <w:jc w:val="right"/>
            </w:pPr>
            <w:r>
              <w:t xml:space="preserve">3.9%</w:t>
            </w:r>
          </w:p>
        </w:tc>
        <w:tc>
          <w:tcPr/>
          <w:p>
            <w:pPr>
              <w:pStyle w:val="Compact"/>
              <w:jc w:val="right"/>
            </w:pPr>
            <w:r>
              <w:t xml:space="preserve">0.1%</w:t>
            </w:r>
          </w:p>
        </w:tc>
      </w:tr>
      <w:tr>
        <w:tc>
          <w:tcPr/>
          <w:p>
            <w:pPr>
              <w:pStyle w:val="Compact"/>
              <w:jc w:val="left"/>
            </w:pPr>
            <w:r>
              <w:t xml:space="preserve">Low-TB-risk biologics (negative control)</w:t>
            </w:r>
          </w:p>
        </w:tc>
        <w:tc>
          <w:tcPr/>
          <w:p>
            <w:pPr>
              <w:pStyle w:val="Compact"/>
              <w:jc w:val="right"/>
            </w:pPr>
            <w:r>
              <w:t xml:space="preserve">2021</w:t>
            </w:r>
          </w:p>
        </w:tc>
        <w:tc>
          <w:tcPr/>
          <w:p>
            <w:pPr>
              <w:pStyle w:val="Compact"/>
              <w:jc w:val="right"/>
            </w:pPr>
            <w:r>
              <w:t xml:space="preserve">97.9%</w:t>
            </w:r>
          </w:p>
        </w:tc>
        <w:tc>
          <w:tcPr/>
          <w:p>
            <w:pPr>
              <w:pStyle w:val="Compact"/>
              <w:jc w:val="right"/>
            </w:pPr>
            <w:r>
              <w:t xml:space="preserve">2.0%</w:t>
            </w:r>
          </w:p>
        </w:tc>
        <w:tc>
          <w:tcPr/>
          <w:p>
            <w:pPr>
              <w:pStyle w:val="Compact"/>
              <w:jc w:val="right"/>
            </w:pPr>
            <w:r>
              <w:t xml:space="preserve">0.1%</w:t>
            </w:r>
          </w:p>
        </w:tc>
      </w:tr>
      <w:tr>
        <w:tc>
          <w:tcPr/>
          <w:p>
            <w:pPr>
              <w:pStyle w:val="Compact"/>
              <w:jc w:val="left"/>
            </w:pPr>
            <w:r>
              <w:t xml:space="preserve">Low-TB-risk biologics (negative control)</w:t>
            </w:r>
          </w:p>
        </w:tc>
        <w:tc>
          <w:tcPr/>
          <w:p>
            <w:pPr>
              <w:pStyle w:val="Compact"/>
              <w:jc w:val="right"/>
            </w:pPr>
            <w:r>
              <w:t xml:space="preserve">2022</w:t>
            </w:r>
          </w:p>
        </w:tc>
        <w:tc>
          <w:tcPr/>
          <w:p>
            <w:pPr>
              <w:pStyle w:val="Compact"/>
              <w:jc w:val="right"/>
            </w:pPr>
            <w:r>
              <w:t xml:space="preserve">99.1%</w:t>
            </w:r>
          </w:p>
        </w:tc>
        <w:tc>
          <w:tcPr/>
          <w:p>
            <w:pPr>
              <w:pStyle w:val="Compact"/>
              <w:jc w:val="right"/>
            </w:pPr>
            <w:r>
              <w:t xml:space="preserve">0.8%</w:t>
            </w:r>
          </w:p>
        </w:tc>
        <w:tc>
          <w:tcPr/>
          <w:p>
            <w:pPr>
              <w:pStyle w:val="Compact"/>
              <w:jc w:val="right"/>
            </w:pPr>
            <w:r>
              <w:t xml:space="preserve">0.1%</w:t>
            </w:r>
          </w:p>
        </w:tc>
      </w:tr>
      <w:tr>
        <w:tc>
          <w:tcPr/>
          <w:p>
            <w:pPr>
              <w:pStyle w:val="Compact"/>
              <w:jc w:val="left"/>
            </w:pPr>
            <w:r>
              <w:t xml:space="preserve">Low-TB-risk biologics (negative control)</w:t>
            </w:r>
          </w:p>
        </w:tc>
        <w:tc>
          <w:tcPr/>
          <w:p>
            <w:pPr>
              <w:pStyle w:val="Compact"/>
              <w:jc w:val="right"/>
            </w:pPr>
            <w:r>
              <w:t xml:space="preserve">2023</w:t>
            </w:r>
          </w:p>
        </w:tc>
        <w:tc>
          <w:tcPr/>
          <w:p>
            <w:pPr>
              <w:pStyle w:val="Compact"/>
              <w:jc w:val="right"/>
            </w:pPr>
            <w:r>
              <w:t xml:space="preserve">99.5%</w:t>
            </w:r>
          </w:p>
        </w:tc>
        <w:tc>
          <w:tcPr/>
          <w:p>
            <w:pPr>
              <w:pStyle w:val="Compact"/>
              <w:jc w:val="right"/>
            </w:pPr>
            <w:r>
              <w:t xml:space="preserve">0.4%</w:t>
            </w:r>
          </w:p>
        </w:tc>
        <w:tc>
          <w:tcPr/>
          <w:p>
            <w:pPr>
              <w:pStyle w:val="Compact"/>
              <w:jc w:val="right"/>
            </w:pPr>
            <w:r>
              <w:t xml:space="preserve">0.1%</w:t>
            </w:r>
          </w:p>
        </w:tc>
      </w:tr>
      <w:tr>
        <w:tc>
          <w:tcPr/>
          <w:p>
            <w:pPr>
              <w:pStyle w:val="Compact"/>
              <w:jc w:val="left"/>
            </w:pPr>
            <w:r>
              <w:t xml:space="preserve">Low-TB-risk biologics (negative control)</w:t>
            </w:r>
          </w:p>
        </w:tc>
        <w:tc>
          <w:tcPr/>
          <w:p>
            <w:pPr>
              <w:pStyle w:val="Compact"/>
              <w:jc w:val="right"/>
            </w:pPr>
            <w:r>
              <w:t xml:space="preserve">2024</w:t>
            </w:r>
          </w:p>
        </w:tc>
        <w:tc>
          <w:tcPr/>
          <w:p>
            <w:pPr>
              <w:pStyle w:val="Compact"/>
              <w:jc w:val="right"/>
            </w:pPr>
            <w:r>
              <w:t xml:space="preserve">99.6%</w:t>
            </w:r>
          </w:p>
        </w:tc>
        <w:tc>
          <w:tcPr/>
          <w:p>
            <w:pPr>
              <w:pStyle w:val="Compact"/>
              <w:jc w:val="right"/>
            </w:pPr>
            <w:r>
              <w:t xml:space="preserve">0.2%</w:t>
            </w:r>
          </w:p>
        </w:tc>
        <w:tc>
          <w:tcPr/>
          <w:p>
            <w:pPr>
              <w:pStyle w:val="Compact"/>
              <w:jc w:val="right"/>
            </w:pPr>
            <w:r>
              <w:t xml:space="preserve">0.2%</w:t>
            </w:r>
          </w:p>
        </w:tc>
      </w:tr>
      <w:tr>
        <w:tc>
          <w:tcPr/>
          <w:p>
            <w:pPr>
              <w:pStyle w:val="Compact"/>
              <w:jc w:val="left"/>
            </w:pPr>
            <w:r>
              <w:t xml:space="preserve">Levetiracetam (negative control)</w:t>
            </w:r>
          </w:p>
        </w:tc>
        <w:tc>
          <w:tcPr/>
          <w:p>
            <w:pPr>
              <w:pStyle w:val="Compact"/>
              <w:jc w:val="right"/>
            </w:pPr>
            <w:r>
              <w:t xml:space="preserve">2019</w:t>
            </w:r>
          </w:p>
        </w:tc>
        <w:tc>
          <w:tcPr/>
          <w:p>
            <w:pPr>
              <w:pStyle w:val="Compact"/>
              <w:jc w:val="right"/>
            </w:pPr>
            <w:r>
              <w:t xml:space="preserve">87.6%</w:t>
            </w:r>
          </w:p>
        </w:tc>
        <w:tc>
          <w:tcPr/>
          <w:p>
            <w:pPr>
              <w:pStyle w:val="Compact"/>
              <w:jc w:val="right"/>
            </w:pPr>
            <w:r>
              <w:t xml:space="preserve">7.5%</w:t>
            </w:r>
          </w:p>
        </w:tc>
        <w:tc>
          <w:tcPr/>
          <w:p>
            <w:pPr>
              <w:pStyle w:val="Compact"/>
              <w:jc w:val="right"/>
            </w:pPr>
            <w:r>
              <w:t xml:space="preserve">4.9%</w:t>
            </w:r>
          </w:p>
        </w:tc>
      </w:tr>
      <w:tr>
        <w:tc>
          <w:tcPr/>
          <w:p>
            <w:pPr>
              <w:pStyle w:val="Compact"/>
              <w:jc w:val="left"/>
            </w:pPr>
            <w:r>
              <w:t xml:space="preserve">Levetiracetam (negative control)</w:t>
            </w:r>
          </w:p>
        </w:tc>
        <w:tc>
          <w:tcPr/>
          <w:p>
            <w:pPr>
              <w:pStyle w:val="Compact"/>
              <w:jc w:val="right"/>
            </w:pPr>
            <w:r>
              <w:t xml:space="preserve">2020</w:t>
            </w:r>
          </w:p>
        </w:tc>
        <w:tc>
          <w:tcPr/>
          <w:p>
            <w:pPr>
              <w:pStyle w:val="Compact"/>
              <w:jc w:val="right"/>
            </w:pPr>
            <w:r>
              <w:t xml:space="preserve">91.3%</w:t>
            </w:r>
          </w:p>
        </w:tc>
        <w:tc>
          <w:tcPr/>
          <w:p>
            <w:pPr>
              <w:pStyle w:val="Compact"/>
              <w:jc w:val="right"/>
            </w:pPr>
            <w:r>
              <w:t xml:space="preserve">4.2%</w:t>
            </w:r>
          </w:p>
        </w:tc>
        <w:tc>
          <w:tcPr/>
          <w:p>
            <w:pPr>
              <w:pStyle w:val="Compact"/>
              <w:jc w:val="right"/>
            </w:pPr>
            <w:r>
              <w:t xml:space="preserve">4.5%</w:t>
            </w:r>
          </w:p>
        </w:tc>
      </w:tr>
      <w:tr>
        <w:tc>
          <w:tcPr/>
          <w:p>
            <w:pPr>
              <w:pStyle w:val="Compact"/>
              <w:jc w:val="left"/>
            </w:pPr>
            <w:r>
              <w:t xml:space="preserve">Levetiracetam (negative control)</w:t>
            </w:r>
          </w:p>
        </w:tc>
        <w:tc>
          <w:tcPr/>
          <w:p>
            <w:pPr>
              <w:pStyle w:val="Compact"/>
              <w:jc w:val="right"/>
            </w:pPr>
            <w:r>
              <w:t xml:space="preserve">2021</w:t>
            </w:r>
          </w:p>
        </w:tc>
        <w:tc>
          <w:tcPr/>
          <w:p>
            <w:pPr>
              <w:pStyle w:val="Compact"/>
              <w:jc w:val="right"/>
            </w:pPr>
            <w:r>
              <w:t xml:space="preserve">93.5%</w:t>
            </w:r>
          </w:p>
        </w:tc>
        <w:tc>
          <w:tcPr/>
          <w:p>
            <w:pPr>
              <w:pStyle w:val="Compact"/>
              <w:jc w:val="right"/>
            </w:pPr>
            <w:r>
              <w:t xml:space="preserve">2.3%</w:t>
            </w:r>
          </w:p>
        </w:tc>
        <w:tc>
          <w:tcPr/>
          <w:p>
            <w:pPr>
              <w:pStyle w:val="Compact"/>
              <w:jc w:val="right"/>
            </w:pPr>
            <w:r>
              <w:t xml:space="preserve">4.2%</w:t>
            </w:r>
          </w:p>
        </w:tc>
      </w:tr>
      <w:tr>
        <w:tc>
          <w:tcPr/>
          <w:p>
            <w:pPr>
              <w:pStyle w:val="Compact"/>
              <w:jc w:val="left"/>
            </w:pPr>
            <w:r>
              <w:t xml:space="preserve">Levetiracetam (negative control)</w:t>
            </w:r>
          </w:p>
        </w:tc>
        <w:tc>
          <w:tcPr/>
          <w:p>
            <w:pPr>
              <w:pStyle w:val="Compact"/>
              <w:jc w:val="right"/>
            </w:pPr>
            <w:r>
              <w:t xml:space="preserve">2022</w:t>
            </w:r>
          </w:p>
        </w:tc>
        <w:tc>
          <w:tcPr/>
          <w:p>
            <w:pPr>
              <w:pStyle w:val="Compact"/>
              <w:jc w:val="right"/>
            </w:pPr>
            <w:r>
              <w:t xml:space="preserve">94.7%</w:t>
            </w:r>
          </w:p>
        </w:tc>
        <w:tc>
          <w:tcPr/>
          <w:p>
            <w:pPr>
              <w:pStyle w:val="Compact"/>
              <w:jc w:val="right"/>
            </w:pPr>
            <w:r>
              <w:t xml:space="preserve">1.2%</w:t>
            </w:r>
          </w:p>
        </w:tc>
        <w:tc>
          <w:tcPr/>
          <w:p>
            <w:pPr>
              <w:pStyle w:val="Compact"/>
              <w:jc w:val="right"/>
            </w:pPr>
            <w:r>
              <w:t xml:space="preserve">4.0%</w:t>
            </w:r>
          </w:p>
        </w:tc>
      </w:tr>
      <w:tr>
        <w:tc>
          <w:tcPr/>
          <w:p>
            <w:pPr>
              <w:pStyle w:val="Compact"/>
              <w:jc w:val="left"/>
            </w:pPr>
            <w:r>
              <w:t xml:space="preserve">Levetiracetam (negative control)</w:t>
            </w:r>
          </w:p>
        </w:tc>
        <w:tc>
          <w:tcPr/>
          <w:p>
            <w:pPr>
              <w:pStyle w:val="Compact"/>
              <w:jc w:val="right"/>
            </w:pPr>
            <w:r>
              <w:t xml:space="preserve">2023</w:t>
            </w:r>
          </w:p>
        </w:tc>
        <w:tc>
          <w:tcPr/>
          <w:p>
            <w:pPr>
              <w:pStyle w:val="Compact"/>
              <w:jc w:val="right"/>
            </w:pPr>
            <w:r>
              <w:t xml:space="preserve">94.8%</w:t>
            </w:r>
          </w:p>
        </w:tc>
        <w:tc>
          <w:tcPr/>
          <w:p>
            <w:pPr>
              <w:pStyle w:val="Compact"/>
              <w:jc w:val="right"/>
            </w:pPr>
            <w:r>
              <w:t xml:space="preserve">0.9%</w:t>
            </w:r>
          </w:p>
        </w:tc>
        <w:tc>
          <w:tcPr/>
          <w:p>
            <w:pPr>
              <w:pStyle w:val="Compact"/>
              <w:jc w:val="right"/>
            </w:pPr>
            <w:r>
              <w:t xml:space="preserve">4.3%</w:t>
            </w:r>
          </w:p>
        </w:tc>
      </w:tr>
      <w:tr>
        <w:tc>
          <w:tcPr/>
          <w:p>
            <w:pPr>
              <w:pStyle w:val="Compact"/>
              <w:jc w:val="left"/>
            </w:pPr>
            <w:r>
              <w:t xml:space="preserve">Levetiracetam (negative control)</w:t>
            </w:r>
          </w:p>
        </w:tc>
        <w:tc>
          <w:tcPr/>
          <w:p>
            <w:pPr>
              <w:pStyle w:val="Compact"/>
              <w:jc w:val="right"/>
            </w:pPr>
            <w:r>
              <w:t xml:space="preserve">2024</w:t>
            </w:r>
          </w:p>
        </w:tc>
        <w:tc>
          <w:tcPr/>
          <w:p>
            <w:pPr>
              <w:pStyle w:val="Compact"/>
              <w:jc w:val="right"/>
            </w:pPr>
            <w:r>
              <w:t xml:space="preserve">95.0%</w:t>
            </w:r>
          </w:p>
        </w:tc>
        <w:tc>
          <w:tcPr/>
          <w:p>
            <w:pPr>
              <w:pStyle w:val="Compact"/>
              <w:jc w:val="right"/>
            </w:pPr>
            <w:r>
              <w:t xml:space="preserve">0.7%</w:t>
            </w:r>
          </w:p>
        </w:tc>
        <w:tc>
          <w:tcPr/>
          <w:p>
            <w:pPr>
              <w:pStyle w:val="Compact"/>
              <w:jc w:val="right"/>
            </w:pPr>
            <w:r>
              <w:t xml:space="preserve">4.3%</w:t>
            </w:r>
          </w:p>
        </w:tc>
      </w:tr>
      <w:tr>
        <w:tc>
          <w:tcPr/>
          <w:p>
            <w:pPr>
              <w:pStyle w:val="Compact"/>
              <w:jc w:val="left"/>
            </w:pPr>
            <w:r>
              <w:t xml:space="preserve">Rituximab</w:t>
            </w:r>
          </w:p>
        </w:tc>
        <w:tc>
          <w:tcPr/>
          <w:p>
            <w:pPr>
              <w:pStyle w:val="Compact"/>
              <w:jc w:val="right"/>
            </w:pPr>
            <w:r>
              <w:t xml:space="preserve">2019</w:t>
            </w:r>
          </w:p>
        </w:tc>
        <w:tc>
          <w:tcPr/>
          <w:p>
            <w:pPr>
              <w:pStyle w:val="Compact"/>
              <w:jc w:val="right"/>
            </w:pPr>
            <w:r>
              <w:t xml:space="preserve">91.2%</w:t>
            </w:r>
          </w:p>
        </w:tc>
        <w:tc>
          <w:tcPr/>
          <w:p>
            <w:pPr>
              <w:pStyle w:val="Compact"/>
              <w:jc w:val="right"/>
            </w:pPr>
            <w:r>
              <w:t xml:space="preserve">8.4%</w:t>
            </w:r>
          </w:p>
        </w:tc>
        <w:tc>
          <w:tcPr/>
          <w:p>
            <w:pPr>
              <w:pStyle w:val="Compact"/>
              <w:jc w:val="right"/>
            </w:pPr>
            <w:r>
              <w:t xml:space="preserve">0.4%</w:t>
            </w:r>
          </w:p>
        </w:tc>
      </w:tr>
      <w:tr>
        <w:tc>
          <w:tcPr/>
          <w:p>
            <w:pPr>
              <w:pStyle w:val="Compact"/>
              <w:jc w:val="left"/>
            </w:pPr>
            <w:r>
              <w:t xml:space="preserve">Rituximab</w:t>
            </w:r>
          </w:p>
        </w:tc>
        <w:tc>
          <w:tcPr/>
          <w:p>
            <w:pPr>
              <w:pStyle w:val="Compact"/>
              <w:jc w:val="right"/>
            </w:pPr>
            <w:r>
              <w:t xml:space="preserve">2020</w:t>
            </w:r>
          </w:p>
        </w:tc>
        <w:tc>
          <w:tcPr/>
          <w:p>
            <w:pPr>
              <w:pStyle w:val="Compact"/>
              <w:jc w:val="right"/>
            </w:pPr>
            <w:r>
              <w:t xml:space="preserve">95.1%</w:t>
            </w:r>
          </w:p>
        </w:tc>
        <w:tc>
          <w:tcPr/>
          <w:p>
            <w:pPr>
              <w:pStyle w:val="Compact"/>
              <w:jc w:val="right"/>
            </w:pPr>
            <w:r>
              <w:t xml:space="preserve">4.4%</w:t>
            </w:r>
          </w:p>
        </w:tc>
        <w:tc>
          <w:tcPr/>
          <w:p>
            <w:pPr>
              <w:pStyle w:val="Compact"/>
              <w:jc w:val="right"/>
            </w:pPr>
            <w:r>
              <w:t xml:space="preserve">0.5%</w:t>
            </w:r>
          </w:p>
        </w:tc>
      </w:tr>
      <w:tr>
        <w:tc>
          <w:tcPr/>
          <w:p>
            <w:pPr>
              <w:pStyle w:val="Compact"/>
              <w:jc w:val="left"/>
            </w:pPr>
            <w:r>
              <w:t xml:space="preserve">Rituximab</w:t>
            </w:r>
          </w:p>
        </w:tc>
        <w:tc>
          <w:tcPr/>
          <w:p>
            <w:pPr>
              <w:pStyle w:val="Compact"/>
              <w:jc w:val="right"/>
            </w:pPr>
            <w:r>
              <w:t xml:space="preserve">2021</w:t>
            </w:r>
          </w:p>
        </w:tc>
        <w:tc>
          <w:tcPr/>
          <w:p>
            <w:pPr>
              <w:pStyle w:val="Compact"/>
              <w:jc w:val="right"/>
            </w:pPr>
            <w:r>
              <w:t xml:space="preserve">97.5%</w:t>
            </w:r>
          </w:p>
        </w:tc>
        <w:tc>
          <w:tcPr/>
          <w:p>
            <w:pPr>
              <w:pStyle w:val="Compact"/>
              <w:jc w:val="right"/>
            </w:pPr>
            <w:r>
              <w:t xml:space="preserve">2.1%</w:t>
            </w:r>
          </w:p>
        </w:tc>
        <w:tc>
          <w:tcPr/>
          <w:p>
            <w:pPr>
              <w:pStyle w:val="Compact"/>
              <w:jc w:val="right"/>
            </w:pPr>
            <w:r>
              <w:t xml:space="preserve">0.5%</w:t>
            </w:r>
          </w:p>
        </w:tc>
      </w:tr>
      <w:tr>
        <w:tc>
          <w:tcPr/>
          <w:p>
            <w:pPr>
              <w:pStyle w:val="Compact"/>
              <w:jc w:val="left"/>
            </w:pPr>
            <w:r>
              <w:t xml:space="preserve">Rituximab</w:t>
            </w:r>
          </w:p>
        </w:tc>
        <w:tc>
          <w:tcPr/>
          <w:p>
            <w:pPr>
              <w:pStyle w:val="Compact"/>
              <w:jc w:val="right"/>
            </w:pPr>
            <w:r>
              <w:t xml:space="preserve">2022</w:t>
            </w:r>
          </w:p>
        </w:tc>
        <w:tc>
          <w:tcPr/>
          <w:p>
            <w:pPr>
              <w:pStyle w:val="Compact"/>
              <w:jc w:val="right"/>
            </w:pPr>
            <w:r>
              <w:t xml:space="preserve">98.7%</w:t>
            </w:r>
          </w:p>
        </w:tc>
        <w:tc>
          <w:tcPr/>
          <w:p>
            <w:pPr>
              <w:pStyle w:val="Compact"/>
              <w:jc w:val="right"/>
            </w:pPr>
            <w:r>
              <w:t xml:space="preserve">0.8%</w:t>
            </w:r>
          </w:p>
        </w:tc>
        <w:tc>
          <w:tcPr/>
          <w:p>
            <w:pPr>
              <w:pStyle w:val="Compact"/>
              <w:jc w:val="right"/>
            </w:pPr>
            <w:r>
              <w:t xml:space="preserve">0.5%</w:t>
            </w:r>
          </w:p>
        </w:tc>
      </w:tr>
      <w:tr>
        <w:tc>
          <w:tcPr/>
          <w:p>
            <w:pPr>
              <w:pStyle w:val="Compact"/>
              <w:jc w:val="left"/>
            </w:pPr>
            <w:r>
              <w:t xml:space="preserve">Rituximab</w:t>
            </w:r>
          </w:p>
        </w:tc>
        <w:tc>
          <w:tcPr/>
          <w:p>
            <w:pPr>
              <w:pStyle w:val="Compact"/>
              <w:jc w:val="right"/>
            </w:pPr>
            <w:r>
              <w:t xml:space="preserve">2023</w:t>
            </w:r>
          </w:p>
        </w:tc>
        <w:tc>
          <w:tcPr/>
          <w:p>
            <w:pPr>
              <w:pStyle w:val="Compact"/>
              <w:jc w:val="right"/>
            </w:pPr>
            <w:r>
              <w:t xml:space="preserve">99.0%</w:t>
            </w:r>
          </w:p>
        </w:tc>
        <w:tc>
          <w:tcPr/>
          <w:p>
            <w:pPr>
              <w:pStyle w:val="Compact"/>
              <w:jc w:val="right"/>
            </w:pPr>
            <w:r>
              <w:t xml:space="preserve">0.4%</w:t>
            </w:r>
          </w:p>
        </w:tc>
        <w:tc>
          <w:tcPr/>
          <w:p>
            <w:pPr>
              <w:pStyle w:val="Compact"/>
              <w:jc w:val="right"/>
            </w:pPr>
            <w:r>
              <w:t xml:space="preserve">0.5%</w:t>
            </w:r>
          </w:p>
        </w:tc>
      </w:tr>
      <w:tr>
        <w:tc>
          <w:tcPr/>
          <w:p>
            <w:pPr>
              <w:pStyle w:val="Compact"/>
              <w:jc w:val="left"/>
            </w:pPr>
            <w:r>
              <w:t xml:space="preserve">Rituximab</w:t>
            </w:r>
          </w:p>
        </w:tc>
        <w:tc>
          <w:tcPr/>
          <w:p>
            <w:pPr>
              <w:pStyle w:val="Compact"/>
              <w:jc w:val="right"/>
            </w:pPr>
            <w:r>
              <w:t xml:space="preserve">2024</w:t>
            </w:r>
          </w:p>
        </w:tc>
        <w:tc>
          <w:tcPr/>
          <w:p>
            <w:pPr>
              <w:pStyle w:val="Compact"/>
              <w:jc w:val="right"/>
            </w:pPr>
            <w:r>
              <w:t xml:space="preserve">99.2%</w:t>
            </w:r>
          </w:p>
        </w:tc>
        <w:tc>
          <w:tcPr/>
          <w:p>
            <w:pPr>
              <w:pStyle w:val="Compact"/>
              <w:jc w:val="right"/>
            </w:pPr>
            <w:r>
              <w:t xml:space="preserve">0.2%</w:t>
            </w:r>
          </w:p>
        </w:tc>
        <w:tc>
          <w:tcPr/>
          <w:p>
            <w:pPr>
              <w:pStyle w:val="Compact"/>
              <w:jc w:val="right"/>
            </w:pPr>
            <w:r>
              <w:t xml:space="preserve">0.6%</w:t>
            </w:r>
          </w:p>
        </w:tc>
      </w:tr>
      <w:tr>
        <w:tc>
          <w:tcPr/>
          <w:p>
            <w:pPr>
              <w:pStyle w:val="Compact"/>
              <w:jc w:val="left"/>
            </w:pPr>
            <w:r>
              <w:t xml:space="preserve">Systemic glucocorticoids without dexamethasone/hydrocortisone (prednisolone-equivalent mg)</w:t>
            </w:r>
          </w:p>
        </w:tc>
        <w:tc>
          <w:tcPr/>
          <w:p>
            <w:pPr>
              <w:pStyle w:val="Compact"/>
              <w:jc w:val="right"/>
            </w:pPr>
            <w:r>
              <w:t xml:space="preserve">2019</w:t>
            </w:r>
          </w:p>
        </w:tc>
        <w:tc>
          <w:tcPr/>
          <w:p>
            <w:pPr>
              <w:pStyle w:val="Compact"/>
              <w:jc w:val="right"/>
            </w:pPr>
            <w:r>
              <w:t xml:space="preserve">89.8%</w:t>
            </w:r>
          </w:p>
        </w:tc>
        <w:tc>
          <w:tcPr/>
          <w:p>
            <w:pPr>
              <w:pStyle w:val="Compact"/>
              <w:jc w:val="right"/>
            </w:pPr>
            <w:r>
              <w:t xml:space="preserve">9.5%</w:t>
            </w:r>
          </w:p>
        </w:tc>
        <w:tc>
          <w:tcPr/>
          <w:p>
            <w:pPr>
              <w:pStyle w:val="Compact"/>
              <w:jc w:val="right"/>
            </w:pPr>
            <w:r>
              <w:t xml:space="preserve">0.7%</w:t>
            </w:r>
          </w:p>
        </w:tc>
      </w:tr>
      <w:tr>
        <w:tc>
          <w:tcPr/>
          <w:p>
            <w:pPr>
              <w:pStyle w:val="Compact"/>
              <w:jc w:val="left"/>
            </w:pPr>
            <w:r>
              <w:t xml:space="preserve">Systemic glucocorticoids without dexamethasone/hydrocortisone (prednisolone-equivalent mg)</w:t>
            </w:r>
          </w:p>
        </w:tc>
        <w:tc>
          <w:tcPr/>
          <w:p>
            <w:pPr>
              <w:pStyle w:val="Compact"/>
              <w:jc w:val="right"/>
            </w:pPr>
            <w:r>
              <w:t xml:space="preserve">2020</w:t>
            </w:r>
          </w:p>
        </w:tc>
        <w:tc>
          <w:tcPr/>
          <w:p>
            <w:pPr>
              <w:pStyle w:val="Compact"/>
              <w:jc w:val="right"/>
            </w:pPr>
            <w:r>
              <w:t xml:space="preserve">94.1%</w:t>
            </w:r>
          </w:p>
        </w:tc>
        <w:tc>
          <w:tcPr/>
          <w:p>
            <w:pPr>
              <w:pStyle w:val="Compact"/>
              <w:jc w:val="right"/>
            </w:pPr>
            <w:r>
              <w:t xml:space="preserve">5.1%</w:t>
            </w:r>
          </w:p>
        </w:tc>
        <w:tc>
          <w:tcPr/>
          <w:p>
            <w:pPr>
              <w:pStyle w:val="Compact"/>
              <w:jc w:val="right"/>
            </w:pPr>
            <w:r>
              <w:t xml:space="preserve">0.8%</w:t>
            </w:r>
          </w:p>
        </w:tc>
      </w:tr>
      <w:tr>
        <w:tc>
          <w:tcPr/>
          <w:p>
            <w:pPr>
              <w:pStyle w:val="Compact"/>
              <w:jc w:val="left"/>
            </w:pPr>
            <w:r>
              <w:t xml:space="preserve">Systemic glucocorticoids without dexamethasone/hydrocortisone (prednisolone-equivalent mg)</w:t>
            </w:r>
          </w:p>
        </w:tc>
        <w:tc>
          <w:tcPr/>
          <w:p>
            <w:pPr>
              <w:pStyle w:val="Compact"/>
              <w:jc w:val="right"/>
            </w:pPr>
            <w:r>
              <w:t xml:space="preserve">2021</w:t>
            </w:r>
          </w:p>
        </w:tc>
        <w:tc>
          <w:tcPr/>
          <w:p>
            <w:pPr>
              <w:pStyle w:val="Compact"/>
              <w:jc w:val="right"/>
            </w:pPr>
            <w:r>
              <w:t xml:space="preserve">97.1%</w:t>
            </w:r>
          </w:p>
        </w:tc>
        <w:tc>
          <w:tcPr/>
          <w:p>
            <w:pPr>
              <w:pStyle w:val="Compact"/>
              <w:jc w:val="right"/>
            </w:pPr>
            <w:r>
              <w:t xml:space="preserve">2.3%</w:t>
            </w:r>
          </w:p>
        </w:tc>
        <w:tc>
          <w:tcPr/>
          <w:p>
            <w:pPr>
              <w:pStyle w:val="Compact"/>
              <w:jc w:val="right"/>
            </w:pPr>
            <w:r>
              <w:t xml:space="preserve">0.6%</w:t>
            </w:r>
          </w:p>
        </w:tc>
      </w:tr>
      <w:tr>
        <w:tc>
          <w:tcPr/>
          <w:p>
            <w:pPr>
              <w:pStyle w:val="Compact"/>
              <w:jc w:val="left"/>
            </w:pPr>
            <w:r>
              <w:t xml:space="preserve">Systemic glucocorticoids without dexamethasone/hydrocortisone (prednisolone-equivalent mg)</w:t>
            </w:r>
          </w:p>
        </w:tc>
        <w:tc>
          <w:tcPr/>
          <w:p>
            <w:pPr>
              <w:pStyle w:val="Compact"/>
              <w:jc w:val="right"/>
            </w:pPr>
            <w:r>
              <w:t xml:space="preserve">2022</w:t>
            </w:r>
          </w:p>
        </w:tc>
        <w:tc>
          <w:tcPr/>
          <w:p>
            <w:pPr>
              <w:pStyle w:val="Compact"/>
              <w:jc w:val="right"/>
            </w:pPr>
            <w:r>
              <w:t xml:space="preserve">98.2%</w:t>
            </w:r>
          </w:p>
        </w:tc>
        <w:tc>
          <w:tcPr/>
          <w:p>
            <w:pPr>
              <w:pStyle w:val="Compact"/>
              <w:jc w:val="right"/>
            </w:pPr>
            <w:r>
              <w:t xml:space="preserve">1.1%</w:t>
            </w:r>
          </w:p>
        </w:tc>
        <w:tc>
          <w:tcPr/>
          <w:p>
            <w:pPr>
              <w:pStyle w:val="Compact"/>
              <w:jc w:val="right"/>
            </w:pPr>
            <w:r>
              <w:t xml:space="preserve">0.6%</w:t>
            </w:r>
          </w:p>
        </w:tc>
      </w:tr>
      <w:tr>
        <w:tc>
          <w:tcPr/>
          <w:p>
            <w:pPr>
              <w:pStyle w:val="Compact"/>
              <w:jc w:val="left"/>
            </w:pPr>
            <w:r>
              <w:t xml:space="preserve">Systemic glucocorticoids without dexamethasone/hydrocortisone (prednisolone-equivalent mg)</w:t>
            </w:r>
          </w:p>
        </w:tc>
        <w:tc>
          <w:tcPr/>
          <w:p>
            <w:pPr>
              <w:pStyle w:val="Compact"/>
              <w:jc w:val="right"/>
            </w:pPr>
            <w:r>
              <w:t xml:space="preserve">2023</w:t>
            </w:r>
          </w:p>
        </w:tc>
        <w:tc>
          <w:tcPr/>
          <w:p>
            <w:pPr>
              <w:pStyle w:val="Compact"/>
              <w:jc w:val="right"/>
            </w:pPr>
            <w:r>
              <w:t xml:space="preserve">98.6%</w:t>
            </w:r>
          </w:p>
        </w:tc>
        <w:tc>
          <w:tcPr/>
          <w:p>
            <w:pPr>
              <w:pStyle w:val="Compact"/>
              <w:jc w:val="right"/>
            </w:pPr>
            <w:r>
              <w:t xml:space="preserve">0.8%</w:t>
            </w:r>
          </w:p>
        </w:tc>
        <w:tc>
          <w:tcPr/>
          <w:p>
            <w:pPr>
              <w:pStyle w:val="Compact"/>
              <w:jc w:val="right"/>
            </w:pPr>
            <w:r>
              <w:t xml:space="preserve">0.6%</w:t>
            </w:r>
          </w:p>
        </w:tc>
      </w:tr>
      <w:tr>
        <w:tc>
          <w:tcPr/>
          <w:p>
            <w:pPr>
              <w:pStyle w:val="Compact"/>
              <w:jc w:val="left"/>
            </w:pPr>
            <w:r>
              <w:t xml:space="preserve">Systemic glucocorticoids without dexamethasone/hydrocortisone (prednisolone-equivalent mg)</w:t>
            </w:r>
          </w:p>
        </w:tc>
        <w:tc>
          <w:tcPr/>
          <w:p>
            <w:pPr>
              <w:pStyle w:val="Compact"/>
              <w:jc w:val="right"/>
            </w:pPr>
            <w:r>
              <w:t xml:space="preserve">2024</w:t>
            </w:r>
          </w:p>
        </w:tc>
        <w:tc>
          <w:tcPr/>
          <w:p>
            <w:pPr>
              <w:pStyle w:val="Compact"/>
              <w:jc w:val="right"/>
            </w:pPr>
            <w:r>
              <w:t xml:space="preserve">98.8%</w:t>
            </w:r>
          </w:p>
        </w:tc>
        <w:tc>
          <w:tcPr/>
          <w:p>
            <w:pPr>
              <w:pStyle w:val="Compact"/>
              <w:jc w:val="right"/>
            </w:pPr>
            <w:r>
              <w:t xml:space="preserve">0.5%</w:t>
            </w:r>
          </w:p>
        </w:tc>
        <w:tc>
          <w:tcPr/>
          <w:p>
            <w:pPr>
              <w:pStyle w:val="Compact"/>
              <w:jc w:val="right"/>
            </w:pPr>
            <w:r>
              <w:t xml:space="preserve">0.6%</w:t>
            </w:r>
          </w:p>
        </w:tc>
      </w:tr>
      <w:tr>
        <w:tc>
          <w:tcPr/>
          <w:p>
            <w:pPr>
              <w:pStyle w:val="Compact"/>
              <w:jc w:val="left"/>
            </w:pPr>
            <w:r>
              <w:t xml:space="preserve">TNF inhibitors</w:t>
            </w:r>
          </w:p>
        </w:tc>
        <w:tc>
          <w:tcPr/>
          <w:p>
            <w:pPr>
              <w:pStyle w:val="Compact"/>
              <w:jc w:val="right"/>
            </w:pPr>
            <w:r>
              <w:t xml:space="preserve">2019</w:t>
            </w:r>
          </w:p>
        </w:tc>
        <w:tc>
          <w:tcPr/>
          <w:p>
            <w:pPr>
              <w:pStyle w:val="Compact"/>
              <w:jc w:val="right"/>
            </w:pPr>
            <w:r>
              <w:t xml:space="preserve">91.2%</w:t>
            </w:r>
          </w:p>
        </w:tc>
        <w:tc>
          <w:tcPr/>
          <w:p>
            <w:pPr>
              <w:pStyle w:val="Compact"/>
              <w:jc w:val="right"/>
            </w:pPr>
            <w:r>
              <w:t xml:space="preserve">8.2%</w:t>
            </w:r>
          </w:p>
        </w:tc>
        <w:tc>
          <w:tcPr/>
          <w:p>
            <w:pPr>
              <w:pStyle w:val="Compact"/>
              <w:jc w:val="right"/>
            </w:pPr>
            <w:r>
              <w:t xml:space="preserve">0.6%</w:t>
            </w:r>
          </w:p>
        </w:tc>
      </w:tr>
      <w:tr>
        <w:tc>
          <w:tcPr/>
          <w:p>
            <w:pPr>
              <w:pStyle w:val="Compact"/>
              <w:jc w:val="left"/>
            </w:pPr>
            <w:r>
              <w:t xml:space="preserve">TNF inhibitors</w:t>
            </w:r>
          </w:p>
        </w:tc>
        <w:tc>
          <w:tcPr/>
          <w:p>
            <w:pPr>
              <w:pStyle w:val="Compact"/>
              <w:jc w:val="right"/>
            </w:pPr>
            <w:r>
              <w:t xml:space="preserve">2020</w:t>
            </w:r>
          </w:p>
        </w:tc>
        <w:tc>
          <w:tcPr/>
          <w:p>
            <w:pPr>
              <w:pStyle w:val="Compact"/>
              <w:jc w:val="right"/>
            </w:pPr>
            <w:r>
              <w:t xml:space="preserve">95.3%</w:t>
            </w:r>
          </w:p>
        </w:tc>
        <w:tc>
          <w:tcPr/>
          <w:p>
            <w:pPr>
              <w:pStyle w:val="Compact"/>
              <w:jc w:val="right"/>
            </w:pPr>
            <w:r>
              <w:t xml:space="preserve">4.1%</w:t>
            </w:r>
          </w:p>
        </w:tc>
        <w:tc>
          <w:tcPr/>
          <w:p>
            <w:pPr>
              <w:pStyle w:val="Compact"/>
              <w:jc w:val="right"/>
            </w:pPr>
            <w:r>
              <w:t xml:space="preserve">0.6%</w:t>
            </w:r>
          </w:p>
        </w:tc>
      </w:tr>
      <w:tr>
        <w:tc>
          <w:tcPr/>
          <w:p>
            <w:pPr>
              <w:pStyle w:val="Compact"/>
              <w:jc w:val="left"/>
            </w:pPr>
            <w:r>
              <w:t xml:space="preserve">TNF inhibitors</w:t>
            </w:r>
          </w:p>
        </w:tc>
        <w:tc>
          <w:tcPr/>
          <w:p>
            <w:pPr>
              <w:pStyle w:val="Compact"/>
              <w:jc w:val="right"/>
            </w:pPr>
            <w:r>
              <w:t xml:space="preserve">2021</w:t>
            </w:r>
          </w:p>
        </w:tc>
        <w:tc>
          <w:tcPr/>
          <w:p>
            <w:pPr>
              <w:pStyle w:val="Compact"/>
              <w:jc w:val="right"/>
            </w:pPr>
            <w:r>
              <w:t xml:space="preserve">97.6%</w:t>
            </w:r>
          </w:p>
        </w:tc>
        <w:tc>
          <w:tcPr/>
          <w:p>
            <w:pPr>
              <w:pStyle w:val="Compact"/>
              <w:jc w:val="right"/>
            </w:pPr>
            <w:r>
              <w:t xml:space="preserve">2.0%</w:t>
            </w:r>
          </w:p>
        </w:tc>
        <w:tc>
          <w:tcPr/>
          <w:p>
            <w:pPr>
              <w:pStyle w:val="Compact"/>
              <w:jc w:val="right"/>
            </w:pPr>
            <w:r>
              <w:t xml:space="preserve">0.4%</w:t>
            </w:r>
          </w:p>
        </w:tc>
      </w:tr>
      <w:tr>
        <w:tc>
          <w:tcPr/>
          <w:p>
            <w:pPr>
              <w:pStyle w:val="Compact"/>
              <w:jc w:val="left"/>
            </w:pPr>
            <w:r>
              <w:t xml:space="preserve">TNF inhibitors</w:t>
            </w:r>
          </w:p>
        </w:tc>
        <w:tc>
          <w:tcPr/>
          <w:p>
            <w:pPr>
              <w:pStyle w:val="Compact"/>
              <w:jc w:val="right"/>
            </w:pPr>
            <w:r>
              <w:t xml:space="preserve">2022</w:t>
            </w:r>
          </w:p>
        </w:tc>
        <w:tc>
          <w:tcPr/>
          <w:p>
            <w:pPr>
              <w:pStyle w:val="Compact"/>
              <w:jc w:val="right"/>
            </w:pPr>
            <w:r>
              <w:t xml:space="preserve">98.5%</w:t>
            </w:r>
          </w:p>
        </w:tc>
        <w:tc>
          <w:tcPr/>
          <w:p>
            <w:pPr>
              <w:pStyle w:val="Compact"/>
              <w:jc w:val="right"/>
            </w:pPr>
            <w:r>
              <w:t xml:space="preserve">0.9%</w:t>
            </w:r>
          </w:p>
        </w:tc>
        <w:tc>
          <w:tcPr/>
          <w:p>
            <w:pPr>
              <w:pStyle w:val="Compact"/>
              <w:jc w:val="right"/>
            </w:pPr>
            <w:r>
              <w:t xml:space="preserve">0.6%</w:t>
            </w:r>
          </w:p>
        </w:tc>
      </w:tr>
      <w:tr>
        <w:tc>
          <w:tcPr/>
          <w:p>
            <w:pPr>
              <w:pStyle w:val="Compact"/>
              <w:jc w:val="left"/>
            </w:pPr>
            <w:r>
              <w:t xml:space="preserve">TNF inhibitors</w:t>
            </w:r>
          </w:p>
        </w:tc>
        <w:tc>
          <w:tcPr/>
          <w:p>
            <w:pPr>
              <w:pStyle w:val="Compact"/>
              <w:jc w:val="right"/>
            </w:pPr>
            <w:r>
              <w:t xml:space="preserve">2023</w:t>
            </w:r>
          </w:p>
        </w:tc>
        <w:tc>
          <w:tcPr/>
          <w:p>
            <w:pPr>
              <w:pStyle w:val="Compact"/>
              <w:jc w:val="right"/>
            </w:pPr>
            <w:r>
              <w:t xml:space="preserve">98.6%</w:t>
            </w:r>
          </w:p>
        </w:tc>
        <w:tc>
          <w:tcPr/>
          <w:p>
            <w:pPr>
              <w:pStyle w:val="Compact"/>
              <w:jc w:val="right"/>
            </w:pPr>
            <w:r>
              <w:t xml:space="preserve">0.4%</w:t>
            </w:r>
          </w:p>
        </w:tc>
        <w:tc>
          <w:tcPr/>
          <w:p>
            <w:pPr>
              <w:pStyle w:val="Compact"/>
              <w:jc w:val="right"/>
            </w:pPr>
            <w:r>
              <w:t xml:space="preserve">0.9%</w:t>
            </w:r>
          </w:p>
        </w:tc>
      </w:tr>
      <w:tr>
        <w:tc>
          <w:tcPr/>
          <w:p>
            <w:pPr>
              <w:pStyle w:val="Compact"/>
              <w:jc w:val="left"/>
            </w:pPr>
            <w:r>
              <w:t xml:space="preserve">TNF inhibitors</w:t>
            </w:r>
          </w:p>
        </w:tc>
        <w:tc>
          <w:tcPr/>
          <w:p>
            <w:pPr>
              <w:pStyle w:val="Compact"/>
              <w:jc w:val="right"/>
            </w:pPr>
            <w:r>
              <w:t xml:space="preserve">2024</w:t>
            </w:r>
          </w:p>
        </w:tc>
        <w:tc>
          <w:tcPr/>
          <w:p>
            <w:pPr>
              <w:pStyle w:val="Compact"/>
              <w:jc w:val="right"/>
            </w:pPr>
            <w:r>
              <w:t xml:space="preserve">98.9%</w:t>
            </w:r>
          </w:p>
        </w:tc>
        <w:tc>
          <w:tcPr/>
          <w:p>
            <w:pPr>
              <w:pStyle w:val="Compact"/>
              <w:jc w:val="right"/>
            </w:pPr>
            <w:r>
              <w:t xml:space="preserve">0.3%</w:t>
            </w:r>
          </w:p>
        </w:tc>
        <w:tc>
          <w:tcPr/>
          <w:p>
            <w:pPr>
              <w:pStyle w:val="Compact"/>
              <w:jc w:val="right"/>
            </w:pPr>
            <w:r>
              <w:t xml:space="preserve">0.9%</w:t>
            </w:r>
          </w:p>
        </w:tc>
      </w:tr>
      <w:tr>
        <w:tc>
          <w:tcPr/>
          <w:p>
            <w:pPr>
              <w:pStyle w:val="Compact"/>
              <w:jc w:val="left"/>
            </w:pPr>
            <w:r>
              <w:t xml:space="preserve">Calcineurin/mTOR inhibitors</w:t>
            </w:r>
          </w:p>
        </w:tc>
        <w:tc>
          <w:tcPr/>
          <w:p>
            <w:pPr>
              <w:pStyle w:val="Compact"/>
              <w:jc w:val="right"/>
            </w:pPr>
            <w:r>
              <w:t xml:space="preserve">2019</w:t>
            </w:r>
          </w:p>
        </w:tc>
        <w:tc>
          <w:tcPr/>
          <w:p>
            <w:pPr>
              <w:pStyle w:val="Compact"/>
              <w:jc w:val="right"/>
            </w:pPr>
            <w:r>
              <w:t xml:space="preserve">92.3%</w:t>
            </w:r>
          </w:p>
        </w:tc>
        <w:tc>
          <w:tcPr/>
          <w:p>
            <w:pPr>
              <w:pStyle w:val="Compact"/>
              <w:jc w:val="right"/>
            </w:pPr>
            <w:r>
              <w:t xml:space="preserve">7.6%</w:t>
            </w:r>
          </w:p>
        </w:tc>
        <w:tc>
          <w:tcPr/>
          <w:p>
            <w:pPr>
              <w:pStyle w:val="Compact"/>
              <w:jc w:val="right"/>
            </w:pPr>
            <w:r>
              <w:t xml:space="preserve">0.1%</w:t>
            </w:r>
          </w:p>
        </w:tc>
      </w:tr>
      <w:tr>
        <w:tc>
          <w:tcPr/>
          <w:p>
            <w:pPr>
              <w:pStyle w:val="Compact"/>
              <w:jc w:val="left"/>
            </w:pPr>
            <w:r>
              <w:t xml:space="preserve">Calcineurin/mTOR inhibitors</w:t>
            </w:r>
          </w:p>
        </w:tc>
        <w:tc>
          <w:tcPr/>
          <w:p>
            <w:pPr>
              <w:pStyle w:val="Compact"/>
              <w:jc w:val="right"/>
            </w:pPr>
            <w:r>
              <w:t xml:space="preserve">2020</w:t>
            </w:r>
          </w:p>
        </w:tc>
        <w:tc>
          <w:tcPr/>
          <w:p>
            <w:pPr>
              <w:pStyle w:val="Compact"/>
              <w:jc w:val="right"/>
            </w:pPr>
            <w:r>
              <w:t xml:space="preserve">96.2%</w:t>
            </w:r>
          </w:p>
        </w:tc>
        <w:tc>
          <w:tcPr/>
          <w:p>
            <w:pPr>
              <w:pStyle w:val="Compact"/>
              <w:jc w:val="right"/>
            </w:pPr>
            <w:r>
              <w:t xml:space="preserve">3.6%</w:t>
            </w:r>
          </w:p>
        </w:tc>
        <w:tc>
          <w:tcPr/>
          <w:p>
            <w:pPr>
              <w:pStyle w:val="Compact"/>
              <w:jc w:val="right"/>
            </w:pPr>
            <w:r>
              <w:t xml:space="preserve">0.1%</w:t>
            </w:r>
          </w:p>
        </w:tc>
      </w:tr>
      <w:tr>
        <w:tc>
          <w:tcPr/>
          <w:p>
            <w:pPr>
              <w:pStyle w:val="Compact"/>
              <w:jc w:val="left"/>
            </w:pPr>
            <w:r>
              <w:t xml:space="preserve">Calcineurin/mTOR inhibitors</w:t>
            </w:r>
          </w:p>
        </w:tc>
        <w:tc>
          <w:tcPr/>
          <w:p>
            <w:pPr>
              <w:pStyle w:val="Compact"/>
              <w:jc w:val="right"/>
            </w:pPr>
            <w:r>
              <w:t xml:space="preserve">2021</w:t>
            </w:r>
          </w:p>
        </w:tc>
        <w:tc>
          <w:tcPr/>
          <w:p>
            <w:pPr>
              <w:pStyle w:val="Compact"/>
              <w:jc w:val="right"/>
            </w:pPr>
            <w:r>
              <w:t xml:space="preserve">99.2%</w:t>
            </w:r>
          </w:p>
        </w:tc>
        <w:tc>
          <w:tcPr/>
          <w:p>
            <w:pPr>
              <w:pStyle w:val="Compact"/>
              <w:jc w:val="right"/>
            </w:pPr>
            <w:r>
              <w:t xml:space="preserve">0.6%</w:t>
            </w:r>
          </w:p>
        </w:tc>
        <w:tc>
          <w:tcPr/>
          <w:p>
            <w:pPr>
              <w:pStyle w:val="Compact"/>
              <w:jc w:val="right"/>
            </w:pPr>
            <w:r>
              <w:t xml:space="preserve">0.1%</w:t>
            </w:r>
          </w:p>
        </w:tc>
      </w:tr>
      <w:tr>
        <w:tc>
          <w:tcPr/>
          <w:p>
            <w:pPr>
              <w:pStyle w:val="Compact"/>
              <w:jc w:val="left"/>
            </w:pPr>
            <w:r>
              <w:t xml:space="preserve">Calcineurin/mTOR inhibitors</w:t>
            </w:r>
          </w:p>
        </w:tc>
        <w:tc>
          <w:tcPr/>
          <w:p>
            <w:pPr>
              <w:pStyle w:val="Compact"/>
              <w:jc w:val="right"/>
            </w:pPr>
            <w:r>
              <w:t xml:space="preserve">2022</w:t>
            </w:r>
          </w:p>
        </w:tc>
        <w:tc>
          <w:tcPr/>
          <w:p>
            <w:pPr>
              <w:pStyle w:val="Compact"/>
              <w:jc w:val="right"/>
            </w:pPr>
            <w:r>
              <w:t xml:space="preserve">99.8%</w:t>
            </w:r>
          </w:p>
        </w:tc>
        <w:tc>
          <w:tcPr/>
          <w:p>
            <w:pPr>
              <w:pStyle w:val="Compact"/>
              <w:jc w:val="right"/>
            </w:pPr>
            <w:r>
              <w:t xml:space="preserve">0.1%</w:t>
            </w:r>
          </w:p>
        </w:tc>
        <w:tc>
          <w:tcPr/>
          <w:p>
            <w:pPr>
              <w:pStyle w:val="Compact"/>
              <w:jc w:val="right"/>
            </w:pPr>
            <w:r>
              <w:t xml:space="preserve">0.1%</w:t>
            </w:r>
          </w:p>
        </w:tc>
      </w:tr>
      <w:tr>
        <w:tc>
          <w:tcPr/>
          <w:p>
            <w:pPr>
              <w:pStyle w:val="Compact"/>
              <w:jc w:val="left"/>
            </w:pPr>
            <w:r>
              <w:t xml:space="preserve">Calcineurin/mTOR inhibitors</w:t>
            </w:r>
          </w:p>
        </w:tc>
        <w:tc>
          <w:tcPr/>
          <w:p>
            <w:pPr>
              <w:pStyle w:val="Compact"/>
              <w:jc w:val="right"/>
            </w:pPr>
            <w:r>
              <w:t xml:space="preserve">2023</w:t>
            </w:r>
          </w:p>
        </w:tc>
        <w:tc>
          <w:tcPr/>
          <w:p>
            <w:pPr>
              <w:pStyle w:val="Compact"/>
              <w:jc w:val="right"/>
            </w:pPr>
            <w:r>
              <w:t xml:space="preserve">99.9%</w:t>
            </w:r>
          </w:p>
        </w:tc>
        <w:tc>
          <w:tcPr/>
          <w:p>
            <w:pPr>
              <w:pStyle w:val="Compact"/>
              <w:jc w:val="right"/>
            </w:pPr>
            <w:r>
              <w:t xml:space="preserve">0.0%</w:t>
            </w:r>
          </w:p>
        </w:tc>
        <w:tc>
          <w:tcPr/>
          <w:p>
            <w:pPr>
              <w:pStyle w:val="Compact"/>
              <w:jc w:val="right"/>
            </w:pPr>
            <w:r>
              <w:t xml:space="preserve">0.1%</w:t>
            </w:r>
          </w:p>
        </w:tc>
      </w:tr>
      <w:tr>
        <w:tc>
          <w:tcPr/>
          <w:p>
            <w:pPr>
              <w:pStyle w:val="Compact"/>
              <w:jc w:val="left"/>
            </w:pPr>
            <w:r>
              <w:t xml:space="preserve">Calcineurin/mTOR inhibitors</w:t>
            </w:r>
          </w:p>
        </w:tc>
        <w:tc>
          <w:tcPr/>
          <w:p>
            <w:pPr>
              <w:pStyle w:val="Compact"/>
              <w:jc w:val="right"/>
            </w:pPr>
            <w:r>
              <w:t xml:space="preserve">2024</w:t>
            </w:r>
          </w:p>
        </w:tc>
        <w:tc>
          <w:tcPr/>
          <w:p>
            <w:pPr>
              <w:pStyle w:val="Compact"/>
              <w:jc w:val="right"/>
            </w:pPr>
            <w:r>
              <w:t xml:space="preserve">99.9%</w:t>
            </w:r>
          </w:p>
        </w:tc>
        <w:tc>
          <w:tcPr/>
          <w:p>
            <w:pPr>
              <w:pStyle w:val="Compact"/>
              <w:jc w:val="right"/>
            </w:pPr>
            <w:r>
              <w:t xml:space="preserve">0.0%</w:t>
            </w:r>
          </w:p>
        </w:tc>
        <w:tc>
          <w:tcPr/>
          <w:p>
            <w:pPr>
              <w:pStyle w:val="Compact"/>
              <w:jc w:val="right"/>
            </w:pPr>
            <w:r>
              <w:t xml:space="preserve">0.1%</w:t>
            </w:r>
          </w:p>
        </w:tc>
      </w:tr>
    </w:tbl>
    <w:p>
      <w:pPr>
        <w:pStyle w:val="BodyText"/>
      </w:pPr>
      <w:r>
        <w:rPr>
          <w:b/>
          <w:bCs/>
        </w:rPr>
        <w:t xml:space="preserve">Table S2b. Previous, same and following year in one model, LTLA residence: IRR per 10% (95% CI)</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Drug group</w:t>
            </w:r>
          </w:p>
        </w:tc>
        <w:tc>
          <w:tcPr/>
          <w:p>
            <w:pPr>
              <w:pStyle w:val="Compact"/>
              <w:jc w:val="right"/>
            </w:pPr>
            <w:r>
              <w:t xml:space="preserve">t−1</w:t>
            </w:r>
          </w:p>
        </w:tc>
        <w:tc>
          <w:tcPr/>
          <w:p>
            <w:pPr>
              <w:pStyle w:val="Compact"/>
              <w:jc w:val="right"/>
            </w:pPr>
            <w:r>
              <w:t xml:space="preserve">t (same year)</w:t>
            </w:r>
          </w:p>
        </w:tc>
        <w:tc>
          <w:tcPr/>
          <w:p>
            <w:pPr>
              <w:pStyle w:val="Compact"/>
              <w:jc w:val="right"/>
            </w:pPr>
            <w:r>
              <w:t xml:space="preserve">t+1</w:t>
            </w:r>
          </w:p>
        </w:tc>
        <w:tc>
          <w:tcPr/>
          <w:p>
            <w:pPr>
              <w:pStyle w:val="Compact"/>
              <w:jc w:val="right"/>
            </w:pPr>
            <w:r>
              <w:t xml:space="preserve">p, t−1 vs t+1</w:t>
            </w:r>
          </w:p>
        </w:tc>
        <w:tc>
          <w:tcPr/>
          <w:p>
            <w:pPr>
              <w:pStyle w:val="Compact"/>
              <w:jc w:val="right"/>
            </w:pPr>
            <w:r>
              <w:t xml:space="preserve">Correlation of t−1 and t+1 estimates</w:t>
            </w:r>
          </w:p>
        </w:tc>
      </w:tr>
      <w:tr>
        <w:tc>
          <w:tcPr/>
          <w:p>
            <w:pPr>
              <w:pStyle w:val="Compact"/>
              <w:jc w:val="left"/>
            </w:pPr>
            <w:r>
              <w:t xml:space="preserve">Antituberculosis (descriptive)</w:t>
            </w:r>
          </w:p>
        </w:tc>
        <w:tc>
          <w:tcPr/>
          <w:p>
            <w:pPr>
              <w:pStyle w:val="Compact"/>
              <w:jc w:val="right"/>
            </w:pPr>
            <w:r>
              <w:t xml:space="preserve">1.000 (0.997–1.004)</w:t>
            </w:r>
          </w:p>
        </w:tc>
        <w:tc>
          <w:tcPr/>
          <w:p>
            <w:pPr>
              <w:pStyle w:val="Compact"/>
              <w:jc w:val="right"/>
            </w:pPr>
            <w:r>
              <w:t xml:space="preserve">0.999 (0.995–1.003)</w:t>
            </w:r>
          </w:p>
        </w:tc>
        <w:tc>
          <w:tcPr/>
          <w:p>
            <w:pPr>
              <w:pStyle w:val="Compact"/>
              <w:jc w:val="right"/>
            </w:pPr>
            <w:r>
              <w:t xml:space="preserve">1.002 (0.999–1.006)</w:t>
            </w:r>
          </w:p>
        </w:tc>
        <w:tc>
          <w:tcPr/>
          <w:p>
            <w:pPr>
              <w:pStyle w:val="Compact"/>
              <w:jc w:val="right"/>
            </w:pPr>
            <w:r>
              <w:t xml:space="preserve">0.434</w:t>
            </w:r>
          </w:p>
        </w:tc>
        <w:tc>
          <w:tcPr/>
          <w:p>
            <w:pPr>
              <w:pStyle w:val="Compact"/>
              <w:jc w:val="right"/>
            </w:pPr>
            <w:r>
              <w:t xml:space="preserve">0.11</w:t>
            </w:r>
          </w:p>
        </w:tc>
      </w:tr>
      <w:tr>
        <w:tc>
          <w:tcPr/>
          <w:p>
            <w:pPr>
              <w:pStyle w:val="Compact"/>
              <w:jc w:val="left"/>
            </w:pPr>
            <w:r>
              <w:t xml:space="preserve">Systemic oral glucocorticoids</w:t>
            </w:r>
          </w:p>
        </w:tc>
        <w:tc>
          <w:tcPr/>
          <w:p>
            <w:pPr>
              <w:pStyle w:val="Compact"/>
              <w:jc w:val="right"/>
            </w:pPr>
            <w:r>
              <w:t xml:space="preserve">0.980 (0.926–1.036)</w:t>
            </w:r>
          </w:p>
        </w:tc>
        <w:tc>
          <w:tcPr/>
          <w:p>
            <w:pPr>
              <w:pStyle w:val="Compact"/>
              <w:jc w:val="right"/>
            </w:pPr>
            <w:r>
              <w:t xml:space="preserve">1.021 (0.971–1.073)</w:t>
            </w:r>
          </w:p>
        </w:tc>
        <w:tc>
          <w:tcPr/>
          <w:p>
            <w:pPr>
              <w:pStyle w:val="Compact"/>
              <w:jc w:val="right"/>
            </w:pPr>
            <w:r>
              <w:t xml:space="preserve">0.943 (0.898–0.990)</w:t>
            </w:r>
          </w:p>
        </w:tc>
        <w:tc>
          <w:tcPr/>
          <w:p>
            <w:pPr>
              <w:pStyle w:val="Compact"/>
              <w:jc w:val="right"/>
            </w:pPr>
            <w:r>
              <w:t xml:space="preserve">0.337</w:t>
            </w:r>
          </w:p>
        </w:tc>
        <w:tc>
          <w:tcPr/>
          <w:p>
            <w:pPr>
              <w:pStyle w:val="Compact"/>
              <w:jc w:val="right"/>
            </w:pPr>
            <w:r>
              <w:t xml:space="preserve">-0.11</w:t>
            </w:r>
          </w:p>
        </w:tc>
      </w:tr>
      <w:tr>
        <w:tc>
          <w:tcPr/>
          <w:p>
            <w:pPr>
              <w:pStyle w:val="Compact"/>
              <w:jc w:val="left"/>
            </w:pPr>
            <w:r>
              <w:t xml:space="preserve">Oral hydrocortisone</w:t>
            </w:r>
          </w:p>
        </w:tc>
        <w:tc>
          <w:tcPr/>
          <w:p>
            <w:pPr>
              <w:pStyle w:val="Compact"/>
              <w:jc w:val="right"/>
            </w:pPr>
            <w:r>
              <w:t xml:space="preserve">0.989 (0.969–1.010)</w:t>
            </w:r>
          </w:p>
        </w:tc>
        <w:tc>
          <w:tcPr/>
          <w:p>
            <w:pPr>
              <w:pStyle w:val="Compact"/>
              <w:jc w:val="right"/>
            </w:pPr>
            <w:r>
              <w:t xml:space="preserve">1.012 (0.990–1.034)</w:t>
            </w:r>
          </w:p>
        </w:tc>
        <w:tc>
          <w:tcPr/>
          <w:p>
            <w:pPr>
              <w:pStyle w:val="Compact"/>
              <w:jc w:val="right"/>
            </w:pPr>
            <w:r>
              <w:t xml:space="preserve">1.001 (0.982–1.020)</w:t>
            </w:r>
          </w:p>
        </w:tc>
        <w:tc>
          <w:tcPr/>
          <w:p>
            <w:pPr>
              <w:pStyle w:val="Compact"/>
              <w:jc w:val="right"/>
            </w:pPr>
            <w:r>
              <w:t xml:space="preserve">0.421</w:t>
            </w:r>
          </w:p>
        </w:tc>
        <w:tc>
          <w:tcPr/>
          <w:p>
            <w:pPr>
              <w:pStyle w:val="Compact"/>
              <w:jc w:val="right"/>
            </w:pPr>
            <w:r>
              <w:t xml:space="preserve">-0.05</w:t>
            </w:r>
          </w:p>
        </w:tc>
      </w:tr>
      <w:tr>
        <w:tc>
          <w:tcPr/>
          <w:p>
            <w:pPr>
              <w:pStyle w:val="Compact"/>
              <w:jc w:val="left"/>
            </w:pPr>
            <w:r>
              <w:t xml:space="preserve">Oral dexamethasone</w:t>
            </w:r>
          </w:p>
        </w:tc>
        <w:tc>
          <w:tcPr/>
          <w:p>
            <w:pPr>
              <w:pStyle w:val="Compact"/>
              <w:jc w:val="right"/>
            </w:pPr>
            <w:r>
              <w:t xml:space="preserve">1.002 (0.991–1.012)</w:t>
            </w:r>
          </w:p>
        </w:tc>
        <w:tc>
          <w:tcPr/>
          <w:p>
            <w:pPr>
              <w:pStyle w:val="Compact"/>
              <w:jc w:val="right"/>
            </w:pPr>
            <w:r>
              <w:t xml:space="preserve">1.001 (0.991–1.011)</w:t>
            </w:r>
          </w:p>
        </w:tc>
        <w:tc>
          <w:tcPr/>
          <w:p>
            <w:pPr>
              <w:pStyle w:val="Compact"/>
              <w:jc w:val="right"/>
            </w:pPr>
            <w:r>
              <w:t xml:space="preserve">1.003 (0.993–1.012)</w:t>
            </w:r>
          </w:p>
        </w:tc>
        <w:tc>
          <w:tcPr/>
          <w:p>
            <w:pPr>
              <w:pStyle w:val="Compact"/>
              <w:jc w:val="right"/>
            </w:pPr>
            <w:r>
              <w:t xml:space="preserve">0.905</w:t>
            </w:r>
          </w:p>
        </w:tc>
        <w:tc>
          <w:tcPr/>
          <w:p>
            <w:pPr>
              <w:pStyle w:val="Compact"/>
              <w:jc w:val="right"/>
            </w:pPr>
            <w:r>
              <w:t xml:space="preserve">0.01</w:t>
            </w:r>
          </w:p>
        </w:tc>
      </w:tr>
      <w:tr>
        <w:tc>
          <w:tcPr/>
          <w:p>
            <w:pPr>
              <w:pStyle w:val="Compact"/>
              <w:jc w:val="left"/>
            </w:pPr>
            <w:r>
              <w:t xml:space="preserve">Inhaled corticosteroids</w:t>
            </w:r>
          </w:p>
        </w:tc>
        <w:tc>
          <w:tcPr/>
          <w:p>
            <w:pPr>
              <w:pStyle w:val="Compact"/>
              <w:jc w:val="right"/>
            </w:pPr>
            <w:r>
              <w:t xml:space="preserve">1.036 (0.965–1.111)</w:t>
            </w:r>
          </w:p>
        </w:tc>
        <w:tc>
          <w:tcPr/>
          <w:p>
            <w:pPr>
              <w:pStyle w:val="Compact"/>
              <w:jc w:val="right"/>
            </w:pPr>
            <w:r>
              <w:t xml:space="preserve">1.043 (0.965–1.127)</w:t>
            </w:r>
          </w:p>
        </w:tc>
        <w:tc>
          <w:tcPr/>
          <w:p>
            <w:pPr>
              <w:pStyle w:val="Compact"/>
              <w:jc w:val="right"/>
            </w:pPr>
            <w:r>
              <w:t xml:space="preserve">0.861 (0.809–0.917)</w:t>
            </w:r>
          </w:p>
        </w:tc>
        <w:tc>
          <w:tcPr/>
          <w:p>
            <w:pPr>
              <w:pStyle w:val="Compact"/>
              <w:jc w:val="right"/>
            </w:pPr>
            <w:r>
              <w:t xml:space="preserve">0.000</w:t>
            </w:r>
          </w:p>
        </w:tc>
        <w:tc>
          <w:tcPr/>
          <w:p>
            <w:pPr>
              <w:pStyle w:val="Compact"/>
              <w:jc w:val="right"/>
            </w:pPr>
            <w:r>
              <w:t xml:space="preserve">0.04</w:t>
            </w:r>
          </w:p>
        </w:tc>
      </w:tr>
      <w:tr>
        <w:tc>
          <w:tcPr/>
          <w:p>
            <w:pPr>
              <w:pStyle w:val="Compact"/>
              <w:jc w:val="left"/>
            </w:pPr>
            <w:r>
              <w:t xml:space="preserve">Conventional DMARDs</w:t>
            </w:r>
          </w:p>
        </w:tc>
        <w:tc>
          <w:tcPr/>
          <w:p>
            <w:pPr>
              <w:pStyle w:val="Compact"/>
              <w:jc w:val="right"/>
            </w:pPr>
            <w:r>
              <w:t xml:space="preserve">0.985 (0.949–1.022)</w:t>
            </w:r>
          </w:p>
        </w:tc>
        <w:tc>
          <w:tcPr/>
          <w:p>
            <w:pPr>
              <w:pStyle w:val="Compact"/>
              <w:jc w:val="right"/>
            </w:pPr>
            <w:r>
              <w:t xml:space="preserve">1.051 (1.005–1.100)</w:t>
            </w:r>
          </w:p>
        </w:tc>
        <w:tc>
          <w:tcPr/>
          <w:p>
            <w:pPr>
              <w:pStyle w:val="Compact"/>
              <w:jc w:val="right"/>
            </w:pPr>
            <w:r>
              <w:t xml:space="preserve">0.964 (0.920–1.010)</w:t>
            </w:r>
          </w:p>
        </w:tc>
        <w:tc>
          <w:tcPr/>
          <w:p>
            <w:pPr>
              <w:pStyle w:val="Compact"/>
              <w:jc w:val="right"/>
            </w:pPr>
            <w:r>
              <w:t xml:space="preserve">0.487</w:t>
            </w:r>
          </w:p>
        </w:tc>
        <w:tc>
          <w:tcPr/>
          <w:p>
            <w:pPr>
              <w:pStyle w:val="Compact"/>
              <w:jc w:val="right"/>
            </w:pPr>
            <w:r>
              <w:t xml:space="preserve">-0.06</w:t>
            </w:r>
          </w:p>
        </w:tc>
      </w:tr>
      <w:tr>
        <w:tc>
          <w:tcPr/>
          <w:p>
            <w:pPr>
              <w:pStyle w:val="Compact"/>
              <w:jc w:val="left"/>
            </w:pPr>
            <w:r>
              <w:t xml:space="preserve">Transplant immunosuppressants</w:t>
            </w:r>
          </w:p>
        </w:tc>
        <w:tc>
          <w:tcPr/>
          <w:p>
            <w:pPr>
              <w:pStyle w:val="Compact"/>
              <w:jc w:val="right"/>
            </w:pPr>
            <w:r>
              <w:t xml:space="preserve">0.999 (0.988–1.011)</w:t>
            </w:r>
          </w:p>
        </w:tc>
        <w:tc>
          <w:tcPr/>
          <w:p>
            <w:pPr>
              <w:pStyle w:val="Compact"/>
              <w:jc w:val="right"/>
            </w:pPr>
            <w:r>
              <w:t xml:space="preserve">1.000 (0.990–1.010)</w:t>
            </w:r>
          </w:p>
        </w:tc>
        <w:tc>
          <w:tcPr/>
          <w:p>
            <w:pPr>
              <w:pStyle w:val="Compact"/>
              <w:jc w:val="right"/>
            </w:pPr>
            <w:r>
              <w:t xml:space="preserve">0.999 (0.990–1.008)</w:t>
            </w:r>
          </w:p>
        </w:tc>
        <w:tc>
          <w:tcPr/>
          <w:p>
            <w:pPr>
              <w:pStyle w:val="Compact"/>
              <w:jc w:val="right"/>
            </w:pPr>
            <w:r>
              <w:t xml:space="preserve">0.954</w:t>
            </w:r>
          </w:p>
        </w:tc>
        <w:tc>
          <w:tcPr/>
          <w:p>
            <w:pPr>
              <w:pStyle w:val="Compact"/>
              <w:jc w:val="right"/>
            </w:pPr>
            <w:r>
              <w:t xml:space="preserve">-0.07</w:t>
            </w:r>
          </w:p>
        </w:tc>
      </w:tr>
      <w:tr>
        <w:tc>
          <w:tcPr/>
          <w:p>
            <w:pPr>
              <w:pStyle w:val="Compact"/>
              <w:jc w:val="left"/>
            </w:pPr>
            <w:r>
              <w:t xml:space="preserve">Proton pump inhibitors</w:t>
            </w:r>
          </w:p>
        </w:tc>
        <w:tc>
          <w:tcPr/>
          <w:p>
            <w:pPr>
              <w:pStyle w:val="Compact"/>
              <w:jc w:val="right"/>
            </w:pPr>
            <w:r>
              <w:t xml:space="preserve">0.974 (0.911–1.041)</w:t>
            </w:r>
          </w:p>
        </w:tc>
        <w:tc>
          <w:tcPr/>
          <w:p>
            <w:pPr>
              <w:pStyle w:val="Compact"/>
              <w:jc w:val="right"/>
            </w:pPr>
            <w:r>
              <w:t xml:space="preserve">1.128 (1.035–1.229)</w:t>
            </w:r>
          </w:p>
        </w:tc>
        <w:tc>
          <w:tcPr/>
          <w:p>
            <w:pPr>
              <w:pStyle w:val="Compact"/>
              <w:jc w:val="right"/>
            </w:pPr>
            <w:r>
              <w:t xml:space="preserve">0.910 (0.835–0.991)</w:t>
            </w:r>
          </w:p>
        </w:tc>
        <w:tc>
          <w:tcPr/>
          <w:p>
            <w:pPr>
              <w:pStyle w:val="Compact"/>
              <w:jc w:val="right"/>
            </w:pPr>
            <w:r>
              <w:t xml:space="preserve">0.246</w:t>
            </w:r>
          </w:p>
        </w:tc>
        <w:tc>
          <w:tcPr/>
          <w:p>
            <w:pPr>
              <w:pStyle w:val="Compact"/>
              <w:jc w:val="right"/>
            </w:pPr>
            <w:r>
              <w:t xml:space="preserve">-0.12</w:t>
            </w:r>
          </w:p>
        </w:tc>
      </w:tr>
      <w:tr>
        <w:tc>
          <w:tcPr/>
          <w:p>
            <w:pPr>
              <w:pStyle w:val="Compact"/>
              <w:jc w:val="left"/>
            </w:pPr>
            <w:r>
              <w:t xml:space="preserve">Statins</w:t>
            </w:r>
          </w:p>
        </w:tc>
        <w:tc>
          <w:tcPr/>
          <w:p>
            <w:pPr>
              <w:pStyle w:val="Compact"/>
              <w:jc w:val="right"/>
            </w:pPr>
            <w:r>
              <w:t xml:space="preserve">0.956 (0.891–1.026)</w:t>
            </w:r>
          </w:p>
        </w:tc>
        <w:tc>
          <w:tcPr/>
          <w:p>
            <w:pPr>
              <w:pStyle w:val="Compact"/>
              <w:jc w:val="right"/>
            </w:pPr>
            <w:r>
              <w:t xml:space="preserve">1.085 (0.999–1.179)</w:t>
            </w:r>
          </w:p>
        </w:tc>
        <w:tc>
          <w:tcPr/>
          <w:p>
            <w:pPr>
              <w:pStyle w:val="Compact"/>
              <w:jc w:val="right"/>
            </w:pPr>
            <w:r>
              <w:t xml:space="preserve">0.953 (0.874–1.039)</w:t>
            </w:r>
          </w:p>
        </w:tc>
        <w:tc>
          <w:tcPr/>
          <w:p>
            <w:pPr>
              <w:pStyle w:val="Compact"/>
              <w:jc w:val="right"/>
            </w:pPr>
            <w:r>
              <w:t xml:space="preserve">0.962</w:t>
            </w:r>
          </w:p>
        </w:tc>
        <w:tc>
          <w:tcPr/>
          <w:p>
            <w:pPr>
              <w:pStyle w:val="Compact"/>
              <w:jc w:val="right"/>
            </w:pPr>
            <w:r>
              <w:t xml:space="preserve">-0.16</w:t>
            </w:r>
          </w:p>
        </w:tc>
      </w:tr>
      <w:tr>
        <w:tc>
          <w:tcPr/>
          <w:p>
            <w:pPr>
              <w:pStyle w:val="Compact"/>
              <w:jc w:val="left"/>
            </w:pPr>
            <w:r>
              <w:t xml:space="preserve">Metformin</w:t>
            </w:r>
          </w:p>
        </w:tc>
        <w:tc>
          <w:tcPr/>
          <w:p>
            <w:pPr>
              <w:pStyle w:val="Compact"/>
              <w:jc w:val="right"/>
            </w:pPr>
            <w:r>
              <w:t xml:space="preserve">0.945 (0.883–1.012)</w:t>
            </w:r>
          </w:p>
        </w:tc>
        <w:tc>
          <w:tcPr/>
          <w:p>
            <w:pPr>
              <w:pStyle w:val="Compact"/>
              <w:jc w:val="right"/>
            </w:pPr>
            <w:r>
              <w:t xml:space="preserve">1.047 (0.971–1.128)</w:t>
            </w:r>
          </w:p>
        </w:tc>
        <w:tc>
          <w:tcPr/>
          <w:p>
            <w:pPr>
              <w:pStyle w:val="Compact"/>
              <w:jc w:val="right"/>
            </w:pPr>
            <w:r>
              <w:t xml:space="preserve">0.976 (0.904–1.053)</w:t>
            </w:r>
          </w:p>
        </w:tc>
        <w:tc>
          <w:tcPr/>
          <w:p>
            <w:pPr>
              <w:pStyle w:val="Compact"/>
              <w:jc w:val="right"/>
            </w:pPr>
            <w:r>
              <w:t xml:space="preserve">0.585</w:t>
            </w:r>
          </w:p>
        </w:tc>
        <w:tc>
          <w:tcPr/>
          <w:p>
            <w:pPr>
              <w:pStyle w:val="Compact"/>
              <w:jc w:val="right"/>
            </w:pPr>
            <w:r>
              <w:t xml:space="preserve">-0.23</w:t>
            </w:r>
          </w:p>
        </w:tc>
      </w:tr>
      <w:tr>
        <w:tc>
          <w:tcPr/>
          <w:p>
            <w:pPr>
              <w:pStyle w:val="Compact"/>
              <w:jc w:val="left"/>
            </w:pPr>
            <w:r>
              <w:t xml:space="preserve">Insulins</w:t>
            </w:r>
          </w:p>
        </w:tc>
        <w:tc>
          <w:tcPr/>
          <w:p>
            <w:pPr>
              <w:pStyle w:val="Compact"/>
              <w:jc w:val="right"/>
            </w:pPr>
            <w:r>
              <w:t xml:space="preserve">0.991 (0.924–1.062)</w:t>
            </w:r>
          </w:p>
        </w:tc>
        <w:tc>
          <w:tcPr/>
          <w:p>
            <w:pPr>
              <w:pStyle w:val="Compact"/>
              <w:jc w:val="right"/>
            </w:pPr>
            <w:r>
              <w:t xml:space="preserve">1.079 (1.000–1.164)</w:t>
            </w:r>
          </w:p>
        </w:tc>
        <w:tc>
          <w:tcPr/>
          <w:p>
            <w:pPr>
              <w:pStyle w:val="Compact"/>
              <w:jc w:val="right"/>
            </w:pPr>
            <w:r>
              <w:t xml:space="preserve">0.888 (0.829–0.950)</w:t>
            </w:r>
          </w:p>
        </w:tc>
        <w:tc>
          <w:tcPr/>
          <w:p>
            <w:pPr>
              <w:pStyle w:val="Compact"/>
              <w:jc w:val="right"/>
            </w:pPr>
            <w:r>
              <w:t xml:space="preserve">0.039</w:t>
            </w:r>
          </w:p>
        </w:tc>
        <w:tc>
          <w:tcPr/>
          <w:p>
            <w:pPr>
              <w:pStyle w:val="Compact"/>
              <w:jc w:val="right"/>
            </w:pPr>
            <w:r>
              <w:t xml:space="preserve">-0.14</w:t>
            </w:r>
          </w:p>
        </w:tc>
      </w:tr>
      <w:tr>
        <w:tc>
          <w:tcPr/>
          <w:p>
            <w:pPr>
              <w:pStyle w:val="Compact"/>
              <w:jc w:val="left"/>
            </w:pPr>
            <w:r>
              <w:t xml:space="preserve">Fluoroquinolones</w:t>
            </w:r>
          </w:p>
        </w:tc>
        <w:tc>
          <w:tcPr/>
          <w:p>
            <w:pPr>
              <w:pStyle w:val="Compact"/>
              <w:jc w:val="right"/>
            </w:pPr>
            <w:r>
              <w:t xml:space="preserve">1.001 (0.984–1.019)</w:t>
            </w:r>
          </w:p>
        </w:tc>
        <w:tc>
          <w:tcPr/>
          <w:p>
            <w:pPr>
              <w:pStyle w:val="Compact"/>
              <w:jc w:val="right"/>
            </w:pPr>
            <w:r>
              <w:t xml:space="preserve">1.019 (0.999–1.039)</w:t>
            </w:r>
          </w:p>
        </w:tc>
        <w:tc>
          <w:tcPr/>
          <w:p>
            <w:pPr>
              <w:pStyle w:val="Compact"/>
              <w:jc w:val="right"/>
            </w:pPr>
            <w:r>
              <w:t xml:space="preserve">0.985 (0.968–1.001)</w:t>
            </w:r>
          </w:p>
        </w:tc>
        <w:tc>
          <w:tcPr/>
          <w:p>
            <w:pPr>
              <w:pStyle w:val="Compact"/>
              <w:jc w:val="right"/>
            </w:pPr>
            <w:r>
              <w:t xml:space="preserve">0.180</w:t>
            </w:r>
          </w:p>
        </w:tc>
        <w:tc>
          <w:tcPr/>
          <w:p>
            <w:pPr>
              <w:pStyle w:val="Compact"/>
              <w:jc w:val="right"/>
            </w:pPr>
            <w:r>
              <w:t xml:space="preserve">-0.02</w:t>
            </w:r>
          </w:p>
        </w:tc>
      </w:tr>
      <w:tr>
        <w:tc>
          <w:tcPr/>
          <w:p>
            <w:pPr>
              <w:pStyle w:val="Compact"/>
              <w:jc w:val="left"/>
            </w:pPr>
            <w:r>
              <w:t xml:space="preserve">All antibacterials</w:t>
            </w:r>
          </w:p>
        </w:tc>
        <w:tc>
          <w:tcPr/>
          <w:p>
            <w:pPr>
              <w:pStyle w:val="Compact"/>
              <w:jc w:val="right"/>
            </w:pPr>
            <w:r>
              <w:t xml:space="preserve">0.969 (0.924–1.015)</w:t>
            </w:r>
          </w:p>
        </w:tc>
        <w:tc>
          <w:tcPr/>
          <w:p>
            <w:pPr>
              <w:pStyle w:val="Compact"/>
              <w:jc w:val="right"/>
            </w:pPr>
            <w:r>
              <w:t xml:space="preserve">1.065 (1.012–1.122)</w:t>
            </w:r>
          </w:p>
        </w:tc>
        <w:tc>
          <w:tcPr/>
          <w:p>
            <w:pPr>
              <w:pStyle w:val="Compact"/>
              <w:jc w:val="right"/>
            </w:pPr>
            <w:r>
              <w:t xml:space="preserve">0.967 (0.926–1.010)</w:t>
            </w:r>
          </w:p>
        </w:tc>
        <w:tc>
          <w:tcPr/>
          <w:p>
            <w:pPr>
              <w:pStyle w:val="Compact"/>
              <w:jc w:val="right"/>
            </w:pPr>
            <w:r>
              <w:t xml:space="preserve">0.962</w:t>
            </w:r>
          </w:p>
        </w:tc>
        <w:tc>
          <w:tcPr/>
          <w:p>
            <w:pPr>
              <w:pStyle w:val="Compact"/>
              <w:jc w:val="right"/>
            </w:pPr>
            <w:r>
              <w:t xml:space="preserve">0.17</w:t>
            </w:r>
          </w:p>
        </w:tc>
      </w:tr>
      <w:tr>
        <w:tc>
          <w:tcPr/>
          <w:p>
            <w:pPr>
              <w:pStyle w:val="Compact"/>
              <w:jc w:val="left"/>
            </w:pPr>
            <w:r>
              <w:t xml:space="preserve">Vitamin D</w:t>
            </w:r>
          </w:p>
        </w:tc>
        <w:tc>
          <w:tcPr/>
          <w:p>
            <w:pPr>
              <w:pStyle w:val="Compact"/>
              <w:jc w:val="right"/>
            </w:pPr>
            <w:r>
              <w:t xml:space="preserve">0.995 (0.961–1.030)</w:t>
            </w:r>
          </w:p>
        </w:tc>
        <w:tc>
          <w:tcPr/>
          <w:p>
            <w:pPr>
              <w:pStyle w:val="Compact"/>
              <w:jc w:val="right"/>
            </w:pPr>
            <w:r>
              <w:t xml:space="preserve">1.012 (0.966–1.061)</w:t>
            </w:r>
          </w:p>
        </w:tc>
        <w:tc>
          <w:tcPr/>
          <w:p>
            <w:pPr>
              <w:pStyle w:val="Compact"/>
              <w:jc w:val="right"/>
            </w:pPr>
            <w:r>
              <w:t xml:space="preserve">1.000 (0.963–1.038)</w:t>
            </w:r>
          </w:p>
        </w:tc>
        <w:tc>
          <w:tcPr/>
          <w:p>
            <w:pPr>
              <w:pStyle w:val="Compact"/>
              <w:jc w:val="right"/>
            </w:pPr>
            <w:r>
              <w:t xml:space="preserve">0.842</w:t>
            </w:r>
          </w:p>
        </w:tc>
        <w:tc>
          <w:tcPr/>
          <w:p>
            <w:pPr>
              <w:pStyle w:val="Compact"/>
              <w:jc w:val="right"/>
            </w:pPr>
            <w:r>
              <w:t xml:space="preserve">0.12</w:t>
            </w:r>
          </w:p>
        </w:tc>
      </w:tr>
      <w:tr>
        <w:tc>
          <w:tcPr/>
          <w:p>
            <w:pPr>
              <w:pStyle w:val="Compact"/>
              <w:jc w:val="left"/>
            </w:pPr>
            <w:r>
              <w:t xml:space="preserve">Levothyroxine (negative control)</w:t>
            </w:r>
          </w:p>
        </w:tc>
        <w:tc>
          <w:tcPr/>
          <w:p>
            <w:pPr>
              <w:pStyle w:val="Compact"/>
              <w:jc w:val="right"/>
            </w:pPr>
            <w:r>
              <w:t xml:space="preserve">0.954 (0.897–1.015)</w:t>
            </w:r>
          </w:p>
        </w:tc>
        <w:tc>
          <w:tcPr/>
          <w:p>
            <w:pPr>
              <w:pStyle w:val="Compact"/>
              <w:jc w:val="right"/>
            </w:pPr>
            <w:r>
              <w:t xml:space="preserve">1.065 (0.973–1.166)</w:t>
            </w:r>
          </w:p>
        </w:tc>
        <w:tc>
          <w:tcPr/>
          <w:p>
            <w:pPr>
              <w:pStyle w:val="Compact"/>
              <w:jc w:val="right"/>
            </w:pPr>
            <w:r>
              <w:t xml:space="preserve">0.941 (0.856–1.034)</w:t>
            </w:r>
          </w:p>
        </w:tc>
        <w:tc>
          <w:tcPr/>
          <w:p>
            <w:pPr>
              <w:pStyle w:val="Compact"/>
              <w:jc w:val="right"/>
            </w:pPr>
            <w:r>
              <w:t xml:space="preserve">0.818</w:t>
            </w:r>
          </w:p>
        </w:tc>
        <w:tc>
          <w:tcPr/>
          <w:p>
            <w:pPr>
              <w:pStyle w:val="Compact"/>
              <w:jc w:val="right"/>
            </w:pPr>
            <w:r>
              <w:t xml:space="preserve">-0.19</w:t>
            </w:r>
          </w:p>
        </w:tc>
      </w:tr>
    </w:tbl>
    <w:p>
      <w:pPr>
        <w:pStyle w:val="BodyText"/>
      </w:pPr>
      <w:r>
        <w:rPr>
          <w:b/>
          <w:bCs/>
        </w:rPr>
        <w:t xml:space="preserve">Table S3b. Hospital medicines: sensitivity analyses, IRR per 10% increase (95% CI)</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Level</w:t>
            </w:r>
          </w:p>
        </w:tc>
        <w:tc>
          <w:tcPr/>
          <w:p>
            <w:pPr>
              <w:pStyle w:val="Compact"/>
              <w:jc w:val="right"/>
            </w:pPr>
            <w:r>
              <w:t xml:space="preserve">Drug group</w:t>
            </w:r>
          </w:p>
        </w:tc>
        <w:tc>
          <w:tcPr/>
          <w:p>
            <w:pPr>
              <w:pStyle w:val="Compact"/>
              <w:jc w:val="right"/>
            </w:pPr>
            <w:r>
              <w:t xml:space="preserve">lag (t-1)</w:t>
            </w:r>
          </w:p>
        </w:tc>
        <w:tc>
          <w:tcPr/>
          <w:p>
            <w:pPr>
              <w:pStyle w:val="Compact"/>
              <w:jc w:val="right"/>
            </w:pPr>
            <w:r>
              <w:t xml:space="preserve">lag (t-1), excluding outcome years 2020-21</w:t>
            </w:r>
          </w:p>
        </w:tc>
        <w:tc>
          <w:tcPr/>
          <w:p>
            <w:pPr>
              <w:pStyle w:val="Compact"/>
              <w:jc w:val="right"/>
            </w:pPr>
            <w:r>
              <w:t xml:space="preserve">lag (t-1), elective catchments</w:t>
            </w:r>
          </w:p>
        </w:tc>
        <w:tc>
          <w:tcPr/>
          <w:p>
            <w:pPr>
              <w:pStyle w:val="Compact"/>
              <w:jc w:val="right"/>
            </w:pPr>
            <w:r>
              <w:t xml:space="preserve">concurrent (t)</w:t>
            </w:r>
          </w:p>
        </w:tc>
        <w:tc>
          <w:tcPr/>
          <w:p>
            <w:pPr>
              <w:pStyle w:val="Compact"/>
              <w:jc w:val="right"/>
            </w:pPr>
            <w:r>
              <w:t xml:space="preserve">concurrent (t), clustered by principal trust</w:t>
            </w:r>
          </w:p>
        </w:tc>
        <w:tc>
          <w:tcPr/>
          <w:p>
            <w:pPr>
              <w:pStyle w:val="Compact"/>
              <w:jc w:val="right"/>
            </w:pPr>
            <w:r>
              <w:t xml:space="preserve">concurrent (t), elective catchments</w:t>
            </w:r>
          </w:p>
        </w:tc>
      </w:tr>
      <w:tr>
        <w:tc>
          <w:tcPr/>
          <w:p>
            <w:pPr>
              <w:pStyle w:val="Compact"/>
              <w:jc w:val="left"/>
            </w:pPr>
            <w:r>
              <w:t xml:space="preserve">UTLA</w:t>
            </w:r>
          </w:p>
        </w:tc>
        <w:tc>
          <w:tcPr/>
          <w:p>
            <w:pPr>
              <w:pStyle w:val="Compact"/>
              <w:jc w:val="right"/>
            </w:pPr>
            <w:r>
              <w:t xml:space="preserve">Active-TB treatment (pyrazinamide DDD, including fixed-dose combinations; positive control)</w:t>
            </w:r>
          </w:p>
        </w:tc>
        <w:tc>
          <w:tcPr/>
          <w:p>
            <w:pPr>
              <w:pStyle w:val="Compact"/>
              <w:jc w:val="right"/>
            </w:pPr>
            <w:r>
              <w:t xml:space="preserve">1.001 (0.993–1.010)</w:t>
            </w:r>
          </w:p>
        </w:tc>
        <w:tc>
          <w:tcPr/>
          <w:p>
            <w:pPr>
              <w:pStyle w:val="Compact"/>
              <w:jc w:val="right"/>
            </w:pPr>
            <w:r>
              <w:t xml:space="preserve">1.000 (0.986–1.013)</w:t>
            </w:r>
          </w:p>
        </w:tc>
        <w:tc>
          <w:tcPr/>
          <w:p>
            <w:pPr>
              <w:pStyle w:val="Compact"/>
              <w:jc w:val="right"/>
            </w:pPr>
            <w:r>
              <w:t xml:space="preserve">1.001 (0.993–1.010)</w:t>
            </w:r>
          </w:p>
        </w:tc>
        <w:tc>
          <w:tcPr/>
          <w:p>
            <w:pPr>
              <w:pStyle w:val="Compact"/>
              <w:jc w:val="right"/>
            </w:pPr>
            <w:r>
              <w:t xml:space="preserve">1.035 (1.009–1.061)</w:t>
            </w:r>
          </w:p>
        </w:tc>
        <w:tc>
          <w:tcPr/>
          <w:p>
            <w:pPr>
              <w:pStyle w:val="Compact"/>
              <w:jc w:val="right"/>
            </w:pPr>
            <w:r>
              <w:t xml:space="preserve">1.035 (1.009–1.062)</w:t>
            </w:r>
          </w:p>
        </w:tc>
        <w:tc>
          <w:tcPr/>
          <w:p>
            <w:pPr>
              <w:pStyle w:val="Compact"/>
              <w:jc w:val="right"/>
            </w:pPr>
            <w:r>
              <w:t xml:space="preserve">1.035 (1.009–1.062)</w:t>
            </w:r>
          </w:p>
        </w:tc>
      </w:tr>
      <w:tr>
        <w:tc>
          <w:tcPr/>
          <w:p>
            <w:pPr>
              <w:pStyle w:val="Compact"/>
              <w:jc w:val="left"/>
            </w:pPr>
            <w:r>
              <w:t xml:space="preserve">UTLA</w:t>
            </w:r>
          </w:p>
        </w:tc>
        <w:tc>
          <w:tcPr/>
          <w:p>
            <w:pPr>
              <w:pStyle w:val="Compact"/>
              <w:jc w:val="right"/>
            </w:pPr>
            <w:r>
              <w:t xml:space="preserve">Rifamycin/isoniazid (active and latent TB, other infections)</w:t>
            </w:r>
          </w:p>
        </w:tc>
        <w:tc>
          <w:tcPr/>
          <w:p>
            <w:pPr>
              <w:pStyle w:val="Compact"/>
              <w:jc w:val="right"/>
            </w:pPr>
            <w:r>
              <w:t xml:space="preserve">1.005 (0.993–1.018)</w:t>
            </w:r>
          </w:p>
        </w:tc>
        <w:tc>
          <w:tcPr/>
          <w:p>
            <w:pPr>
              <w:pStyle w:val="Compact"/>
              <w:jc w:val="right"/>
            </w:pPr>
            <w:r>
              <w:t xml:space="preserve">1.000 (0.979–1.022)</w:t>
            </w:r>
          </w:p>
        </w:tc>
        <w:tc>
          <w:tcPr/>
          <w:p>
            <w:pPr>
              <w:pStyle w:val="Compact"/>
              <w:jc w:val="right"/>
            </w:pPr>
            <w:r>
              <w:t xml:space="preserve">1.006 (0.993–1.019)</w:t>
            </w:r>
          </w:p>
        </w:tc>
        <w:tc>
          <w:tcPr/>
          <w:p>
            <w:pPr>
              <w:pStyle w:val="Compact"/>
              <w:jc w:val="right"/>
            </w:pPr>
            <w:r>
              <w:t xml:space="preserve">1.036 (1.021–1.050)</w:t>
            </w:r>
          </w:p>
        </w:tc>
        <w:tc>
          <w:tcPr/>
          <w:p>
            <w:pPr>
              <w:pStyle w:val="Compact"/>
              <w:jc w:val="right"/>
            </w:pPr>
            <w:r>
              <w:t xml:space="preserve">1.036 (1.020–1.051)</w:t>
            </w:r>
          </w:p>
        </w:tc>
        <w:tc>
          <w:tcPr/>
          <w:p>
            <w:pPr>
              <w:pStyle w:val="Compact"/>
              <w:jc w:val="right"/>
            </w:pPr>
            <w:r>
              <w:t xml:space="preserve">1.036 (1.022–1.050)</w:t>
            </w:r>
          </w:p>
        </w:tc>
      </w:tr>
      <w:tr>
        <w:tc>
          <w:tcPr/>
          <w:p>
            <w:pPr>
              <w:pStyle w:val="Compact"/>
              <w:jc w:val="left"/>
            </w:pPr>
            <w:r>
              <w:t xml:space="preserve">UTLA</w:t>
            </w:r>
          </w:p>
        </w:tc>
        <w:tc>
          <w:tcPr/>
          <w:p>
            <w:pPr>
              <w:pStyle w:val="Compact"/>
              <w:jc w:val="right"/>
            </w:pPr>
            <w:r>
              <w:t xml:space="preserve">TNF inhibitors</w:t>
            </w:r>
          </w:p>
        </w:tc>
        <w:tc>
          <w:tcPr/>
          <w:p>
            <w:pPr>
              <w:pStyle w:val="Compact"/>
              <w:jc w:val="right"/>
            </w:pPr>
            <w:r>
              <w:t xml:space="preserve">0.989 (0.972–1.007)</w:t>
            </w:r>
          </w:p>
        </w:tc>
        <w:tc>
          <w:tcPr/>
          <w:p>
            <w:pPr>
              <w:pStyle w:val="Compact"/>
              <w:jc w:val="right"/>
            </w:pPr>
            <w:r>
              <w:t xml:space="preserve">0.970 (0.928–1.013)</w:t>
            </w:r>
          </w:p>
        </w:tc>
        <w:tc>
          <w:tcPr/>
          <w:p>
            <w:pPr>
              <w:pStyle w:val="Compact"/>
              <w:jc w:val="right"/>
            </w:pPr>
            <w:r>
              <w:t xml:space="preserve">0.990 (0.972–1.008)</w:t>
            </w:r>
          </w:p>
        </w:tc>
        <w:tc>
          <w:tcPr/>
          <w:p>
            <w:pPr>
              <w:pStyle w:val="Compact"/>
              <w:jc w:val="right"/>
            </w:pPr>
            <w:r>
              <w:t xml:space="preserve">0.996 (0.979–1.013)</w:t>
            </w:r>
          </w:p>
        </w:tc>
        <w:tc>
          <w:tcPr/>
          <w:p>
            <w:pPr>
              <w:pStyle w:val="Compact"/>
              <w:jc w:val="right"/>
            </w:pPr>
            <w:r>
              <w:t xml:space="preserve">0.996 (0.980–1.012)</w:t>
            </w:r>
          </w:p>
        </w:tc>
        <w:tc>
          <w:tcPr/>
          <w:p>
            <w:pPr>
              <w:pStyle w:val="Compact"/>
              <w:jc w:val="right"/>
            </w:pPr>
            <w:r>
              <w:t xml:space="preserve">0.996 (0.979–1.013)</w:t>
            </w:r>
          </w:p>
        </w:tc>
      </w:tr>
      <w:tr>
        <w:tc>
          <w:tcPr/>
          <w:p>
            <w:pPr>
              <w:pStyle w:val="Compact"/>
              <w:jc w:val="left"/>
            </w:pPr>
            <w:r>
              <w:t xml:space="preserve">UTLA</w:t>
            </w:r>
          </w:p>
        </w:tc>
        <w:tc>
          <w:tcPr/>
          <w:p>
            <w:pPr>
              <w:pStyle w:val="Compact"/>
              <w:jc w:val="right"/>
            </w:pPr>
            <w:r>
              <w:t xml:space="preserve">IL-6 inhibitors and abatacept</w:t>
            </w:r>
          </w:p>
        </w:tc>
        <w:tc>
          <w:tcPr/>
          <w:p>
            <w:pPr>
              <w:pStyle w:val="Compact"/>
              <w:jc w:val="right"/>
            </w:pPr>
            <w:r>
              <w:t xml:space="preserve">1.001 (0.992–1.009)</w:t>
            </w:r>
          </w:p>
        </w:tc>
        <w:tc>
          <w:tcPr/>
          <w:p>
            <w:pPr>
              <w:pStyle w:val="Compact"/>
              <w:jc w:val="right"/>
            </w:pPr>
            <w:r>
              <w:t xml:space="preserve">0.993 (0.976–1.011)</w:t>
            </w:r>
          </w:p>
        </w:tc>
        <w:tc>
          <w:tcPr/>
          <w:p>
            <w:pPr>
              <w:pStyle w:val="Compact"/>
              <w:jc w:val="right"/>
            </w:pPr>
            <w:r>
              <w:t xml:space="preserve">1.001 (0.993–1.009)</w:t>
            </w:r>
          </w:p>
        </w:tc>
        <w:tc>
          <w:tcPr/>
          <w:p>
            <w:pPr>
              <w:pStyle w:val="Compact"/>
              <w:jc w:val="right"/>
            </w:pPr>
            <w:r>
              <w:t xml:space="preserve">1.000 (0.990–1.010)</w:t>
            </w:r>
          </w:p>
        </w:tc>
        <w:tc>
          <w:tcPr/>
          <w:p>
            <w:pPr>
              <w:pStyle w:val="Compact"/>
              <w:jc w:val="right"/>
            </w:pPr>
            <w:r>
              <w:t xml:space="preserve">1.000 (0.991–1.009)</w:t>
            </w:r>
          </w:p>
        </w:tc>
        <w:tc>
          <w:tcPr/>
          <w:p>
            <w:pPr>
              <w:pStyle w:val="Compact"/>
              <w:jc w:val="right"/>
            </w:pPr>
            <w:r>
              <w:t xml:space="preserve">1.000 (0.990–1.010)</w:t>
            </w:r>
          </w:p>
        </w:tc>
      </w:tr>
      <w:tr>
        <w:tc>
          <w:tcPr/>
          <w:p>
            <w:pPr>
              <w:pStyle w:val="Compact"/>
              <w:jc w:val="left"/>
            </w:pPr>
            <w:r>
              <w:t xml:space="preserve">UTLA</w:t>
            </w:r>
          </w:p>
        </w:tc>
        <w:tc>
          <w:tcPr/>
          <w:p>
            <w:pPr>
              <w:pStyle w:val="Compact"/>
              <w:jc w:val="right"/>
            </w:pPr>
            <w:r>
              <w:t xml:space="preserve">JAK inhibitors (rheumatology)</w:t>
            </w:r>
          </w:p>
        </w:tc>
        <w:tc>
          <w:tcPr/>
          <w:p>
            <w:pPr>
              <w:pStyle w:val="Compact"/>
              <w:jc w:val="right"/>
            </w:pPr>
            <w:r>
              <w:t xml:space="preserve">0.994 (0.987–1.002)</w:t>
            </w:r>
          </w:p>
        </w:tc>
        <w:tc>
          <w:tcPr/>
          <w:p>
            <w:pPr>
              <w:pStyle w:val="Compact"/>
              <w:jc w:val="right"/>
            </w:pPr>
            <w:r>
              <w:t xml:space="preserve">0.978 (0.961–0.996)</w:t>
            </w:r>
          </w:p>
        </w:tc>
        <w:tc>
          <w:tcPr/>
          <w:p>
            <w:pPr>
              <w:pStyle w:val="Compact"/>
              <w:jc w:val="right"/>
            </w:pPr>
            <w:r>
              <w:t xml:space="preserve">0.995 (0.987–1.002)</w:t>
            </w:r>
          </w:p>
        </w:tc>
        <w:tc>
          <w:tcPr/>
          <w:p>
            <w:pPr>
              <w:pStyle w:val="Compact"/>
              <w:jc w:val="right"/>
            </w:pPr>
            <w:r>
              <w:t xml:space="preserve">0.993 (0.987–0.999)</w:t>
            </w:r>
          </w:p>
        </w:tc>
        <w:tc>
          <w:tcPr/>
          <w:p>
            <w:pPr>
              <w:pStyle w:val="Compact"/>
              <w:jc w:val="right"/>
            </w:pPr>
            <w:r>
              <w:t xml:space="preserve">0.993 (0.987–1.000)</w:t>
            </w:r>
          </w:p>
        </w:tc>
        <w:tc>
          <w:tcPr/>
          <w:p>
            <w:pPr>
              <w:pStyle w:val="Compact"/>
              <w:jc w:val="right"/>
            </w:pPr>
            <w:r>
              <w:t xml:space="preserve">0.993 (0.987–0.999)</w:t>
            </w:r>
          </w:p>
        </w:tc>
      </w:tr>
      <w:tr>
        <w:tc>
          <w:tcPr/>
          <w:p>
            <w:pPr>
              <w:pStyle w:val="Compact"/>
              <w:jc w:val="left"/>
            </w:pPr>
            <w:r>
              <w:t xml:space="preserve">UTLA</w:t>
            </w:r>
          </w:p>
        </w:tc>
        <w:tc>
          <w:tcPr/>
          <w:p>
            <w:pPr>
              <w:pStyle w:val="Compact"/>
              <w:jc w:val="right"/>
            </w:pPr>
            <w:r>
              <w:t xml:space="preserve">Rituximab</w:t>
            </w:r>
          </w:p>
        </w:tc>
        <w:tc>
          <w:tcPr/>
          <w:p>
            <w:pPr>
              <w:pStyle w:val="Compact"/>
              <w:jc w:val="right"/>
            </w:pPr>
            <w:r>
              <w:t xml:space="preserve">0.998 (0.984–1.012)</w:t>
            </w:r>
          </w:p>
        </w:tc>
        <w:tc>
          <w:tcPr/>
          <w:p>
            <w:pPr>
              <w:pStyle w:val="Compact"/>
              <w:jc w:val="right"/>
            </w:pPr>
            <w:r>
              <w:t xml:space="preserve">0.986 (0.959–1.015)</w:t>
            </w:r>
          </w:p>
        </w:tc>
        <w:tc>
          <w:tcPr/>
          <w:p>
            <w:pPr>
              <w:pStyle w:val="Compact"/>
              <w:jc w:val="right"/>
            </w:pPr>
            <w:r>
              <w:t xml:space="preserve">0.999 (0.985–1.013)</w:t>
            </w:r>
          </w:p>
        </w:tc>
        <w:tc>
          <w:tcPr/>
          <w:p>
            <w:pPr>
              <w:pStyle w:val="Compact"/>
              <w:jc w:val="right"/>
            </w:pPr>
            <w:r>
              <w:t xml:space="preserve">0.992 (0.978–1.005)</w:t>
            </w:r>
          </w:p>
        </w:tc>
        <w:tc>
          <w:tcPr/>
          <w:p>
            <w:pPr>
              <w:pStyle w:val="Compact"/>
              <w:jc w:val="right"/>
            </w:pPr>
            <w:r>
              <w:t xml:space="preserve">0.992 (0.979–1.004)</w:t>
            </w:r>
          </w:p>
        </w:tc>
        <w:tc>
          <w:tcPr/>
          <w:p>
            <w:pPr>
              <w:pStyle w:val="Compact"/>
              <w:jc w:val="right"/>
            </w:pPr>
            <w:r>
              <w:t xml:space="preserve">0.992 (0.979–1.006)</w:t>
            </w:r>
          </w:p>
        </w:tc>
      </w:tr>
      <w:tr>
        <w:tc>
          <w:tcPr/>
          <w:p>
            <w:pPr>
              <w:pStyle w:val="Compact"/>
              <w:jc w:val="left"/>
            </w:pPr>
            <w:r>
              <w:t xml:space="preserve">UTLA</w:t>
            </w:r>
          </w:p>
        </w:tc>
        <w:tc>
          <w:tcPr/>
          <w:p>
            <w:pPr>
              <w:pStyle w:val="Compact"/>
              <w:jc w:val="right"/>
            </w:pPr>
            <w:r>
              <w:t xml:space="preserve">Calcineurin/mTOR inhibitors</w:t>
            </w:r>
          </w:p>
        </w:tc>
        <w:tc>
          <w:tcPr/>
          <w:p>
            <w:pPr>
              <w:pStyle w:val="Compact"/>
              <w:jc w:val="right"/>
            </w:pPr>
            <w:r>
              <w:t xml:space="preserve">1.008 (0.996–1.020)</w:t>
            </w:r>
          </w:p>
        </w:tc>
        <w:tc>
          <w:tcPr/>
          <w:p>
            <w:pPr>
              <w:pStyle w:val="Compact"/>
              <w:jc w:val="right"/>
            </w:pPr>
            <w:r>
              <w:t xml:space="preserve">1.012 (0.989–1.035)</w:t>
            </w:r>
          </w:p>
        </w:tc>
        <w:tc>
          <w:tcPr/>
          <w:p>
            <w:pPr>
              <w:pStyle w:val="Compact"/>
              <w:jc w:val="right"/>
            </w:pPr>
            <w:r>
              <w:t xml:space="preserve">1.008 (0.996–1.020)</w:t>
            </w:r>
          </w:p>
        </w:tc>
        <w:tc>
          <w:tcPr/>
          <w:p>
            <w:pPr>
              <w:pStyle w:val="Compact"/>
              <w:jc w:val="right"/>
            </w:pPr>
            <w:r>
              <w:t xml:space="preserve">0.994 (0.985–1.004)</w:t>
            </w:r>
          </w:p>
        </w:tc>
        <w:tc>
          <w:tcPr/>
          <w:p>
            <w:pPr>
              <w:pStyle w:val="Compact"/>
              <w:jc w:val="right"/>
            </w:pPr>
            <w:r>
              <w:t xml:space="preserve">0.994 (0.985–1.004)</w:t>
            </w:r>
          </w:p>
        </w:tc>
        <w:tc>
          <w:tcPr/>
          <w:p>
            <w:pPr>
              <w:pStyle w:val="Compact"/>
              <w:jc w:val="right"/>
            </w:pPr>
            <w:r>
              <w:t xml:space="preserve">0.994 (0.985–1.004)</w:t>
            </w:r>
          </w:p>
        </w:tc>
      </w:tr>
      <w:tr>
        <w:tc>
          <w:tcPr/>
          <w:p>
            <w:pPr>
              <w:pStyle w:val="Compact"/>
              <w:jc w:val="left"/>
            </w:pPr>
            <w:r>
              <w:t xml:space="preserve">UTLA</w:t>
            </w:r>
          </w:p>
        </w:tc>
        <w:tc>
          <w:tcPr/>
          <w:p>
            <w:pPr>
              <w:pStyle w:val="Compact"/>
              <w:jc w:val="right"/>
            </w:pPr>
            <w:r>
              <w:t xml:space="preserve">Antiproliferatives</w:t>
            </w:r>
          </w:p>
        </w:tc>
        <w:tc>
          <w:tcPr/>
          <w:p>
            <w:pPr>
              <w:pStyle w:val="Compact"/>
              <w:jc w:val="right"/>
            </w:pPr>
            <w:r>
              <w:t xml:space="preserve">0.996 (0.978–1.014)</w:t>
            </w:r>
          </w:p>
        </w:tc>
        <w:tc>
          <w:tcPr/>
          <w:p>
            <w:pPr>
              <w:pStyle w:val="Compact"/>
              <w:jc w:val="right"/>
            </w:pPr>
            <w:r>
              <w:t xml:space="preserve">1.004 (0.973–1.036)</w:t>
            </w:r>
          </w:p>
        </w:tc>
        <w:tc>
          <w:tcPr/>
          <w:p>
            <w:pPr>
              <w:pStyle w:val="Compact"/>
              <w:jc w:val="right"/>
            </w:pPr>
            <w:r>
              <w:t xml:space="preserve">0.996 (0.978–1.015)</w:t>
            </w:r>
          </w:p>
        </w:tc>
        <w:tc>
          <w:tcPr/>
          <w:p>
            <w:pPr>
              <w:pStyle w:val="Compact"/>
              <w:jc w:val="right"/>
            </w:pPr>
            <w:r>
              <w:t xml:space="preserve">0.993 (0.978–1.008)</w:t>
            </w:r>
          </w:p>
        </w:tc>
        <w:tc>
          <w:tcPr/>
          <w:p>
            <w:pPr>
              <w:pStyle w:val="Compact"/>
              <w:jc w:val="right"/>
            </w:pPr>
            <w:r>
              <w:t xml:space="preserve">0.993 (0.978–1.008)</w:t>
            </w:r>
          </w:p>
        </w:tc>
        <w:tc>
          <w:tcPr/>
          <w:p>
            <w:pPr>
              <w:pStyle w:val="Compact"/>
              <w:jc w:val="right"/>
            </w:pPr>
            <w:r>
              <w:t xml:space="preserve">0.993 (0.978–1.009)</w:t>
            </w:r>
          </w:p>
        </w:tc>
      </w:tr>
      <w:tr>
        <w:tc>
          <w:tcPr/>
          <w:p>
            <w:pPr>
              <w:pStyle w:val="Compact"/>
              <w:jc w:val="left"/>
            </w:pPr>
            <w:r>
              <w:t xml:space="preserve">UTLA</w:t>
            </w:r>
          </w:p>
        </w:tc>
        <w:tc>
          <w:tcPr/>
          <w:p>
            <w:pPr>
              <w:pStyle w:val="Compact"/>
              <w:jc w:val="right"/>
            </w:pPr>
            <w:r>
              <w:t xml:space="preserve">Systemic glucocorticoids without dexamethasone/hydrocortisone (prednisolone-equivalent mg)</w:t>
            </w:r>
          </w:p>
        </w:tc>
        <w:tc>
          <w:tcPr/>
          <w:p>
            <w:pPr>
              <w:pStyle w:val="Compact"/>
              <w:jc w:val="right"/>
            </w:pPr>
            <w:r>
              <w:t xml:space="preserve">1.024 (1.001–1.046)</w:t>
            </w:r>
          </w:p>
        </w:tc>
        <w:tc>
          <w:tcPr/>
          <w:p>
            <w:pPr>
              <w:pStyle w:val="Compact"/>
              <w:jc w:val="right"/>
            </w:pPr>
            <w:r>
              <w:t xml:space="preserve">1.018 (0.969–1.069)</w:t>
            </w:r>
          </w:p>
        </w:tc>
        <w:tc>
          <w:tcPr/>
          <w:p>
            <w:pPr>
              <w:pStyle w:val="Compact"/>
              <w:jc w:val="right"/>
            </w:pPr>
            <w:r>
              <w:t xml:space="preserve">1.025 (1.003–1.048)</w:t>
            </w:r>
          </w:p>
        </w:tc>
        <w:tc>
          <w:tcPr/>
          <w:p>
            <w:pPr>
              <w:pStyle w:val="Compact"/>
              <w:jc w:val="right"/>
            </w:pPr>
            <w:r>
              <w:t xml:space="preserve">1.009 (0.986–1.032)</w:t>
            </w:r>
          </w:p>
        </w:tc>
        <w:tc>
          <w:tcPr/>
          <w:p>
            <w:pPr>
              <w:pStyle w:val="Compact"/>
              <w:jc w:val="right"/>
            </w:pPr>
            <w:r>
              <w:t xml:space="preserve">1.009 (0.985–1.033)</w:t>
            </w:r>
          </w:p>
        </w:tc>
        <w:tc>
          <w:tcPr/>
          <w:p>
            <w:pPr>
              <w:pStyle w:val="Compact"/>
              <w:jc w:val="right"/>
            </w:pPr>
            <w:r>
              <w:t xml:space="preserve">1.010 (0.987–1.034)</w:t>
            </w:r>
          </w:p>
        </w:tc>
      </w:tr>
      <w:tr>
        <w:tc>
          <w:tcPr/>
          <w:p>
            <w:pPr>
              <w:pStyle w:val="Compact"/>
              <w:jc w:val="left"/>
            </w:pPr>
            <w:r>
              <w:t xml:space="preserve">UTLA</w:t>
            </w:r>
          </w:p>
        </w:tc>
        <w:tc>
          <w:tcPr/>
          <w:p>
            <w:pPr>
              <w:pStyle w:val="Compact"/>
              <w:jc w:val="right"/>
            </w:pPr>
            <w:r>
              <w:t xml:space="preserve">Dexamethasone and hydrocortisone (descriptive)</w:t>
            </w:r>
          </w:p>
        </w:tc>
        <w:tc>
          <w:tcPr/>
          <w:p>
            <w:pPr>
              <w:pStyle w:val="Compact"/>
              <w:jc w:val="right"/>
            </w:pPr>
            <w:r>
              <w:t xml:space="preserve">1.008 (0.980–1.036)</w:t>
            </w:r>
          </w:p>
        </w:tc>
        <w:tc>
          <w:tcPr/>
          <w:p>
            <w:pPr>
              <w:pStyle w:val="Compact"/>
              <w:jc w:val="right"/>
            </w:pPr>
            <w:r>
              <w:t xml:space="preserve">1.021 (0.963–1.082)</w:t>
            </w:r>
          </w:p>
        </w:tc>
        <w:tc>
          <w:tcPr/>
          <w:p>
            <w:pPr>
              <w:pStyle w:val="Compact"/>
              <w:jc w:val="right"/>
            </w:pPr>
            <w:r>
              <w:t xml:space="preserve">1.009 (0.981–1.039)</w:t>
            </w:r>
          </w:p>
        </w:tc>
        <w:tc>
          <w:tcPr/>
          <w:p>
            <w:pPr>
              <w:pStyle w:val="Compact"/>
              <w:jc w:val="right"/>
            </w:pPr>
            <w:r>
              <w:t xml:space="preserve">1.005 (0.977–1.034)</w:t>
            </w:r>
          </w:p>
        </w:tc>
        <w:tc>
          <w:tcPr/>
          <w:p>
            <w:pPr>
              <w:pStyle w:val="Compact"/>
              <w:jc w:val="right"/>
            </w:pPr>
            <w:r>
              <w:t xml:space="preserve">1.005 (0.975–1.036)</w:t>
            </w:r>
          </w:p>
        </w:tc>
        <w:tc>
          <w:tcPr/>
          <w:p>
            <w:pPr>
              <w:pStyle w:val="Compact"/>
              <w:jc w:val="right"/>
            </w:pPr>
            <w:r>
              <w:t xml:space="preserve">1.008 (0.979–1.038)</w:t>
            </w:r>
          </w:p>
        </w:tc>
      </w:tr>
      <w:tr>
        <w:tc>
          <w:tcPr/>
          <w:p>
            <w:pPr>
              <w:pStyle w:val="Compact"/>
              <w:jc w:val="left"/>
            </w:pPr>
            <w:r>
              <w:t xml:space="preserve">UTLA</w:t>
            </w:r>
          </w:p>
        </w:tc>
        <w:tc>
          <w:tcPr/>
          <w:p>
            <w:pPr>
              <w:pStyle w:val="Compact"/>
              <w:jc w:val="right"/>
            </w:pPr>
            <w:r>
              <w:t xml:space="preserve">Low-TB-risk biologics (negative control)</w:t>
            </w:r>
          </w:p>
        </w:tc>
        <w:tc>
          <w:tcPr/>
          <w:p>
            <w:pPr>
              <w:pStyle w:val="Compact"/>
              <w:jc w:val="right"/>
            </w:pPr>
            <w:r>
              <w:t xml:space="preserve">1.002 (0.986–1.018)</w:t>
            </w:r>
          </w:p>
        </w:tc>
        <w:tc>
          <w:tcPr/>
          <w:p>
            <w:pPr>
              <w:pStyle w:val="Compact"/>
              <w:jc w:val="right"/>
            </w:pPr>
            <w:r>
              <w:t xml:space="preserve">0.999 (0.958–1.042)</w:t>
            </w:r>
          </w:p>
        </w:tc>
        <w:tc>
          <w:tcPr/>
          <w:p>
            <w:pPr>
              <w:pStyle w:val="Compact"/>
              <w:jc w:val="right"/>
            </w:pPr>
            <w:r>
              <w:t xml:space="preserve">1.002 (0.985–1.018)</w:t>
            </w:r>
          </w:p>
        </w:tc>
        <w:tc>
          <w:tcPr/>
          <w:p>
            <w:pPr>
              <w:pStyle w:val="Compact"/>
              <w:jc w:val="right"/>
            </w:pPr>
            <w:r>
              <w:t xml:space="preserve">1.004 (0.990–1.019)</w:t>
            </w:r>
          </w:p>
        </w:tc>
        <w:tc>
          <w:tcPr/>
          <w:p>
            <w:pPr>
              <w:pStyle w:val="Compact"/>
              <w:jc w:val="right"/>
            </w:pPr>
            <w:r>
              <w:t xml:space="preserve">1.004 (0.990–1.019)</w:t>
            </w:r>
          </w:p>
        </w:tc>
        <w:tc>
          <w:tcPr/>
          <w:p>
            <w:pPr>
              <w:pStyle w:val="Compact"/>
              <w:jc w:val="right"/>
            </w:pPr>
            <w:r>
              <w:t xml:space="preserve">1.004 (0.989–1.019)</w:t>
            </w:r>
          </w:p>
        </w:tc>
      </w:tr>
      <w:tr>
        <w:tc>
          <w:tcPr/>
          <w:p>
            <w:pPr>
              <w:pStyle w:val="Compact"/>
              <w:jc w:val="left"/>
            </w:pPr>
            <w:r>
              <w:t xml:space="preserve">UTLA</w:t>
            </w:r>
          </w:p>
        </w:tc>
        <w:tc>
          <w:tcPr/>
          <w:p>
            <w:pPr>
              <w:pStyle w:val="Compact"/>
              <w:jc w:val="right"/>
            </w:pPr>
            <w:r>
              <w:t xml:space="preserve">Levetiracetam (negative control)</w:t>
            </w:r>
          </w:p>
        </w:tc>
        <w:tc>
          <w:tcPr/>
          <w:p>
            <w:pPr>
              <w:pStyle w:val="Compact"/>
              <w:jc w:val="right"/>
            </w:pPr>
            <w:r>
              <w:t xml:space="preserve">1.014 (0.986–1.042)</w:t>
            </w:r>
          </w:p>
        </w:tc>
        <w:tc>
          <w:tcPr/>
          <w:p>
            <w:pPr>
              <w:pStyle w:val="Compact"/>
              <w:jc w:val="right"/>
            </w:pPr>
            <w:r>
              <w:t xml:space="preserve">1.035 (0.978–1.096)</w:t>
            </w:r>
          </w:p>
        </w:tc>
        <w:tc>
          <w:tcPr/>
          <w:p>
            <w:pPr>
              <w:pStyle w:val="Compact"/>
              <w:jc w:val="right"/>
            </w:pPr>
            <w:r>
              <w:t xml:space="preserve">1.014 (0.986–1.044)</w:t>
            </w:r>
          </w:p>
        </w:tc>
        <w:tc>
          <w:tcPr/>
          <w:p>
            <w:pPr>
              <w:pStyle w:val="Compact"/>
              <w:jc w:val="right"/>
            </w:pPr>
            <w:r>
              <w:t xml:space="preserve">0.998 (0.975–1.021)</w:t>
            </w:r>
          </w:p>
        </w:tc>
        <w:tc>
          <w:tcPr/>
          <w:p>
            <w:pPr>
              <w:pStyle w:val="Compact"/>
              <w:jc w:val="right"/>
            </w:pPr>
            <w:r>
              <w:t xml:space="preserve">0.998 (0.974–1.022)</w:t>
            </w:r>
          </w:p>
        </w:tc>
        <w:tc>
          <w:tcPr/>
          <w:p>
            <w:pPr>
              <w:pStyle w:val="Compact"/>
              <w:jc w:val="right"/>
            </w:pPr>
            <w:r>
              <w:t xml:space="preserve">0.999 (0.976–1.022)</w:t>
            </w:r>
          </w:p>
        </w:tc>
      </w:tr>
      <w:tr>
        <w:tc>
          <w:tcPr/>
          <w:p>
            <w:pPr>
              <w:pStyle w:val="Compact"/>
              <w:jc w:val="left"/>
            </w:pPr>
            <w:r>
              <w:t xml:space="preserve">LTLA</w:t>
            </w:r>
          </w:p>
        </w:tc>
        <w:tc>
          <w:tcPr/>
          <w:p>
            <w:pPr>
              <w:pStyle w:val="Compact"/>
              <w:jc w:val="right"/>
            </w:pPr>
            <w:r>
              <w:t xml:space="preserve">Active-TB treatment (pyrazinamide DDD, including fixed-dose combinations; positive control)</w:t>
            </w:r>
          </w:p>
        </w:tc>
        <w:tc>
          <w:tcPr/>
          <w:p>
            <w:pPr>
              <w:pStyle w:val="Compact"/>
              <w:jc w:val="right"/>
            </w:pPr>
            <w:r>
              <w:t xml:space="preserve">1.000 (0.991–1.008)</w:t>
            </w:r>
          </w:p>
        </w:tc>
        <w:tc>
          <w:tcPr/>
          <w:p>
            <w:pPr>
              <w:pStyle w:val="Compact"/>
              <w:jc w:val="right"/>
            </w:pPr>
            <w:r>
              <w:t xml:space="preserve">0.998 (0.984–1.012)</w:t>
            </w:r>
          </w:p>
        </w:tc>
        <w:tc>
          <w:tcPr/>
          <w:p>
            <w:pPr>
              <w:pStyle w:val="Compact"/>
              <w:jc w:val="right"/>
            </w:pPr>
            <w:r>
              <w:t xml:space="preserve">1.000 (0.991–1.009)</w:t>
            </w:r>
          </w:p>
        </w:tc>
        <w:tc>
          <w:tcPr/>
          <w:p>
            <w:pPr>
              <w:pStyle w:val="Compact"/>
              <w:jc w:val="right"/>
            </w:pPr>
            <w:r>
              <w:t xml:space="preserve">1.039 (1.013–1.065)</w:t>
            </w:r>
          </w:p>
        </w:tc>
        <w:tc>
          <w:tcPr/>
          <w:p>
            <w:pPr>
              <w:pStyle w:val="Compact"/>
              <w:jc w:val="right"/>
            </w:pPr>
            <w:r>
              <w:t xml:space="preserve">1.039 (1.012–1.066)</w:t>
            </w:r>
          </w:p>
        </w:tc>
        <w:tc>
          <w:tcPr/>
          <w:p>
            <w:pPr>
              <w:pStyle w:val="Compact"/>
              <w:jc w:val="right"/>
            </w:pPr>
            <w:r>
              <w:t xml:space="preserve">1.039 (1.013–1.066)</w:t>
            </w:r>
          </w:p>
        </w:tc>
      </w:tr>
      <w:tr>
        <w:tc>
          <w:tcPr/>
          <w:p>
            <w:pPr>
              <w:pStyle w:val="Compact"/>
              <w:jc w:val="left"/>
            </w:pPr>
            <w:r>
              <w:t xml:space="preserve">LTLA</w:t>
            </w:r>
          </w:p>
        </w:tc>
        <w:tc>
          <w:tcPr/>
          <w:p>
            <w:pPr>
              <w:pStyle w:val="Compact"/>
              <w:jc w:val="right"/>
            </w:pPr>
            <w:r>
              <w:t xml:space="preserve">Rifamycin/isoniazid (active and latent TB, other infections)</w:t>
            </w:r>
          </w:p>
        </w:tc>
        <w:tc>
          <w:tcPr/>
          <w:p>
            <w:pPr>
              <w:pStyle w:val="Compact"/>
              <w:jc w:val="right"/>
            </w:pPr>
            <w:r>
              <w:t xml:space="preserve">1.004 (0.992–1.016)</w:t>
            </w:r>
          </w:p>
        </w:tc>
        <w:tc>
          <w:tcPr/>
          <w:p>
            <w:pPr>
              <w:pStyle w:val="Compact"/>
              <w:jc w:val="right"/>
            </w:pPr>
            <w:r>
              <w:t xml:space="preserve">0.996 (0.976–1.016)</w:t>
            </w:r>
          </w:p>
        </w:tc>
        <w:tc>
          <w:tcPr/>
          <w:p>
            <w:pPr>
              <w:pStyle w:val="Compact"/>
              <w:jc w:val="right"/>
            </w:pPr>
            <w:r>
              <w:t xml:space="preserve">1.005 (0.992–1.017)</w:t>
            </w:r>
          </w:p>
        </w:tc>
        <w:tc>
          <w:tcPr/>
          <w:p>
            <w:pPr>
              <w:pStyle w:val="Compact"/>
              <w:jc w:val="right"/>
            </w:pPr>
            <w:r>
              <w:t xml:space="preserve">1.038 (1.025–1.052)</w:t>
            </w:r>
          </w:p>
        </w:tc>
        <w:tc>
          <w:tcPr/>
          <w:p>
            <w:pPr>
              <w:pStyle w:val="Compact"/>
              <w:jc w:val="right"/>
            </w:pPr>
            <w:r>
              <w:t xml:space="preserve">1.038 (1.023–1.054)</w:t>
            </w:r>
          </w:p>
        </w:tc>
        <w:tc>
          <w:tcPr/>
          <w:p>
            <w:pPr>
              <w:pStyle w:val="Compact"/>
              <w:jc w:val="right"/>
            </w:pPr>
            <w:r>
              <w:t xml:space="preserve">1.039 (1.026–1.052)</w:t>
            </w:r>
          </w:p>
        </w:tc>
      </w:tr>
      <w:tr>
        <w:tc>
          <w:tcPr/>
          <w:p>
            <w:pPr>
              <w:pStyle w:val="Compact"/>
              <w:jc w:val="left"/>
            </w:pPr>
            <w:r>
              <w:t xml:space="preserve">LTLA</w:t>
            </w:r>
          </w:p>
        </w:tc>
        <w:tc>
          <w:tcPr/>
          <w:p>
            <w:pPr>
              <w:pStyle w:val="Compact"/>
              <w:jc w:val="right"/>
            </w:pPr>
            <w:r>
              <w:t xml:space="preserve">TNF inhibitors</w:t>
            </w:r>
          </w:p>
        </w:tc>
        <w:tc>
          <w:tcPr/>
          <w:p>
            <w:pPr>
              <w:pStyle w:val="Compact"/>
              <w:jc w:val="right"/>
            </w:pPr>
            <w:r>
              <w:t xml:space="preserve">0.992 (0.976–1.008)</w:t>
            </w:r>
          </w:p>
        </w:tc>
        <w:tc>
          <w:tcPr/>
          <w:p>
            <w:pPr>
              <w:pStyle w:val="Compact"/>
              <w:jc w:val="right"/>
            </w:pPr>
            <w:r>
              <w:t xml:space="preserve">0.976 (0.935–1.019)</w:t>
            </w:r>
          </w:p>
        </w:tc>
        <w:tc>
          <w:tcPr/>
          <w:p>
            <w:pPr>
              <w:pStyle w:val="Compact"/>
              <w:jc w:val="right"/>
            </w:pPr>
            <w:r>
              <w:t xml:space="preserve">0.993 (0.977–1.009)</w:t>
            </w:r>
          </w:p>
        </w:tc>
        <w:tc>
          <w:tcPr/>
          <w:p>
            <w:pPr>
              <w:pStyle w:val="Compact"/>
              <w:jc w:val="right"/>
            </w:pPr>
            <w:r>
              <w:t xml:space="preserve">0.994 (0.979–1.010)</w:t>
            </w:r>
          </w:p>
        </w:tc>
        <w:tc>
          <w:tcPr/>
          <w:p>
            <w:pPr>
              <w:pStyle w:val="Compact"/>
              <w:jc w:val="right"/>
            </w:pPr>
            <w:r>
              <w:t xml:space="preserve">0.994 (0.979–1.009)</w:t>
            </w:r>
          </w:p>
        </w:tc>
        <w:tc>
          <w:tcPr/>
          <w:p>
            <w:pPr>
              <w:pStyle w:val="Compact"/>
              <w:jc w:val="right"/>
            </w:pPr>
            <w:r>
              <w:t xml:space="preserve">0.995 (0.979–1.011)</w:t>
            </w:r>
          </w:p>
        </w:tc>
      </w:tr>
      <w:tr>
        <w:tc>
          <w:tcPr/>
          <w:p>
            <w:pPr>
              <w:pStyle w:val="Compact"/>
              <w:jc w:val="left"/>
            </w:pPr>
            <w:r>
              <w:t xml:space="preserve">LTLA</w:t>
            </w:r>
          </w:p>
        </w:tc>
        <w:tc>
          <w:tcPr/>
          <w:p>
            <w:pPr>
              <w:pStyle w:val="Compact"/>
              <w:jc w:val="right"/>
            </w:pPr>
            <w:r>
              <w:t xml:space="preserve">IL-6 inhibitors and abatacept</w:t>
            </w:r>
          </w:p>
        </w:tc>
        <w:tc>
          <w:tcPr/>
          <w:p>
            <w:pPr>
              <w:pStyle w:val="Compact"/>
              <w:jc w:val="right"/>
            </w:pPr>
            <w:r>
              <w:t xml:space="preserve">1.001 (0.993–1.010)</w:t>
            </w:r>
          </w:p>
        </w:tc>
        <w:tc>
          <w:tcPr/>
          <w:p>
            <w:pPr>
              <w:pStyle w:val="Compact"/>
              <w:jc w:val="right"/>
            </w:pPr>
            <w:r>
              <w:t xml:space="preserve">0.996 (0.980–1.012)</w:t>
            </w:r>
          </w:p>
        </w:tc>
        <w:tc>
          <w:tcPr/>
          <w:p>
            <w:pPr>
              <w:pStyle w:val="Compact"/>
              <w:jc w:val="right"/>
            </w:pPr>
            <w:r>
              <w:t xml:space="preserve">1.002 (0.994–1.010)</w:t>
            </w:r>
          </w:p>
        </w:tc>
        <w:tc>
          <w:tcPr/>
          <w:p>
            <w:pPr>
              <w:pStyle w:val="Compact"/>
              <w:jc w:val="right"/>
            </w:pPr>
            <w:r>
              <w:t xml:space="preserve">1.001 (0.991–1.011)</w:t>
            </w:r>
          </w:p>
        </w:tc>
        <w:tc>
          <w:tcPr/>
          <w:p>
            <w:pPr>
              <w:pStyle w:val="Compact"/>
              <w:jc w:val="right"/>
            </w:pPr>
            <w:r>
              <w:t xml:space="preserve">1.001 (0.991–1.011)</w:t>
            </w:r>
          </w:p>
        </w:tc>
        <w:tc>
          <w:tcPr/>
          <w:p>
            <w:pPr>
              <w:pStyle w:val="Compact"/>
              <w:jc w:val="right"/>
            </w:pPr>
            <w:r>
              <w:t xml:space="preserve">1.001 (0.991–1.011)</w:t>
            </w:r>
          </w:p>
        </w:tc>
      </w:tr>
      <w:tr>
        <w:tc>
          <w:tcPr/>
          <w:p>
            <w:pPr>
              <w:pStyle w:val="Compact"/>
              <w:jc w:val="left"/>
            </w:pPr>
            <w:r>
              <w:t xml:space="preserve">LTLA</w:t>
            </w:r>
          </w:p>
        </w:tc>
        <w:tc>
          <w:tcPr/>
          <w:p>
            <w:pPr>
              <w:pStyle w:val="Compact"/>
              <w:jc w:val="right"/>
            </w:pPr>
            <w:r>
              <w:t xml:space="preserve">JAK inhibitors (rheumatology)</w:t>
            </w:r>
          </w:p>
        </w:tc>
        <w:tc>
          <w:tcPr/>
          <w:p>
            <w:pPr>
              <w:pStyle w:val="Compact"/>
              <w:jc w:val="right"/>
            </w:pPr>
            <w:r>
              <w:t xml:space="preserve">0.995 (0.989–1.002)</w:t>
            </w:r>
          </w:p>
        </w:tc>
        <w:tc>
          <w:tcPr/>
          <w:p>
            <w:pPr>
              <w:pStyle w:val="Compact"/>
              <w:jc w:val="right"/>
            </w:pPr>
            <w:r>
              <w:t xml:space="preserve">0.980 (0.963–0.998)</w:t>
            </w:r>
          </w:p>
        </w:tc>
        <w:tc>
          <w:tcPr/>
          <w:p>
            <w:pPr>
              <w:pStyle w:val="Compact"/>
              <w:jc w:val="right"/>
            </w:pPr>
            <w:r>
              <w:t xml:space="preserve">0.996 (0.989–1.003)</w:t>
            </w:r>
          </w:p>
        </w:tc>
        <w:tc>
          <w:tcPr/>
          <w:p>
            <w:pPr>
              <w:pStyle w:val="Compact"/>
              <w:jc w:val="right"/>
            </w:pPr>
            <w:r>
              <w:t xml:space="preserve">0.994 (0.988–0.999)</w:t>
            </w:r>
          </w:p>
        </w:tc>
        <w:tc>
          <w:tcPr/>
          <w:p>
            <w:pPr>
              <w:pStyle w:val="Compact"/>
              <w:jc w:val="right"/>
            </w:pPr>
            <w:r>
              <w:t xml:space="preserve">0.994 (0.988–1.000)</w:t>
            </w:r>
          </w:p>
        </w:tc>
        <w:tc>
          <w:tcPr/>
          <w:p>
            <w:pPr>
              <w:pStyle w:val="Compact"/>
              <w:jc w:val="right"/>
            </w:pPr>
            <w:r>
              <w:t xml:space="preserve">0.994 (0.989–1.000)</w:t>
            </w:r>
          </w:p>
        </w:tc>
      </w:tr>
      <w:tr>
        <w:tc>
          <w:tcPr/>
          <w:p>
            <w:pPr>
              <w:pStyle w:val="Compact"/>
              <w:jc w:val="left"/>
            </w:pPr>
            <w:r>
              <w:t xml:space="preserve">LTLA</w:t>
            </w:r>
          </w:p>
        </w:tc>
        <w:tc>
          <w:tcPr/>
          <w:p>
            <w:pPr>
              <w:pStyle w:val="Compact"/>
              <w:jc w:val="right"/>
            </w:pPr>
            <w:r>
              <w:t xml:space="preserve">Rituximab</w:t>
            </w:r>
          </w:p>
        </w:tc>
        <w:tc>
          <w:tcPr/>
          <w:p>
            <w:pPr>
              <w:pStyle w:val="Compact"/>
              <w:jc w:val="right"/>
            </w:pPr>
            <w:r>
              <w:t xml:space="preserve">1.001 (0.986–1.016)</w:t>
            </w:r>
          </w:p>
        </w:tc>
        <w:tc>
          <w:tcPr/>
          <w:p>
            <w:pPr>
              <w:pStyle w:val="Compact"/>
              <w:jc w:val="right"/>
            </w:pPr>
            <w:r>
              <w:t xml:space="preserve">0.989 (0.963–1.016)</w:t>
            </w:r>
          </w:p>
        </w:tc>
        <w:tc>
          <w:tcPr/>
          <w:p>
            <w:pPr>
              <w:pStyle w:val="Compact"/>
              <w:jc w:val="right"/>
            </w:pPr>
            <w:r>
              <w:t xml:space="preserve">1.002 (0.986–1.017)</w:t>
            </w:r>
          </w:p>
        </w:tc>
        <w:tc>
          <w:tcPr/>
          <w:p>
            <w:pPr>
              <w:pStyle w:val="Compact"/>
              <w:jc w:val="right"/>
            </w:pPr>
            <w:r>
              <w:t xml:space="preserve">0.990 (0.976–1.004)</w:t>
            </w:r>
          </w:p>
        </w:tc>
        <w:tc>
          <w:tcPr/>
          <w:p>
            <w:pPr>
              <w:pStyle w:val="Compact"/>
              <w:jc w:val="right"/>
            </w:pPr>
            <w:r>
              <w:t xml:space="preserve">0.990 (0.977–1.003)</w:t>
            </w:r>
          </w:p>
        </w:tc>
        <w:tc>
          <w:tcPr/>
          <w:p>
            <w:pPr>
              <w:pStyle w:val="Compact"/>
              <w:jc w:val="right"/>
            </w:pPr>
            <w:r>
              <w:t xml:space="preserve">0.991 (0.977–1.005)</w:t>
            </w:r>
          </w:p>
        </w:tc>
      </w:tr>
      <w:tr>
        <w:tc>
          <w:tcPr/>
          <w:p>
            <w:pPr>
              <w:pStyle w:val="Compact"/>
              <w:jc w:val="left"/>
            </w:pPr>
            <w:r>
              <w:t xml:space="preserve">LTLA</w:t>
            </w:r>
          </w:p>
        </w:tc>
        <w:tc>
          <w:tcPr/>
          <w:p>
            <w:pPr>
              <w:pStyle w:val="Compact"/>
              <w:jc w:val="right"/>
            </w:pPr>
            <w:r>
              <w:t xml:space="preserve">Calcineurin/mTOR inhibitors</w:t>
            </w:r>
          </w:p>
        </w:tc>
        <w:tc>
          <w:tcPr/>
          <w:p>
            <w:pPr>
              <w:pStyle w:val="Compact"/>
              <w:jc w:val="right"/>
            </w:pPr>
            <w:r>
              <w:t xml:space="preserve">1.008 (0.997–1.020)</w:t>
            </w:r>
          </w:p>
        </w:tc>
        <w:tc>
          <w:tcPr/>
          <w:p>
            <w:pPr>
              <w:pStyle w:val="Compact"/>
              <w:jc w:val="right"/>
            </w:pPr>
            <w:r>
              <w:t xml:space="preserve">1.015 (0.994–1.036)</w:t>
            </w:r>
          </w:p>
        </w:tc>
        <w:tc>
          <w:tcPr/>
          <w:p>
            <w:pPr>
              <w:pStyle w:val="Compact"/>
              <w:jc w:val="right"/>
            </w:pPr>
            <w:r>
              <w:t xml:space="preserve">1.008 (0.997–1.020)</w:t>
            </w:r>
          </w:p>
        </w:tc>
        <w:tc>
          <w:tcPr/>
          <w:p>
            <w:pPr>
              <w:pStyle w:val="Compact"/>
              <w:jc w:val="right"/>
            </w:pPr>
            <w:r>
              <w:t xml:space="preserve">0.994 (0.985–1.003)</w:t>
            </w:r>
          </w:p>
        </w:tc>
        <w:tc>
          <w:tcPr/>
          <w:p>
            <w:pPr>
              <w:pStyle w:val="Compact"/>
              <w:jc w:val="right"/>
            </w:pPr>
            <w:r>
              <w:t xml:space="preserve">0.994 (0.985–1.003)</w:t>
            </w:r>
          </w:p>
        </w:tc>
        <w:tc>
          <w:tcPr/>
          <w:p>
            <w:pPr>
              <w:pStyle w:val="Compact"/>
              <w:jc w:val="right"/>
            </w:pPr>
            <w:r>
              <w:t xml:space="preserve">0.994 (0.985–1.003)</w:t>
            </w:r>
          </w:p>
        </w:tc>
      </w:tr>
      <w:tr>
        <w:tc>
          <w:tcPr/>
          <w:p>
            <w:pPr>
              <w:pStyle w:val="Compact"/>
              <w:jc w:val="left"/>
            </w:pPr>
            <w:r>
              <w:t xml:space="preserve">LTLA</w:t>
            </w:r>
          </w:p>
        </w:tc>
        <w:tc>
          <w:tcPr/>
          <w:p>
            <w:pPr>
              <w:pStyle w:val="Compact"/>
              <w:jc w:val="right"/>
            </w:pPr>
            <w:r>
              <w:t xml:space="preserve">Antiproliferatives</w:t>
            </w:r>
          </w:p>
        </w:tc>
        <w:tc>
          <w:tcPr/>
          <w:p>
            <w:pPr>
              <w:pStyle w:val="Compact"/>
              <w:jc w:val="right"/>
            </w:pPr>
            <w:r>
              <w:t xml:space="preserve">0.997 (0.982–1.013)</w:t>
            </w:r>
          </w:p>
        </w:tc>
        <w:tc>
          <w:tcPr/>
          <w:p>
            <w:pPr>
              <w:pStyle w:val="Compact"/>
              <w:jc w:val="right"/>
            </w:pPr>
            <w:r>
              <w:t xml:space="preserve">1.008 (0.982–1.035)</w:t>
            </w:r>
          </w:p>
        </w:tc>
        <w:tc>
          <w:tcPr/>
          <w:p>
            <w:pPr>
              <w:pStyle w:val="Compact"/>
              <w:jc w:val="right"/>
            </w:pPr>
            <w:r>
              <w:t xml:space="preserve">0.997 (0.981–1.013)</w:t>
            </w:r>
          </w:p>
        </w:tc>
        <w:tc>
          <w:tcPr/>
          <w:p>
            <w:pPr>
              <w:pStyle w:val="Compact"/>
              <w:jc w:val="right"/>
            </w:pPr>
            <w:r>
              <w:t xml:space="preserve">0.997 (0.983–1.012)</w:t>
            </w:r>
          </w:p>
        </w:tc>
        <w:tc>
          <w:tcPr/>
          <w:p>
            <w:pPr>
              <w:pStyle w:val="Compact"/>
              <w:jc w:val="right"/>
            </w:pPr>
            <w:r>
              <w:t xml:space="preserve">0.997 (0.986–1.009)</w:t>
            </w:r>
          </w:p>
        </w:tc>
        <w:tc>
          <w:tcPr/>
          <w:p>
            <w:pPr>
              <w:pStyle w:val="Compact"/>
              <w:jc w:val="right"/>
            </w:pPr>
            <w:r>
              <w:t xml:space="preserve">0.998 (0.983–1.013)</w:t>
            </w:r>
          </w:p>
        </w:tc>
      </w:tr>
      <w:tr>
        <w:tc>
          <w:tcPr/>
          <w:p>
            <w:pPr>
              <w:pStyle w:val="Compact"/>
              <w:jc w:val="left"/>
            </w:pPr>
            <w:r>
              <w:t xml:space="preserve">LTLA</w:t>
            </w:r>
          </w:p>
        </w:tc>
        <w:tc>
          <w:tcPr/>
          <w:p>
            <w:pPr>
              <w:pStyle w:val="Compact"/>
              <w:jc w:val="right"/>
            </w:pPr>
            <w:r>
              <w:t xml:space="preserve">Systemic glucocorticoids without dexamethasone/hydrocortisone (prednisolone-equivalent mg)</w:t>
            </w:r>
          </w:p>
        </w:tc>
        <w:tc>
          <w:tcPr/>
          <w:p>
            <w:pPr>
              <w:pStyle w:val="Compact"/>
              <w:jc w:val="right"/>
            </w:pPr>
            <w:r>
              <w:t xml:space="preserve">1.021 (1.000–1.043)</w:t>
            </w:r>
          </w:p>
        </w:tc>
        <w:tc>
          <w:tcPr/>
          <w:p>
            <w:pPr>
              <w:pStyle w:val="Compact"/>
              <w:jc w:val="right"/>
            </w:pPr>
            <w:r>
              <w:t xml:space="preserve">1.022 (0.979–1.068)</w:t>
            </w:r>
          </w:p>
        </w:tc>
        <w:tc>
          <w:tcPr/>
          <w:p>
            <w:pPr>
              <w:pStyle w:val="Compact"/>
              <w:jc w:val="right"/>
            </w:pPr>
            <w:r>
              <w:t xml:space="preserve">1.022 (1.001–1.044)</w:t>
            </w:r>
          </w:p>
        </w:tc>
        <w:tc>
          <w:tcPr/>
          <w:p>
            <w:pPr>
              <w:pStyle w:val="Compact"/>
              <w:jc w:val="right"/>
            </w:pPr>
            <w:r>
              <w:t xml:space="preserve">1.008 (0.990–1.026)</w:t>
            </w:r>
          </w:p>
        </w:tc>
        <w:tc>
          <w:tcPr/>
          <w:p>
            <w:pPr>
              <w:pStyle w:val="Compact"/>
              <w:jc w:val="right"/>
            </w:pPr>
            <w:r>
              <w:t xml:space="preserve">1.008 (0.988–1.027)</w:t>
            </w:r>
          </w:p>
        </w:tc>
        <w:tc>
          <w:tcPr/>
          <w:p>
            <w:pPr>
              <w:pStyle w:val="Compact"/>
              <w:jc w:val="right"/>
            </w:pPr>
            <w:r>
              <w:t xml:space="preserve">1.009 (0.991–1.028)</w:t>
            </w:r>
          </w:p>
        </w:tc>
      </w:tr>
      <w:tr>
        <w:tc>
          <w:tcPr/>
          <w:p>
            <w:pPr>
              <w:pStyle w:val="Compact"/>
              <w:jc w:val="left"/>
            </w:pPr>
            <w:r>
              <w:t xml:space="preserve">LTLA</w:t>
            </w:r>
          </w:p>
        </w:tc>
        <w:tc>
          <w:tcPr/>
          <w:p>
            <w:pPr>
              <w:pStyle w:val="Compact"/>
              <w:jc w:val="right"/>
            </w:pPr>
            <w:r>
              <w:t xml:space="preserve">Dexamethasone and hydrocortisone (descriptive)</w:t>
            </w:r>
          </w:p>
        </w:tc>
        <w:tc>
          <w:tcPr/>
          <w:p>
            <w:pPr>
              <w:pStyle w:val="Compact"/>
              <w:jc w:val="right"/>
            </w:pPr>
            <w:r>
              <w:t xml:space="preserve">1.010 (0.984–1.036)</w:t>
            </w:r>
          </w:p>
        </w:tc>
        <w:tc>
          <w:tcPr/>
          <w:p>
            <w:pPr>
              <w:pStyle w:val="Compact"/>
              <w:jc w:val="right"/>
            </w:pPr>
            <w:r>
              <w:t xml:space="preserve">1.019 (0.970–1.070)</w:t>
            </w:r>
          </w:p>
        </w:tc>
        <w:tc>
          <w:tcPr/>
          <w:p>
            <w:pPr>
              <w:pStyle w:val="Compact"/>
              <w:jc w:val="right"/>
            </w:pPr>
            <w:r>
              <w:t xml:space="preserve">1.011 (0.984–1.039)</w:t>
            </w:r>
          </w:p>
        </w:tc>
        <w:tc>
          <w:tcPr/>
          <w:p>
            <w:pPr>
              <w:pStyle w:val="Compact"/>
              <w:jc w:val="right"/>
            </w:pPr>
            <w:r>
              <w:t xml:space="preserve">1.008 (0.980–1.037)</w:t>
            </w:r>
          </w:p>
        </w:tc>
        <w:tc>
          <w:tcPr/>
          <w:p>
            <w:pPr>
              <w:pStyle w:val="Compact"/>
              <w:jc w:val="right"/>
            </w:pPr>
            <w:r>
              <w:t xml:space="preserve">1.008 (0.979–1.038)</w:t>
            </w:r>
          </w:p>
        </w:tc>
        <w:tc>
          <w:tcPr/>
          <w:p>
            <w:pPr>
              <w:pStyle w:val="Compact"/>
              <w:jc w:val="right"/>
            </w:pPr>
            <w:r>
              <w:t xml:space="preserve">1.011 (0.982–1.040)</w:t>
            </w:r>
          </w:p>
        </w:tc>
      </w:tr>
      <w:tr>
        <w:tc>
          <w:tcPr/>
          <w:p>
            <w:pPr>
              <w:pStyle w:val="Compact"/>
              <w:jc w:val="left"/>
            </w:pPr>
            <w:r>
              <w:t xml:space="preserve">LTLA</w:t>
            </w:r>
          </w:p>
        </w:tc>
        <w:tc>
          <w:tcPr/>
          <w:p>
            <w:pPr>
              <w:pStyle w:val="Compact"/>
              <w:jc w:val="right"/>
            </w:pPr>
            <w:r>
              <w:t xml:space="preserve">Low-TB-risk biologics (negative control)</w:t>
            </w:r>
          </w:p>
        </w:tc>
        <w:tc>
          <w:tcPr/>
          <w:p>
            <w:pPr>
              <w:pStyle w:val="Compact"/>
              <w:jc w:val="right"/>
            </w:pPr>
            <w:r>
              <w:t xml:space="preserve">1.003 (0.988–1.019)</w:t>
            </w:r>
          </w:p>
        </w:tc>
        <w:tc>
          <w:tcPr/>
          <w:p>
            <w:pPr>
              <w:pStyle w:val="Compact"/>
              <w:jc w:val="right"/>
            </w:pPr>
            <w:r>
              <w:t xml:space="preserve">0.996 (0.959–1.036)</w:t>
            </w:r>
          </w:p>
        </w:tc>
        <w:tc>
          <w:tcPr/>
          <w:p>
            <w:pPr>
              <w:pStyle w:val="Compact"/>
              <w:jc w:val="right"/>
            </w:pPr>
            <w:r>
              <w:t xml:space="preserve">1.003 (0.988–1.019)</w:t>
            </w:r>
          </w:p>
        </w:tc>
        <w:tc>
          <w:tcPr/>
          <w:p>
            <w:pPr>
              <w:pStyle w:val="Compact"/>
              <w:jc w:val="right"/>
            </w:pPr>
            <w:r>
              <w:t xml:space="preserve">1.005 (0.991–1.019)</w:t>
            </w:r>
          </w:p>
        </w:tc>
        <w:tc>
          <w:tcPr/>
          <w:p>
            <w:pPr>
              <w:pStyle w:val="Compact"/>
              <w:jc w:val="right"/>
            </w:pPr>
            <w:r>
              <w:t xml:space="preserve">1.005 (0.989–1.020)</w:t>
            </w:r>
          </w:p>
        </w:tc>
        <w:tc>
          <w:tcPr/>
          <w:p>
            <w:pPr>
              <w:pStyle w:val="Compact"/>
              <w:jc w:val="right"/>
            </w:pPr>
            <w:r>
              <w:t xml:space="preserve">1.004 (0.991–1.018)</w:t>
            </w:r>
          </w:p>
        </w:tc>
      </w:tr>
      <w:tr>
        <w:tc>
          <w:tcPr/>
          <w:p>
            <w:pPr>
              <w:pStyle w:val="Compact"/>
              <w:jc w:val="left"/>
            </w:pPr>
            <w:r>
              <w:t xml:space="preserve">LTLA</w:t>
            </w:r>
          </w:p>
        </w:tc>
        <w:tc>
          <w:tcPr/>
          <w:p>
            <w:pPr>
              <w:pStyle w:val="Compact"/>
              <w:jc w:val="right"/>
            </w:pPr>
            <w:r>
              <w:t xml:space="preserve">Levetiracetam (negative control)</w:t>
            </w:r>
          </w:p>
        </w:tc>
        <w:tc>
          <w:tcPr/>
          <w:p>
            <w:pPr>
              <w:pStyle w:val="Compact"/>
              <w:jc w:val="right"/>
            </w:pPr>
            <w:r>
              <w:t xml:space="preserve">1.013 (0.988–1.039)</w:t>
            </w:r>
          </w:p>
        </w:tc>
        <w:tc>
          <w:tcPr/>
          <w:p>
            <w:pPr>
              <w:pStyle w:val="Compact"/>
              <w:jc w:val="right"/>
            </w:pPr>
            <w:r>
              <w:t xml:space="preserve">1.021 (0.970–1.074)</w:t>
            </w:r>
          </w:p>
        </w:tc>
        <w:tc>
          <w:tcPr/>
          <w:p>
            <w:pPr>
              <w:pStyle w:val="Compact"/>
              <w:jc w:val="right"/>
            </w:pPr>
            <w:r>
              <w:t xml:space="preserve">1.013 (0.988–1.040)</w:t>
            </w:r>
          </w:p>
        </w:tc>
        <w:tc>
          <w:tcPr/>
          <w:p>
            <w:pPr>
              <w:pStyle w:val="Compact"/>
              <w:jc w:val="right"/>
            </w:pPr>
            <w:r>
              <w:t xml:space="preserve">1.003 (0.981–1.025)</w:t>
            </w:r>
          </w:p>
        </w:tc>
        <w:tc>
          <w:tcPr/>
          <w:p>
            <w:pPr>
              <w:pStyle w:val="Compact"/>
              <w:jc w:val="right"/>
            </w:pPr>
            <w:r>
              <w:t xml:space="preserve">1.003 (0.980–1.027)</w:t>
            </w:r>
          </w:p>
        </w:tc>
        <w:tc>
          <w:tcPr/>
          <w:p>
            <w:pPr>
              <w:pStyle w:val="Compact"/>
              <w:jc w:val="right"/>
            </w:pPr>
            <w:r>
              <w:t xml:space="preserve">1.004 (0.982–1.027)</w:t>
            </w:r>
          </w:p>
        </w:tc>
      </w:tr>
    </w:tbl>
    <w:p>
      <w:pPr>
        <w:pStyle w:val="BodyText"/>
      </w:pPr>
      <w:r>
        <w:rPr>
          <w:b/>
          <w:bCs/>
        </w:rPr>
        <w:t xml:space="preserve">Table S8. Original panel design (UTLA; Fingertips three-year notification windows; practice-postcode assignment; original drug groups): IRR per 10% increase (95% CI)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Drug group</w:t>
            </w:r>
          </w:p>
        </w:tc>
        <w:tc>
          <w:tcPr/>
          <w:p>
            <w:pPr>
              <w:pStyle w:val="Compact"/>
              <w:jc w:val="right"/>
            </w:pPr>
            <w:r>
              <w:t xml:space="preserve">primary: t-5..t-3</w:t>
            </w:r>
          </w:p>
        </w:tc>
        <w:tc>
          <w:tcPr/>
          <w:p>
            <w:pPr>
              <w:pStyle w:val="Compact"/>
              <w:jc w:val="right"/>
            </w:pPr>
            <w:r>
              <w:t xml:space="preserve">lag: t-3 only</w:t>
            </w:r>
          </w:p>
        </w:tc>
        <w:tc>
          <w:tcPr/>
          <w:p>
            <w:pPr>
              <w:pStyle w:val="Compact"/>
              <w:jc w:val="right"/>
            </w:pPr>
            <w:r>
              <w:t xml:space="preserve">concurrent: t-2..t</w:t>
            </w:r>
          </w:p>
        </w:tc>
        <w:tc>
          <w:tcPr/>
          <w:p>
            <w:pPr>
              <w:pStyle w:val="Compact"/>
              <w:jc w:val="right"/>
            </w:pPr>
            <w:r>
              <w:t xml:space="preserve">lead (falsification): t+1..t+3</w:t>
            </w:r>
          </w:p>
        </w:tc>
      </w:tr>
      <w:tr>
        <w:tc>
          <w:tcPr/>
          <w:p>
            <w:pPr>
              <w:pStyle w:val="Compact"/>
              <w:jc w:val="left"/>
            </w:pPr>
            <w:r>
              <w:t xml:space="preserve">Antituberculosis (descriptive)</w:t>
            </w:r>
          </w:p>
        </w:tc>
        <w:tc>
          <w:tcPr/>
          <w:p>
            <w:pPr>
              <w:pStyle w:val="Compact"/>
              <w:jc w:val="right"/>
            </w:pPr>
            <w:r>
              <w:t xml:space="preserve">1.006 (0.999–1.012)</w:t>
            </w:r>
          </w:p>
        </w:tc>
        <w:tc>
          <w:tcPr/>
          <w:p>
            <w:pPr>
              <w:pStyle w:val="Compact"/>
              <w:jc w:val="right"/>
            </w:pPr>
            <w:r>
              <w:t xml:space="preserve">1.002 (0.998–1.005)</w:t>
            </w:r>
          </w:p>
        </w:tc>
        <w:tc>
          <w:tcPr/>
          <w:p>
            <w:pPr>
              <w:pStyle w:val="Compact"/>
              <w:jc w:val="right"/>
            </w:pPr>
            <w:r>
              <w:t xml:space="preserve">1.000 (0.996–1.004)</w:t>
            </w:r>
          </w:p>
        </w:tc>
        <w:tc>
          <w:tcPr/>
          <w:p>
            <w:pPr>
              <w:pStyle w:val="Compact"/>
              <w:jc w:val="right"/>
            </w:pPr>
            <w:r>
              <w:t xml:space="preserve">0.999 (0.994–1.005)</w:t>
            </w:r>
          </w:p>
        </w:tc>
      </w:tr>
      <w:tr>
        <w:tc>
          <w:tcPr/>
          <w:p>
            <w:pPr>
              <w:pStyle w:val="Compact"/>
              <w:jc w:val="left"/>
            </w:pPr>
            <w:r>
              <w:t xml:space="preserve">oral_corticosteroids</w:t>
            </w:r>
          </w:p>
        </w:tc>
        <w:tc>
          <w:tcPr/>
          <w:p>
            <w:pPr>
              <w:pStyle w:val="Compact"/>
              <w:jc w:val="right"/>
            </w:pPr>
            <w:r>
              <w:t xml:space="preserve">1.001 (0.951–1.055)</w:t>
            </w:r>
          </w:p>
        </w:tc>
        <w:tc>
          <w:tcPr/>
          <w:p>
            <w:pPr>
              <w:pStyle w:val="Compact"/>
              <w:jc w:val="right"/>
            </w:pPr>
            <w:r>
              <w:t xml:space="preserve">0.999 (0.958–1.040)</w:t>
            </w:r>
          </w:p>
        </w:tc>
        <w:tc>
          <w:tcPr/>
          <w:p>
            <w:pPr>
              <w:pStyle w:val="Compact"/>
              <w:jc w:val="right"/>
            </w:pPr>
            <w:r>
              <w:t xml:space="preserve">0.978 (0.931–1.028)</w:t>
            </w:r>
          </w:p>
        </w:tc>
        <w:tc>
          <w:tcPr/>
          <w:p>
            <w:pPr>
              <w:pStyle w:val="Compact"/>
              <w:jc w:val="right"/>
            </w:pPr>
            <w:r>
              <w:t xml:space="preserve">0.992 (0.946–1.040)</w:t>
            </w:r>
          </w:p>
        </w:tc>
      </w:tr>
      <w:tr>
        <w:tc>
          <w:tcPr/>
          <w:p>
            <w:pPr>
              <w:pStyle w:val="Compact"/>
              <w:jc w:val="left"/>
            </w:pPr>
            <w:r>
              <w:t xml:space="preserve">Inhaled corticosteroids</w:t>
            </w:r>
          </w:p>
        </w:tc>
        <w:tc>
          <w:tcPr/>
          <w:p>
            <w:pPr>
              <w:pStyle w:val="Compact"/>
              <w:jc w:val="right"/>
            </w:pPr>
            <w:r>
              <w:t xml:space="preserve">1.013 (0.944–1.086)</w:t>
            </w:r>
          </w:p>
        </w:tc>
        <w:tc>
          <w:tcPr/>
          <w:p>
            <w:pPr>
              <w:pStyle w:val="Compact"/>
              <w:jc w:val="right"/>
            </w:pPr>
            <w:r>
              <w:t xml:space="preserve">1.011 (0.962–1.064)</w:t>
            </w:r>
          </w:p>
        </w:tc>
        <w:tc>
          <w:tcPr/>
          <w:p>
            <w:pPr>
              <w:pStyle w:val="Compact"/>
              <w:jc w:val="right"/>
            </w:pPr>
            <w:r>
              <w:t xml:space="preserve">0.963 (0.918–1.011)</w:t>
            </w:r>
          </w:p>
        </w:tc>
        <w:tc>
          <w:tcPr/>
          <w:p>
            <w:pPr>
              <w:pStyle w:val="Compact"/>
              <w:jc w:val="right"/>
            </w:pPr>
            <w:r>
              <w:t xml:space="preserve">0.971 (0.916–1.029)</w:t>
            </w:r>
          </w:p>
        </w:tc>
      </w:tr>
      <w:tr>
        <w:tc>
          <w:tcPr/>
          <w:p>
            <w:pPr>
              <w:pStyle w:val="Compact"/>
              <w:jc w:val="left"/>
            </w:pPr>
            <w:r>
              <w:t xml:space="preserve">immunosuppressants</w:t>
            </w:r>
          </w:p>
        </w:tc>
        <w:tc>
          <w:tcPr/>
          <w:p>
            <w:pPr>
              <w:pStyle w:val="Compact"/>
              <w:jc w:val="right"/>
            </w:pPr>
            <w:r>
              <w:t xml:space="preserve">1.006 (0.978–1.034)</w:t>
            </w:r>
          </w:p>
        </w:tc>
        <w:tc>
          <w:tcPr/>
          <w:p>
            <w:pPr>
              <w:pStyle w:val="Compact"/>
              <w:jc w:val="right"/>
            </w:pPr>
            <w:r>
              <w:t xml:space="preserve">1.007 (0.987–1.027)</w:t>
            </w:r>
          </w:p>
        </w:tc>
        <w:tc>
          <w:tcPr/>
          <w:p>
            <w:pPr>
              <w:pStyle w:val="Compact"/>
              <w:jc w:val="right"/>
            </w:pPr>
            <w:r>
              <w:t xml:space="preserve">1.009 (0.988–1.031)</w:t>
            </w:r>
          </w:p>
        </w:tc>
        <w:tc>
          <w:tcPr/>
          <w:p>
            <w:pPr>
              <w:pStyle w:val="Compact"/>
              <w:jc w:val="right"/>
            </w:pPr>
            <w:r>
              <w:t xml:space="preserve">1.003 (0.976–1.030)</w:t>
            </w:r>
          </w:p>
        </w:tc>
      </w:tr>
      <w:tr>
        <w:tc>
          <w:tcPr/>
          <w:p>
            <w:pPr>
              <w:pStyle w:val="Compact"/>
              <w:jc w:val="left"/>
            </w:pPr>
            <w:r>
              <w:t xml:space="preserve">Proton pump inhibitors</w:t>
            </w:r>
          </w:p>
        </w:tc>
        <w:tc>
          <w:tcPr/>
          <w:p>
            <w:pPr>
              <w:pStyle w:val="Compact"/>
              <w:jc w:val="right"/>
            </w:pPr>
            <w:r>
              <w:t xml:space="preserve">1.007 (0.941–1.077)</w:t>
            </w:r>
          </w:p>
        </w:tc>
        <w:tc>
          <w:tcPr/>
          <w:p>
            <w:pPr>
              <w:pStyle w:val="Compact"/>
              <w:jc w:val="right"/>
            </w:pPr>
            <w:r>
              <w:t xml:space="preserve">1.002 (0.957–1.048)</w:t>
            </w:r>
          </w:p>
        </w:tc>
        <w:tc>
          <w:tcPr/>
          <w:p>
            <w:pPr>
              <w:pStyle w:val="Compact"/>
              <w:jc w:val="right"/>
            </w:pPr>
            <w:r>
              <w:t xml:space="preserve">1.000 (0.953–1.049)</w:t>
            </w:r>
          </w:p>
        </w:tc>
        <w:tc>
          <w:tcPr/>
          <w:p>
            <w:pPr>
              <w:pStyle w:val="Compact"/>
              <w:jc w:val="right"/>
            </w:pPr>
            <w:r>
              <w:t xml:space="preserve">1.040 (0.985–1.098)</w:t>
            </w:r>
          </w:p>
        </w:tc>
      </w:tr>
      <w:tr>
        <w:tc>
          <w:tcPr/>
          <w:p>
            <w:pPr>
              <w:pStyle w:val="Compact"/>
              <w:jc w:val="left"/>
            </w:pPr>
            <w:r>
              <w:t xml:space="preserve">Statins</w:t>
            </w:r>
          </w:p>
        </w:tc>
        <w:tc>
          <w:tcPr/>
          <w:p>
            <w:pPr>
              <w:pStyle w:val="Compact"/>
              <w:jc w:val="right"/>
            </w:pPr>
            <w:r>
              <w:t xml:space="preserve">1.031 (0.963–1.104)</w:t>
            </w:r>
          </w:p>
        </w:tc>
        <w:tc>
          <w:tcPr/>
          <w:p>
            <w:pPr>
              <w:pStyle w:val="Compact"/>
              <w:jc w:val="right"/>
            </w:pPr>
            <w:r>
              <w:t xml:space="preserve">1.008 (0.963–1.055)</w:t>
            </w:r>
          </w:p>
        </w:tc>
        <w:tc>
          <w:tcPr/>
          <w:p>
            <w:pPr>
              <w:pStyle w:val="Compact"/>
              <w:jc w:val="right"/>
            </w:pPr>
            <w:r>
              <w:t xml:space="preserve">1.001 (0.956–1.049)</w:t>
            </w:r>
          </w:p>
        </w:tc>
        <w:tc>
          <w:tcPr/>
          <w:p>
            <w:pPr>
              <w:pStyle w:val="Compact"/>
              <w:jc w:val="right"/>
            </w:pPr>
            <w:r>
              <w:t xml:space="preserve">1.022 (0.966–1.082)</w:t>
            </w:r>
          </w:p>
        </w:tc>
      </w:tr>
      <w:tr>
        <w:tc>
          <w:tcPr/>
          <w:p>
            <w:pPr>
              <w:pStyle w:val="Compact"/>
              <w:jc w:val="left"/>
            </w:pPr>
            <w:r>
              <w:t xml:space="preserve">Metformin</w:t>
            </w:r>
          </w:p>
        </w:tc>
        <w:tc>
          <w:tcPr/>
          <w:p>
            <w:pPr>
              <w:pStyle w:val="Compact"/>
              <w:jc w:val="right"/>
            </w:pPr>
            <w:r>
              <w:t xml:space="preserve">0.998 (0.940–1.060)</w:t>
            </w:r>
          </w:p>
        </w:tc>
        <w:tc>
          <w:tcPr/>
          <w:p>
            <w:pPr>
              <w:pStyle w:val="Compact"/>
              <w:jc w:val="right"/>
            </w:pPr>
            <w:r>
              <w:t xml:space="preserve">0.974 (0.933–1.018)</w:t>
            </w:r>
          </w:p>
        </w:tc>
        <w:tc>
          <w:tcPr/>
          <w:p>
            <w:pPr>
              <w:pStyle w:val="Compact"/>
              <w:jc w:val="right"/>
            </w:pPr>
            <w:r>
              <w:t xml:space="preserve">0.970 (0.933–1.007)</w:t>
            </w:r>
          </w:p>
        </w:tc>
        <w:tc>
          <w:tcPr/>
          <w:p>
            <w:pPr>
              <w:pStyle w:val="Compact"/>
              <w:jc w:val="right"/>
            </w:pPr>
            <w:r>
              <w:t xml:space="preserve">1.010 (0.960–1.063)</w:t>
            </w:r>
          </w:p>
        </w:tc>
      </w:tr>
      <w:tr>
        <w:tc>
          <w:tcPr/>
          <w:p>
            <w:pPr>
              <w:pStyle w:val="Compact"/>
              <w:jc w:val="left"/>
            </w:pPr>
            <w:r>
              <w:t xml:space="preserve">Insulins</w:t>
            </w:r>
          </w:p>
        </w:tc>
        <w:tc>
          <w:tcPr/>
          <w:p>
            <w:pPr>
              <w:pStyle w:val="Compact"/>
              <w:jc w:val="right"/>
            </w:pPr>
            <w:r>
              <w:t xml:space="preserve">1.041 (0.973–1.114)</w:t>
            </w:r>
          </w:p>
        </w:tc>
        <w:tc>
          <w:tcPr/>
          <w:p>
            <w:pPr>
              <w:pStyle w:val="Compact"/>
              <w:jc w:val="right"/>
            </w:pPr>
            <w:r>
              <w:t xml:space="preserve">1.009 (0.965–1.056)</w:t>
            </w:r>
          </w:p>
        </w:tc>
        <w:tc>
          <w:tcPr/>
          <w:p>
            <w:pPr>
              <w:pStyle w:val="Compact"/>
              <w:jc w:val="right"/>
            </w:pPr>
            <w:r>
              <w:t xml:space="preserve">0.971 (0.927–1.018)</w:t>
            </w:r>
          </w:p>
        </w:tc>
        <w:tc>
          <w:tcPr/>
          <w:p>
            <w:pPr>
              <w:pStyle w:val="Compact"/>
              <w:jc w:val="right"/>
            </w:pPr>
            <w:r>
              <w:t xml:space="preserve">0.962 (0.908–1.020)</w:t>
            </w:r>
          </w:p>
        </w:tc>
      </w:tr>
      <w:tr>
        <w:tc>
          <w:tcPr/>
          <w:p>
            <w:pPr>
              <w:pStyle w:val="Compact"/>
              <w:jc w:val="left"/>
            </w:pPr>
            <w:r>
              <w:t xml:space="preserve">Fluoroquinolones</w:t>
            </w:r>
          </w:p>
        </w:tc>
        <w:tc>
          <w:tcPr/>
          <w:p>
            <w:pPr>
              <w:pStyle w:val="Compact"/>
              <w:jc w:val="right"/>
            </w:pPr>
            <w:r>
              <w:t xml:space="preserve">1.014 (0.996–1.032)</w:t>
            </w:r>
          </w:p>
        </w:tc>
        <w:tc>
          <w:tcPr/>
          <w:p>
            <w:pPr>
              <w:pStyle w:val="Compact"/>
              <w:jc w:val="right"/>
            </w:pPr>
            <w:r>
              <w:t xml:space="preserve">1.005 (0.992–1.018)</w:t>
            </w:r>
          </w:p>
        </w:tc>
        <w:tc>
          <w:tcPr/>
          <w:p>
            <w:pPr>
              <w:pStyle w:val="Compact"/>
              <w:jc w:val="right"/>
            </w:pPr>
            <w:r>
              <w:t xml:space="preserve">1.000 (0.984–1.016)</w:t>
            </w:r>
          </w:p>
        </w:tc>
        <w:tc>
          <w:tcPr/>
          <w:p>
            <w:pPr>
              <w:pStyle w:val="Compact"/>
              <w:jc w:val="right"/>
            </w:pPr>
            <w:r>
              <w:t xml:space="preserve">0.990 (0.971–1.009)</w:t>
            </w:r>
          </w:p>
        </w:tc>
      </w:tr>
      <w:tr>
        <w:tc>
          <w:tcPr/>
          <w:p>
            <w:pPr>
              <w:pStyle w:val="Compact"/>
              <w:jc w:val="left"/>
            </w:pPr>
            <w:r>
              <w:t xml:space="preserve">All antibacterials</w:t>
            </w:r>
          </w:p>
        </w:tc>
        <w:tc>
          <w:tcPr/>
          <w:p>
            <w:pPr>
              <w:pStyle w:val="Compact"/>
              <w:jc w:val="right"/>
            </w:pPr>
            <w:r>
              <w:t xml:space="preserve">1.030 (0.983–1.080)</w:t>
            </w:r>
          </w:p>
        </w:tc>
        <w:tc>
          <w:tcPr/>
          <w:p>
            <w:pPr>
              <w:pStyle w:val="Compact"/>
              <w:jc w:val="right"/>
            </w:pPr>
            <w:r>
              <w:t xml:space="preserve">1.017 (0.983–1.052)</w:t>
            </w:r>
          </w:p>
        </w:tc>
        <w:tc>
          <w:tcPr/>
          <w:p>
            <w:pPr>
              <w:pStyle w:val="Compact"/>
              <w:jc w:val="right"/>
            </w:pPr>
            <w:r>
              <w:t xml:space="preserve">0.993 (0.958–1.031)</w:t>
            </w:r>
          </w:p>
        </w:tc>
        <w:tc>
          <w:tcPr/>
          <w:p>
            <w:pPr>
              <w:pStyle w:val="Compact"/>
              <w:jc w:val="right"/>
            </w:pPr>
            <w:r>
              <w:t xml:space="preserve">1.008 (0.971–1.047)</w:t>
            </w:r>
          </w:p>
        </w:tc>
      </w:tr>
      <w:tr>
        <w:tc>
          <w:tcPr/>
          <w:p>
            <w:pPr>
              <w:pStyle w:val="Compact"/>
              <w:jc w:val="left"/>
            </w:pPr>
            <w:r>
              <w:t xml:space="preserve">Vitamin D</w:t>
            </w:r>
          </w:p>
        </w:tc>
        <w:tc>
          <w:tcPr/>
          <w:p>
            <w:pPr>
              <w:pStyle w:val="Compact"/>
              <w:jc w:val="right"/>
            </w:pPr>
            <w:r>
              <w:t xml:space="preserve">1.018 (0.993–1.044)</w:t>
            </w:r>
          </w:p>
        </w:tc>
        <w:tc>
          <w:tcPr/>
          <w:p>
            <w:pPr>
              <w:pStyle w:val="Compact"/>
              <w:jc w:val="right"/>
            </w:pPr>
            <w:r>
              <w:t xml:space="preserve">1.008 (0.988–1.028)</w:t>
            </w:r>
          </w:p>
        </w:tc>
        <w:tc>
          <w:tcPr/>
          <w:p>
            <w:pPr>
              <w:pStyle w:val="Compact"/>
              <w:jc w:val="right"/>
            </w:pPr>
            <w:r>
              <w:t xml:space="preserve">1.003 (0.981–1.025)</w:t>
            </w:r>
          </w:p>
        </w:tc>
        <w:tc>
          <w:tcPr/>
          <w:p>
            <w:pPr>
              <w:pStyle w:val="Compact"/>
              <w:jc w:val="right"/>
            </w:pPr>
            <w:r>
              <w:t xml:space="preserve">1.028 (1.002–1.055)</w:t>
            </w:r>
          </w:p>
        </w:tc>
      </w:tr>
      <w:tr>
        <w:tc>
          <w:tcPr/>
          <w:p>
            <w:pPr>
              <w:pStyle w:val="Compact"/>
              <w:jc w:val="left"/>
            </w:pPr>
            <w:r>
              <w:t xml:space="preserve">Levothyroxine (negative control)</w:t>
            </w:r>
          </w:p>
        </w:tc>
        <w:tc>
          <w:tcPr/>
          <w:p>
            <w:pPr>
              <w:pStyle w:val="Compact"/>
              <w:jc w:val="right"/>
            </w:pPr>
            <w:r>
              <w:t xml:space="preserve">0.982 (0.942–1.024)</w:t>
            </w:r>
          </w:p>
        </w:tc>
        <w:tc>
          <w:tcPr/>
          <w:p>
            <w:pPr>
              <w:pStyle w:val="Compact"/>
              <w:jc w:val="right"/>
            </w:pPr>
            <w:r>
              <w:t xml:space="preserve">0.972 (0.939–1.006)</w:t>
            </w:r>
          </w:p>
        </w:tc>
        <w:tc>
          <w:tcPr/>
          <w:p>
            <w:pPr>
              <w:pStyle w:val="Compact"/>
              <w:jc w:val="right"/>
            </w:pPr>
            <w:r>
              <w:t xml:space="preserve">0.963 (0.928–1.000)</w:t>
            </w:r>
          </w:p>
        </w:tc>
        <w:tc>
          <w:tcPr/>
          <w:p>
            <w:pPr>
              <w:pStyle w:val="Compact"/>
              <w:jc w:val="right"/>
            </w:pPr>
            <w:r>
              <w:t xml:space="preserve">0.979 (0.932–1.029)</w:t>
            </w:r>
          </w:p>
        </w:tc>
      </w:tr>
    </w:tbl>
    <w:p>
      <w:pPr>
        <w:pStyle w:val="BodyText"/>
      </w:pPr>
      <w:r>
        <w:t xml:space="preserve">Poisson PML with area and year fixed effects and time-varying covariates. Drug groups follow the original definitions, before revision after peer review, so they are not directly comparable with Table 1.</w:t>
      </w:r>
    </w:p>
    <w:p>
      <w:pPr>
        <w:pStyle w:val="BodyText"/>
      </w:pPr>
      <w:r>
        <w:rPr>
          <w:b/>
          <w:bCs/>
        </w:rPr>
        <w:t xml:space="preserve">Table S9. Primary care drug group definitions (regular expressions applied to BNF chemical substance names and BNF codes; drug_groups.py)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Drug group</w:t>
            </w:r>
          </w:p>
        </w:tc>
        <w:tc>
          <w:tcPr/>
          <w:p>
            <w:pPr>
              <w:pStyle w:val="Compact"/>
              <w:jc w:val="right"/>
            </w:pPr>
            <w:r>
              <w:t xml:space="preserve">Rule</w:t>
            </w:r>
          </w:p>
        </w:tc>
      </w:tr>
      <w:tr>
        <w:tc>
          <w:tcPr/>
          <w:p>
            <w:pPr>
              <w:pStyle w:val="Compact"/>
              <w:jc w:val="left"/>
            </w:pPr>
            <w:r>
              <w:t xml:space="preserve">Antituberculosis (descriptive)</w:t>
            </w:r>
          </w:p>
        </w:tc>
        <w:tc>
          <w:tcPr/>
          <w:p>
            <w:pPr>
              <w:pStyle w:val="Compact"/>
              <w:jc w:val="right"/>
            </w:pPr>
            <w:r>
              <w:t xml:space="preserve">code:</w:t>
            </w:r>
            <w:r>
              <w:t xml:space="preserve"> </w:t>
            </w:r>
            <w:r>
              <w:rPr>
                <w:rStyle w:val="VerbatimChar"/>
              </w:rPr>
              <w:t xml:space="preserve">^0501090</w:t>
            </w:r>
          </w:p>
        </w:tc>
      </w:tr>
      <w:tr>
        <w:tc>
          <w:tcPr/>
          <w:p>
            <w:pPr>
              <w:pStyle w:val="Compact"/>
              <w:jc w:val="left"/>
            </w:pPr>
            <w:r>
              <w:t xml:space="preserve">Systemic oral glucocorticoids</w:t>
            </w:r>
          </w:p>
        </w:tc>
        <w:tc>
          <w:tcPr/>
          <w:p>
            <w:pPr>
              <w:pStyle w:val="Compact"/>
              <w:jc w:val="right"/>
            </w:pPr>
            <w:r>
              <w:t xml:space="preserve">code:</w:t>
            </w:r>
            <w:r>
              <w:t xml:space="preserve"> </w:t>
            </w:r>
            <w:r>
              <w:rPr>
                <w:rStyle w:val="VerbatimChar"/>
              </w:rPr>
              <w:t xml:space="preserve">^0603020</w:t>
            </w:r>
            <w:r>
              <w:t xml:space="preserve">; name:</w:t>
            </w:r>
            <w:r>
              <w:t xml:space="preserve"> </w:t>
            </w:r>
            <w:r>
              <w:rPr>
                <w:rStyle w:val="VerbatimChar"/>
              </w:rPr>
              <w:t xml:space="preserve">^(?:prednisolone\|prednisone\|methylprednisolone\|deflazacort\|dexamethasone)</w:t>
            </w:r>
            <w:r>
              <w:t xml:space="preserve">; exclude:</w:t>
            </w:r>
            <w:r>
              <w:t xml:space="preserve"> </w:t>
            </w:r>
            <w:r>
              <w:rPr>
                <w:rStyle w:val="VerbatimChar"/>
              </w:rPr>
              <w:t xml:space="preserve">inj\|infusion\|amp\|vial\|syringe\|pre-filled\|prefilled\|intra-articular\|suspension for injection</w:t>
            </w:r>
          </w:p>
        </w:tc>
      </w:tr>
      <w:tr>
        <w:tc>
          <w:tcPr/>
          <w:p>
            <w:pPr>
              <w:pStyle w:val="Compact"/>
              <w:jc w:val="left"/>
            </w:pPr>
            <w:r>
              <w:t xml:space="preserve">Oral hydrocortisone</w:t>
            </w:r>
          </w:p>
        </w:tc>
        <w:tc>
          <w:tcPr/>
          <w:p>
            <w:pPr>
              <w:pStyle w:val="Compact"/>
              <w:jc w:val="right"/>
            </w:pPr>
            <w:r>
              <w:t xml:space="preserve">code:</w:t>
            </w:r>
            <w:r>
              <w:t xml:space="preserve"> </w:t>
            </w:r>
            <w:r>
              <w:rPr>
                <w:rStyle w:val="VerbatimChar"/>
              </w:rPr>
              <w:t xml:space="preserve">^0603020</w:t>
            </w:r>
            <w:r>
              <w:t xml:space="preserve">; name:</w:t>
            </w:r>
            <w:r>
              <w:t xml:space="preserve"> </w:t>
            </w:r>
            <w:r>
              <w:rPr>
                <w:rStyle w:val="VerbatimChar"/>
              </w:rPr>
              <w:t xml:space="preserve">^hydrocortisone</w:t>
            </w:r>
            <w:r>
              <w:t xml:space="preserve">; exclude:</w:t>
            </w:r>
            <w:r>
              <w:t xml:space="preserve"> </w:t>
            </w:r>
            <w:r>
              <w:rPr>
                <w:rStyle w:val="VerbatimChar"/>
              </w:rPr>
              <w:t xml:space="preserve">inj\|infusion\|amp\|vial\|syringe\|pre-filled\|prefilled\|intra-articular\|suspension for injection</w:t>
            </w:r>
          </w:p>
        </w:tc>
      </w:tr>
      <w:tr>
        <w:tc>
          <w:tcPr/>
          <w:p>
            <w:pPr>
              <w:pStyle w:val="Compact"/>
              <w:jc w:val="left"/>
            </w:pPr>
            <w:r>
              <w:t xml:space="preserve">Oral dexamethasone</w:t>
            </w:r>
          </w:p>
        </w:tc>
        <w:tc>
          <w:tcPr/>
          <w:p>
            <w:pPr>
              <w:pStyle w:val="Compact"/>
              <w:jc w:val="right"/>
            </w:pPr>
            <w:r>
              <w:t xml:space="preserve">code:</w:t>
            </w:r>
            <w:r>
              <w:t xml:space="preserve"> </w:t>
            </w:r>
            <w:r>
              <w:rPr>
                <w:rStyle w:val="VerbatimChar"/>
              </w:rPr>
              <w:t xml:space="preserve">^0603020</w:t>
            </w:r>
            <w:r>
              <w:t xml:space="preserve">; name:</w:t>
            </w:r>
            <w:r>
              <w:t xml:space="preserve"> </w:t>
            </w:r>
            <w:r>
              <w:rPr>
                <w:rStyle w:val="VerbatimChar"/>
              </w:rPr>
              <w:t xml:space="preserve">^dexamethasone</w:t>
            </w:r>
            <w:r>
              <w:t xml:space="preserve">; exclude:</w:t>
            </w:r>
            <w:r>
              <w:t xml:space="preserve"> </w:t>
            </w:r>
            <w:r>
              <w:rPr>
                <w:rStyle w:val="VerbatimChar"/>
              </w:rPr>
              <w:t xml:space="preserve">inj\|infusion\|amp\|vial\|syringe\|pre-filled\|prefilled\|intra-articular\|suspension for injection</w:t>
            </w:r>
          </w:p>
        </w:tc>
      </w:tr>
      <w:tr>
        <w:tc>
          <w:tcPr/>
          <w:p>
            <w:pPr>
              <w:pStyle w:val="Compact"/>
              <w:jc w:val="left"/>
            </w:pPr>
            <w:r>
              <w:t xml:space="preserve">Inhaled corticosteroids</w:t>
            </w:r>
          </w:p>
        </w:tc>
        <w:tc>
          <w:tcPr/>
          <w:p>
            <w:pPr>
              <w:pStyle w:val="Compact"/>
              <w:jc w:val="right"/>
            </w:pPr>
            <w:r>
              <w:t xml:space="preserve">code:</w:t>
            </w:r>
            <w:r>
              <w:t xml:space="preserve"> </w:t>
            </w:r>
            <w:r>
              <w:rPr>
                <w:rStyle w:val="VerbatimChar"/>
              </w:rPr>
              <w:t xml:space="preserve">^0302000</w:t>
            </w:r>
          </w:p>
        </w:tc>
      </w:tr>
      <w:tr>
        <w:tc>
          <w:tcPr/>
          <w:p>
            <w:pPr>
              <w:pStyle w:val="Compact"/>
              <w:jc w:val="left"/>
            </w:pPr>
            <w:r>
              <w:t xml:space="preserve">Conventional DMARDs</w:t>
            </w:r>
          </w:p>
        </w:tc>
        <w:tc>
          <w:tcPr/>
          <w:p>
            <w:pPr>
              <w:pStyle w:val="Compact"/>
              <w:jc w:val="right"/>
            </w:pPr>
            <w:r>
              <w:t xml:space="preserve">name:</w:t>
            </w:r>
            <w:r>
              <w:t xml:space="preserve"> </w:t>
            </w:r>
            <w:r>
              <w:rPr>
                <w:rStyle w:val="VerbatimChar"/>
              </w:rPr>
              <w:t xml:space="preserve">^(?:methotrexate\|leflunomide\|azathioprine\|mercaptopurine)</w:t>
            </w:r>
            <w:r>
              <w:t xml:space="preserve">; code:</w:t>
            </w:r>
            <w:r>
              <w:t xml:space="preserve"> </w:t>
            </w:r>
            <w:r>
              <w:rPr>
                <w:rStyle w:val="VerbatimChar"/>
              </w:rPr>
              <w:t xml:space="preserve">^(?:1001030\|0802010\|0801030L0)</w:t>
            </w:r>
          </w:p>
        </w:tc>
      </w:tr>
      <w:tr>
        <w:tc>
          <w:tcPr/>
          <w:p>
            <w:pPr>
              <w:pStyle w:val="Compact"/>
              <w:jc w:val="left"/>
            </w:pPr>
            <w:r>
              <w:t xml:space="preserve">Transplant immunosuppressants</w:t>
            </w:r>
          </w:p>
        </w:tc>
        <w:tc>
          <w:tcPr/>
          <w:p>
            <w:pPr>
              <w:pStyle w:val="Compact"/>
              <w:jc w:val="right"/>
            </w:pPr>
            <w:r>
              <w:t xml:space="preserve">name:</w:t>
            </w:r>
            <w:r>
              <w:t xml:space="preserve"> </w:t>
            </w:r>
            <w:r>
              <w:rPr>
                <w:rStyle w:val="VerbatimChar"/>
              </w:rPr>
              <w:t xml:space="preserve">^(?:tacrolimus\|ciclosporin\|mycophenol\|sirolimus\|everolimus)</w:t>
            </w:r>
            <w:r>
              <w:t xml:space="preserve">; code:</w:t>
            </w:r>
            <w:r>
              <w:t xml:space="preserve"> </w:t>
            </w:r>
            <w:r>
              <w:rPr>
                <w:rStyle w:val="VerbatimChar"/>
              </w:rPr>
              <w:t xml:space="preserve">^0802</w:t>
            </w:r>
          </w:p>
        </w:tc>
      </w:tr>
      <w:tr>
        <w:tc>
          <w:tcPr/>
          <w:p>
            <w:pPr>
              <w:pStyle w:val="Compact"/>
              <w:jc w:val="left"/>
            </w:pPr>
            <w:r>
              <w:t xml:space="preserve">Proton pump inhibitors</w:t>
            </w:r>
          </w:p>
        </w:tc>
        <w:tc>
          <w:tcPr/>
          <w:p>
            <w:pPr>
              <w:pStyle w:val="Compact"/>
              <w:jc w:val="right"/>
            </w:pPr>
            <w:r>
              <w:t xml:space="preserve">code:</w:t>
            </w:r>
            <w:r>
              <w:t xml:space="preserve"> </w:t>
            </w:r>
            <w:r>
              <w:rPr>
                <w:rStyle w:val="VerbatimChar"/>
              </w:rPr>
              <w:t xml:space="preserve">^0103050</w:t>
            </w:r>
          </w:p>
        </w:tc>
      </w:tr>
      <w:tr>
        <w:tc>
          <w:tcPr/>
          <w:p>
            <w:pPr>
              <w:pStyle w:val="Compact"/>
              <w:jc w:val="left"/>
            </w:pPr>
            <w:r>
              <w:t xml:space="preserve">Statins</w:t>
            </w:r>
          </w:p>
        </w:tc>
        <w:tc>
          <w:tcPr/>
          <w:p>
            <w:pPr>
              <w:pStyle w:val="Compact"/>
              <w:jc w:val="right"/>
            </w:pPr>
            <w:r>
              <w:t xml:space="preserve">code:</w:t>
            </w:r>
            <w:r>
              <w:t xml:space="preserve"> </w:t>
            </w:r>
            <w:r>
              <w:rPr>
                <w:rStyle w:val="VerbatimChar"/>
              </w:rPr>
              <w:t xml:space="preserve">^0212000</w:t>
            </w:r>
            <w:r>
              <w:t xml:space="preserve">; name:</w:t>
            </w:r>
            <w:r>
              <w:t xml:space="preserve"> </w:t>
            </w:r>
            <w:r>
              <w:rPr>
                <w:rStyle w:val="VerbatimChar"/>
              </w:rPr>
              <w:t xml:space="preserve">statin</w:t>
            </w:r>
          </w:p>
        </w:tc>
      </w:tr>
      <w:tr>
        <w:tc>
          <w:tcPr/>
          <w:p>
            <w:pPr>
              <w:pStyle w:val="Compact"/>
              <w:jc w:val="left"/>
            </w:pPr>
            <w:r>
              <w:t xml:space="preserve">Metformin</w:t>
            </w:r>
          </w:p>
        </w:tc>
        <w:tc>
          <w:tcPr/>
          <w:p>
            <w:pPr>
              <w:pStyle w:val="Compact"/>
              <w:jc w:val="right"/>
            </w:pPr>
            <w:r>
              <w:t xml:space="preserve">name:</w:t>
            </w:r>
            <w:r>
              <w:t xml:space="preserve"> </w:t>
            </w:r>
            <w:r>
              <w:rPr>
                <w:rStyle w:val="VerbatimChar"/>
              </w:rPr>
              <w:t xml:space="preserve">metformin</w:t>
            </w:r>
          </w:p>
        </w:tc>
      </w:tr>
      <w:tr>
        <w:tc>
          <w:tcPr/>
          <w:p>
            <w:pPr>
              <w:pStyle w:val="Compact"/>
              <w:jc w:val="left"/>
            </w:pPr>
            <w:r>
              <w:t xml:space="preserve">Insulins</w:t>
            </w:r>
          </w:p>
        </w:tc>
        <w:tc>
          <w:tcPr/>
          <w:p>
            <w:pPr>
              <w:pStyle w:val="Compact"/>
              <w:jc w:val="right"/>
            </w:pPr>
            <w:r>
              <w:t xml:space="preserve">code:</w:t>
            </w:r>
            <w:r>
              <w:t xml:space="preserve"> </w:t>
            </w:r>
            <w:r>
              <w:rPr>
                <w:rStyle w:val="VerbatimChar"/>
              </w:rPr>
              <w:t xml:space="preserve">^060101</w:t>
            </w:r>
          </w:p>
        </w:tc>
      </w:tr>
      <w:tr>
        <w:tc>
          <w:tcPr/>
          <w:p>
            <w:pPr>
              <w:pStyle w:val="Compact"/>
              <w:jc w:val="left"/>
            </w:pPr>
            <w:r>
              <w:t xml:space="preserve">Fluoroquinolones</w:t>
            </w:r>
          </w:p>
        </w:tc>
        <w:tc>
          <w:tcPr/>
          <w:p>
            <w:pPr>
              <w:pStyle w:val="Compact"/>
              <w:jc w:val="right"/>
            </w:pPr>
            <w:r>
              <w:t xml:space="preserve">name:</w:t>
            </w:r>
            <w:r>
              <w:t xml:space="preserve"> </w:t>
            </w:r>
            <w:r>
              <w:rPr>
                <w:rStyle w:val="VerbatimChar"/>
              </w:rPr>
              <w:t xml:space="preserve">^(?:ciprofloxacin\|levofloxacin\|moxifloxacin\|ofloxacin)</w:t>
            </w:r>
          </w:p>
        </w:tc>
      </w:tr>
      <w:tr>
        <w:tc>
          <w:tcPr/>
          <w:p>
            <w:pPr>
              <w:pStyle w:val="Compact"/>
              <w:jc w:val="left"/>
            </w:pPr>
            <w:r>
              <w:t xml:space="preserve">All antibacterials</w:t>
            </w:r>
          </w:p>
        </w:tc>
        <w:tc>
          <w:tcPr/>
          <w:p>
            <w:pPr>
              <w:pStyle w:val="Compact"/>
              <w:jc w:val="right"/>
            </w:pPr>
            <w:r>
              <w:t xml:space="preserve">code:</w:t>
            </w:r>
            <w:r>
              <w:t xml:space="preserve"> </w:t>
            </w:r>
            <w:r>
              <w:rPr>
                <w:rStyle w:val="VerbatimChar"/>
              </w:rPr>
              <w:t xml:space="preserve">^0501</w:t>
            </w:r>
          </w:p>
        </w:tc>
      </w:tr>
      <w:tr>
        <w:tc>
          <w:tcPr/>
          <w:p>
            <w:pPr>
              <w:pStyle w:val="Compact"/>
              <w:jc w:val="left"/>
            </w:pPr>
            <w:r>
              <w:t xml:space="preserve">Vitamin D</w:t>
            </w:r>
          </w:p>
        </w:tc>
        <w:tc>
          <w:tcPr/>
          <w:p>
            <w:pPr>
              <w:pStyle w:val="Compact"/>
              <w:jc w:val="right"/>
            </w:pPr>
            <w:r>
              <w:t xml:space="preserve">name:</w:t>
            </w:r>
            <w:r>
              <w:t xml:space="preserve"> </w:t>
            </w:r>
            <w:r>
              <w:rPr>
                <w:rStyle w:val="VerbatimChar"/>
              </w:rPr>
              <w:t xml:space="preserve">^(?:colecalciferol\|ergocalciferol)</w:t>
            </w:r>
          </w:p>
        </w:tc>
      </w:tr>
      <w:tr>
        <w:tc>
          <w:tcPr/>
          <w:p>
            <w:pPr>
              <w:pStyle w:val="Compact"/>
              <w:jc w:val="left"/>
            </w:pPr>
            <w:r>
              <w:t xml:space="preserve">Levothyroxine (negative control)</w:t>
            </w:r>
          </w:p>
        </w:tc>
        <w:tc>
          <w:tcPr/>
          <w:p>
            <w:pPr>
              <w:pStyle w:val="Compact"/>
              <w:jc w:val="right"/>
            </w:pPr>
            <w:r>
              <w:t xml:space="preserve">name:</w:t>
            </w:r>
            <w:r>
              <w:t xml:space="preserve"> </w:t>
            </w:r>
            <w:r>
              <w:rPr>
                <w:rStyle w:val="VerbatimChar"/>
              </w:rPr>
              <w:t xml:space="preserve">^levothyroxine</w:t>
            </w:r>
          </w:p>
        </w:tc>
      </w:tr>
    </w:tbl>
    <w:p>
      <w:pPr>
        <w:pStyle w:val="BodyText"/>
      </w:pPr>
      <w:r>
        <w:t xml:space="preserve">BNF chapters 11–13 (eye, ear and nose, skin) are excluded unless a code rule applies; injectable presentations are excluded from oral groups. Prednisolone-equivalent factors: prednisolone and prednisone 1, methylprednisolone 1.25, deflazacort 0.83, dexamethasone 6.67. The SCMD product classification with DDDs is in outputs/hospital/vmp_classification.csv.</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image" Id="rId50" Target="media/rId50.png" /><Relationship Type="http://schemas.openxmlformats.org/officeDocument/2006/relationships/image" Id="rId37" Target="media/rId37.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open prescribing data detect medicine effects on tuberculosis? An ecological study of primary care and hospital prescribing and TB notifications in England</dc:title>
  <dc:creator/>
  <cp:keywords/>
  <dcterms:created xsi:type="dcterms:W3CDTF">2026-09-14T18:09:05Z</dcterms:created>
  <dcterms:modified xsi:type="dcterms:W3CDTF">2026-09-14T18:09:05Z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cle_type">
    <vt:lpwstr>Original research · Ecological study</vt:lpwstr>
  </property>
  <property fmtid="{D5CDD505-2E9C-101B-9397-08002B2CF9AE}" pid="3" name="authors">
    <vt:lpwstr>[Authors to be confirmed]</vt:lpwstr>
  </property>
  <property fmtid="{D5CDD505-2E9C-101B-9397-08002B2CF9AE}" pid="4" name="date">
    <vt:lpwstr>Draft 4 (revised after peer review, round 2), 14 September 2026</vt:lpwstr>
  </property>
  <property fmtid="{D5CDD505-2E9C-101B-9397-08002B2CF9AE}" pid="5" name="short_title">
    <vt:lpwstr>Prescribing and TB in England</vt:lpwstr>
  </property>
  <property fmtid="{D5CDD505-2E9C-101B-9397-08002B2CF9AE}" pid="6" name="thesis">
    <vt:lpwstr>A disease-specific positive control shows hospital medicines data link to TB notifications only with heavy attenuation, and plausible effects of medicines on TB lie roughly 10 to several hundred times below what these ecological designs can detect.</vt:lpwstr>
  </property>
</Properties>
</file>